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F387" w14:textId="350820B6" w:rsidR="00156F15" w:rsidRPr="00156F15" w:rsidRDefault="00156F15" w:rsidP="00156F1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156F15">
        <w:rPr>
          <w:position w:val="-8"/>
          <w:sz w:val="120"/>
        </w:rPr>
        <w:t>C</w:t>
      </w:r>
    </w:p>
    <w:p w14:paraId="23742532" w14:textId="7472A147" w:rsidR="00006A78" w:rsidRDefault="00156F15" w:rsidP="00161C9A">
      <w:r>
        <w:t xml:space="preserve">omo sabemos, según el </w:t>
      </w:r>
      <w:hyperlink r:id="rId11" w:history="1">
        <w:r w:rsidRPr="00156F15">
          <w:rPr>
            <w:rStyle w:val="Hipervnculo"/>
          </w:rPr>
          <w:t>Decreto único Reglamentario 1074 de 2015</w:t>
        </w:r>
      </w:hyperlink>
      <w:r>
        <w:t xml:space="preserve">, la Superintendencia de Sociedades ejerce vigilancia sobre las entidades que a 1° de enero de cada año tengan o superen la suma de 30.000 salarios mínimos legales mensuales vigentes por concepto de activos o de ingresos. Esto equivale </w:t>
      </w:r>
      <w:r w:rsidR="003D2CB7">
        <w:t xml:space="preserve">para el 2024 </w:t>
      </w:r>
      <w:r>
        <w:t xml:space="preserve">a $39.000.000.000. </w:t>
      </w:r>
      <w:r w:rsidR="00306510">
        <w:t xml:space="preserve">Con el complejo método que contempló el </w:t>
      </w:r>
      <w:hyperlink r:id="rId12" w:history="1">
        <w:r w:rsidR="00306510" w:rsidRPr="003D2CB7">
          <w:rPr>
            <w:rStyle w:val="Hipervnculo"/>
          </w:rPr>
          <w:t>Decreto 957 de 2019</w:t>
        </w:r>
      </w:hyperlink>
      <w:r w:rsidR="00DE3844">
        <w:rPr>
          <w:rStyle w:val="Hipervnculo"/>
        </w:rPr>
        <w:t>,</w:t>
      </w:r>
      <w:r w:rsidR="00306510">
        <w:t xml:space="preserve"> la nombrada entidad tiene competencia sobre empresas grandes y medianas, aunque no sobre algunas empresas de servicios.</w:t>
      </w:r>
      <w:r w:rsidR="003C3992">
        <w:t xml:space="preserve"> Mediante la </w:t>
      </w:r>
      <w:hyperlink r:id="rId13" w:history="1">
        <w:r w:rsidR="003C3992" w:rsidRPr="00DE3844">
          <w:rPr>
            <w:rStyle w:val="Hipervnculo"/>
          </w:rPr>
          <w:t>Circular externa 100-000010 del 21 de noviembre de 2023</w:t>
        </w:r>
      </w:hyperlink>
      <w:r w:rsidR="003C3992">
        <w:t>, esta entidad a</w:t>
      </w:r>
      <w:r w:rsidR="003C3992" w:rsidRPr="003C3992">
        <w:t>dici</w:t>
      </w:r>
      <w:r w:rsidR="003C3992">
        <w:t>onó</w:t>
      </w:r>
      <w:r w:rsidR="003C3992" w:rsidRPr="003C3992">
        <w:t xml:space="preserve"> </w:t>
      </w:r>
      <w:r w:rsidR="003C3992">
        <w:t>un</w:t>
      </w:r>
      <w:r w:rsidR="003C3992" w:rsidRPr="003C3992">
        <w:t xml:space="preserve"> Capítulo XV a la Circular Básica Jurídica 100000008 de 12 de julio de 2022</w:t>
      </w:r>
      <w:r w:rsidR="003C3992">
        <w:t>. Esta circular “</w:t>
      </w:r>
      <w:r w:rsidR="003C3992" w:rsidRPr="003C3992">
        <w:rPr>
          <w:i/>
        </w:rPr>
        <w:t>imparte recomendaciones con la finalidad que sus supervisados incorporen Estándares Internacionales de Reporte en el marco de la Sostenibilidad</w:t>
      </w:r>
      <w:r w:rsidR="003C3992">
        <w:t>”. La entidad parte de la base de que ella puede determinar las características de la información que solicite, a pesar de que el tema de estándares internacionales en materia de sostenibilidad no está definido mundialmente</w:t>
      </w:r>
      <w:r w:rsidR="008413E0">
        <w:t xml:space="preserve">. </w:t>
      </w:r>
      <w:r w:rsidR="009526D2">
        <w:t xml:space="preserve">Cuando se preparó la </w:t>
      </w:r>
      <w:hyperlink r:id="rId14" w:anchor=":~:text=LEY%201314%20DE%202009%20%28julio%2013%29%20por%20la,determinan%20las%20entidades%20responsables%20de%20vigilar%20su%20cumplimiento." w:history="1">
        <w:r w:rsidR="009526D2" w:rsidRPr="009526D2">
          <w:rPr>
            <w:rStyle w:val="Hipervnculo"/>
          </w:rPr>
          <w:t>Ley 1314 de 2009</w:t>
        </w:r>
      </w:hyperlink>
      <w:r w:rsidR="009526D2">
        <w:t xml:space="preserve"> la posibilidad de convertir en obligatorio un estándar internacional se discutió mucho debido al pronunciamiento jurisprudencial contenido en la sentencia </w:t>
      </w:r>
      <w:hyperlink r:id="rId15" w:history="1">
        <w:r w:rsidR="00B33D0E" w:rsidRPr="00B33D0E">
          <w:rPr>
            <w:rStyle w:val="Hipervnculo"/>
          </w:rPr>
          <w:t>C-690 de 2003</w:t>
        </w:r>
      </w:hyperlink>
      <w:r w:rsidR="00B33D0E">
        <w:t>. Este factor, más otros muchos, llevaron a proponer, como lo aceptó el legislador, que de acogiera un sistema similar al que existe a nivel federal en los Estados Unidos de América, o en la Unión Europea, el cual se tuvo de modelo.</w:t>
      </w:r>
      <w:r w:rsidR="00C75839">
        <w:t xml:space="preserve"> Mediante el d</w:t>
      </w:r>
      <w:r w:rsidR="00C75839" w:rsidRPr="00C75839">
        <w:t>ocumento CONPES</w:t>
      </w:r>
      <w:r w:rsidR="00C75839">
        <w:t xml:space="preserve"> (</w:t>
      </w:r>
      <w:r w:rsidR="00C75839" w:rsidRPr="00C75839">
        <w:t>CONSEJO NACIONAL DE POLÍTICA ECONÓMICA Y SOCIAL</w:t>
      </w:r>
      <w:r w:rsidR="00C75839">
        <w:t>)</w:t>
      </w:r>
      <w:r w:rsidR="00C75839" w:rsidRPr="00C75839">
        <w:t xml:space="preserve"> </w:t>
      </w:r>
      <w:r w:rsidR="00C75839">
        <w:t>del 15 de marzo de 2018, se definió la</w:t>
      </w:r>
      <w:r w:rsidR="00C75839" w:rsidRPr="00C75839">
        <w:t xml:space="preserve"> ESTRATEGIA PARA LA </w:t>
      </w:r>
      <w:r w:rsidR="00C75839" w:rsidRPr="00C75839">
        <w:t>IMPLEMENTACIÓN DE LOS OBJETIVOS DE DESARROLLO SOSTENIBLE (ODS) EN COLOMBIA</w:t>
      </w:r>
      <w:r w:rsidR="00C75839">
        <w:t>.</w:t>
      </w:r>
      <w:r w:rsidR="00B36905">
        <w:t xml:space="preserve"> Es claro que la mayoría de las tareas corresponden a las agencias gubernamentales.</w:t>
      </w:r>
      <w:r w:rsidR="00E62FFC">
        <w:t xml:space="preserve"> Una cosa son los estándares para procurar la sostenibilidad e informar sobre los resultados de su aplicación y otra son las reglas para revelaciones que se anexan a los estados financieros para ayudar a los usuarios de estos a reflexionar sobre cómo los asuntos propios de la sostenibilidad pueden estar o llegarían a afectar los asuntos financieros de una entidad.</w:t>
      </w:r>
      <w:r w:rsidR="009507EC">
        <w:t xml:space="preserve"> Según la superintendencia de un acuerdo internacional (declaración, convención, pacto) </w:t>
      </w:r>
      <w:r w:rsidR="009507EC" w:rsidRPr="009507EC">
        <w:t>debe leerse conforme a la Parte III Sección Primera de la Convención de Viena sobre el derecho de los tratados que insta a las Altas Partes Contratantes a cumplir sus obligaciones convencionales de buena fe.</w:t>
      </w:r>
      <w:r w:rsidR="009507EC">
        <w:t xml:space="preserve"> Pero, como es claro, Colombia no ha cedido su soberanía legislativa ni ha incorporado mediante la ley todos los acuerdos internacionales en que ha participado.</w:t>
      </w:r>
      <w:r w:rsidR="008413E0">
        <w:t xml:space="preserve"> Todo el discurso de la Superintendencia termina afirmando que “</w:t>
      </w:r>
      <w:r w:rsidR="008413E0" w:rsidRPr="008413E0">
        <w:rPr>
          <w:i/>
          <w:iCs/>
        </w:rPr>
        <w:t>Para esta Superintendencia, uno de sus propósitos superiores es contar con empresas sostenibles, mediante una cultura de cumplimiento y un adecuado gobierno de las sociedades mercantiles, que permita tener más empresas "socialmente responsables y sostenibles en un marco de justicia y servicio”</w:t>
      </w:r>
      <w:r w:rsidR="008413E0">
        <w:t>.</w:t>
      </w:r>
      <w:r w:rsidR="008413E0" w:rsidRPr="008413E0">
        <w:t xml:space="preserve"> </w:t>
      </w:r>
      <w:r w:rsidR="008413E0">
        <w:t xml:space="preserve">Para nosotros, tal como se registra internacionalmente, los movimientos sobre la sostenibilidad y sobre su revelación, están en curso, pero pendientes de muchas definiciones. </w:t>
      </w:r>
    </w:p>
    <w:p w14:paraId="235CE270" w14:textId="7883077F" w:rsidR="008413E0" w:rsidRPr="00161C9A" w:rsidRDefault="008413E0" w:rsidP="008413E0">
      <w:pPr>
        <w:jc w:val="right"/>
      </w:pPr>
      <w:r w:rsidRPr="003C4ED4">
        <w:rPr>
          <w:i/>
          <w:iCs/>
        </w:rPr>
        <w:t>Hernando Bermúdez Gómez</w:t>
      </w:r>
    </w:p>
    <w:sectPr w:rsidR="008413E0" w:rsidRPr="00161C9A" w:rsidSect="003F65A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5CFB" w14:textId="77777777" w:rsidR="003F65A1" w:rsidRDefault="003F65A1" w:rsidP="00EE7812">
      <w:pPr>
        <w:spacing w:after="0" w:line="240" w:lineRule="auto"/>
      </w:pPr>
      <w:r>
        <w:separator/>
      </w:r>
    </w:p>
  </w:endnote>
  <w:endnote w:type="continuationSeparator" w:id="0">
    <w:p w14:paraId="58BB4290" w14:textId="77777777" w:rsidR="003F65A1" w:rsidRDefault="003F65A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542F" w14:textId="77777777" w:rsidR="003F65A1" w:rsidRDefault="003F65A1" w:rsidP="00EE7812">
      <w:pPr>
        <w:spacing w:after="0" w:line="240" w:lineRule="auto"/>
      </w:pPr>
      <w:r>
        <w:separator/>
      </w:r>
    </w:p>
  </w:footnote>
  <w:footnote w:type="continuationSeparator" w:id="0">
    <w:p w14:paraId="759D6639" w14:textId="77777777" w:rsidR="003F65A1" w:rsidRDefault="003F65A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47903058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</w:t>
    </w:r>
    <w:r w:rsidR="00213949">
      <w:t>1</w:t>
    </w:r>
    <w:r w:rsidR="00AD7E96">
      <w:t>5</w:t>
    </w:r>
    <w:r w:rsidR="00117043">
      <w:t>,</w:t>
    </w:r>
    <w:r w:rsidR="007F1F4E">
      <w:t xml:space="preserve"> </w:t>
    </w:r>
    <w:r w:rsidR="00072CCD">
      <w:t>22</w:t>
    </w:r>
    <w:r w:rsidR="001E23A5">
      <w:t xml:space="preserve"> </w:t>
    </w:r>
    <w:r w:rsidR="009365CF">
      <w:t>de</w:t>
    </w:r>
    <w:r w:rsidR="001E23A5">
      <w:t xml:space="preserve"> </w:t>
    </w:r>
    <w:r w:rsidR="00B82D2B">
      <w:t>enero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32019">
    <w:abstractNumId w:val="0"/>
  </w:num>
  <w:num w:numId="2" w16cid:durableId="1142962277">
    <w:abstractNumId w:val="21"/>
  </w:num>
  <w:num w:numId="3" w16cid:durableId="1687751950">
    <w:abstractNumId w:val="15"/>
  </w:num>
  <w:num w:numId="4" w16cid:durableId="690490737">
    <w:abstractNumId w:val="2"/>
  </w:num>
  <w:num w:numId="5" w16cid:durableId="1371034411">
    <w:abstractNumId w:val="20"/>
  </w:num>
  <w:num w:numId="6" w16cid:durableId="449011545">
    <w:abstractNumId w:val="36"/>
  </w:num>
  <w:num w:numId="7" w16cid:durableId="1255289270">
    <w:abstractNumId w:val="13"/>
  </w:num>
  <w:num w:numId="8" w16cid:durableId="905916583">
    <w:abstractNumId w:val="34"/>
  </w:num>
  <w:num w:numId="9" w16cid:durableId="1249390572">
    <w:abstractNumId w:val="39"/>
  </w:num>
  <w:num w:numId="10" w16cid:durableId="161285793">
    <w:abstractNumId w:val="4"/>
  </w:num>
  <w:num w:numId="11" w16cid:durableId="260381914">
    <w:abstractNumId w:val="6"/>
  </w:num>
  <w:num w:numId="12" w16cid:durableId="1069228257">
    <w:abstractNumId w:val="19"/>
  </w:num>
  <w:num w:numId="13" w16cid:durableId="485515323">
    <w:abstractNumId w:val="22"/>
  </w:num>
  <w:num w:numId="14" w16cid:durableId="1219315535">
    <w:abstractNumId w:val="32"/>
  </w:num>
  <w:num w:numId="15" w16cid:durableId="1226068762">
    <w:abstractNumId w:val="9"/>
  </w:num>
  <w:num w:numId="16" w16cid:durableId="725253049">
    <w:abstractNumId w:val="7"/>
  </w:num>
  <w:num w:numId="17" w16cid:durableId="877427527">
    <w:abstractNumId w:val="17"/>
  </w:num>
  <w:num w:numId="18" w16cid:durableId="685907975">
    <w:abstractNumId w:val="31"/>
  </w:num>
  <w:num w:numId="19" w16cid:durableId="2132162266">
    <w:abstractNumId w:val="26"/>
  </w:num>
  <w:num w:numId="20" w16cid:durableId="1125928549">
    <w:abstractNumId w:val="8"/>
  </w:num>
  <w:num w:numId="21" w16cid:durableId="147989021">
    <w:abstractNumId w:val="27"/>
  </w:num>
  <w:num w:numId="22" w16cid:durableId="1447702233">
    <w:abstractNumId w:val="28"/>
  </w:num>
  <w:num w:numId="23" w16cid:durableId="2066417036">
    <w:abstractNumId w:val="29"/>
  </w:num>
  <w:num w:numId="24" w16cid:durableId="28802885">
    <w:abstractNumId w:val="35"/>
  </w:num>
  <w:num w:numId="25" w16cid:durableId="538126135">
    <w:abstractNumId w:val="23"/>
  </w:num>
  <w:num w:numId="26" w16cid:durableId="913396428">
    <w:abstractNumId w:val="14"/>
  </w:num>
  <w:num w:numId="27" w16cid:durableId="2045908841">
    <w:abstractNumId w:val="5"/>
  </w:num>
  <w:num w:numId="28" w16cid:durableId="2132747207">
    <w:abstractNumId w:val="24"/>
  </w:num>
  <w:num w:numId="29" w16cid:durableId="54011801">
    <w:abstractNumId w:val="1"/>
  </w:num>
  <w:num w:numId="30" w16cid:durableId="1424953283">
    <w:abstractNumId w:val="25"/>
  </w:num>
  <w:num w:numId="31" w16cid:durableId="491529207">
    <w:abstractNumId w:val="30"/>
  </w:num>
  <w:num w:numId="32" w16cid:durableId="1253708957">
    <w:abstractNumId w:val="12"/>
  </w:num>
  <w:num w:numId="33" w16cid:durableId="1863085883">
    <w:abstractNumId w:val="18"/>
  </w:num>
  <w:num w:numId="34" w16cid:durableId="1154565641">
    <w:abstractNumId w:val="3"/>
  </w:num>
  <w:num w:numId="35" w16cid:durableId="290399763">
    <w:abstractNumId w:val="37"/>
  </w:num>
  <w:num w:numId="36" w16cid:durableId="1951551762">
    <w:abstractNumId w:val="10"/>
  </w:num>
  <w:num w:numId="37" w16cid:durableId="1445804909">
    <w:abstractNumId w:val="11"/>
  </w:num>
  <w:num w:numId="38" w16cid:durableId="1325815411">
    <w:abstractNumId w:val="38"/>
  </w:num>
  <w:num w:numId="39" w16cid:durableId="766272841">
    <w:abstractNumId w:val="16"/>
  </w:num>
  <w:num w:numId="40" w16cid:durableId="933050273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D58"/>
    <w:rsid w:val="000F7EA1"/>
    <w:rsid w:val="000F7EF6"/>
    <w:rsid w:val="000F7EFF"/>
    <w:rsid w:val="000F7F38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A2"/>
    <w:rsid w:val="001D781B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17D"/>
    <w:rsid w:val="001E51DC"/>
    <w:rsid w:val="001E523D"/>
    <w:rsid w:val="001E524E"/>
    <w:rsid w:val="001E5254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5A1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5F"/>
    <w:rsid w:val="00506ECE"/>
    <w:rsid w:val="00506EEF"/>
    <w:rsid w:val="00506F4B"/>
    <w:rsid w:val="00506FB8"/>
    <w:rsid w:val="00506FB9"/>
    <w:rsid w:val="00506FED"/>
    <w:rsid w:val="00507021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77"/>
    <w:rsid w:val="00C54B8F"/>
    <w:rsid w:val="00C54B9E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B8"/>
    <w:rsid w:val="00C866BF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15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sociedades.gov.co/documents/107391/6026893/Circular+Externa+100-000010+de+21+de+noviembre+de+2023.pdf/24dc3313-73cb-7330-8141-55d0002fc79d?version=1.0&amp;t=17006624350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cit.gov.co/getattachment/555adb9d-8a48-45f3-a2a5-1ee9b35b2d09/Decreto-957-Por-el-cual-se-adiciona-el-capitulo-13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ersociedades.gov.co/documents/107391/897146/Decreto-Unico-Reglamentario-Sectorial-1074-de-2015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rteconstitucional.gov.co/relatoria/2003/C-690-03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in-juriscol.gov.co/viewDocument.asp?ruta=Leyes/167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E93AE-69CF-4094-A11D-E076D3B48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3962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2024-01-20T23:54:00Z</dcterms:created>
  <dcterms:modified xsi:type="dcterms:W3CDTF">2024-01-20T23:54:00Z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