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Ministerio de Comercio, Industria y Turismo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DECRETO 2784 DE 2012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(Diciembre 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 el cual se reglamenta la Ley 1314 de 2009 sobre el marco técnico normativo para los preparadores de información financiera que conforman el Grupo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Presidente de la República de Colombia,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uso de sus atribuciones constitucionales y legales, en especial las que le confiere el numeral 11 del artículo 189 de la Constitución Política y el artículo 6º de la Ley 1314 de 2009,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CONSIDERANDO: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mediante la Ley 1314 de 2009, se regulan los principios y normas de contabilidad e información financiera y de aseguramiento de la información, aceptados en Colombia, se señalan las autoridades competentes, el procedimiento para su expedición y se determinan las entidades responsables de vigilar su 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la Ley 1314 de 2009 tiene como objetivo la conformación de un sistema único y homogéneo de alta calidad, comprensible y de forzosa observancia, de normas de contabilidad, de información financiera y de aseguramiento de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con observancia de los principios de equidad, reciprocidad y conveniencia nacional, con el propósito de apoyar la internacionalización de las relaciones económicas, la acción del Estado se dirigirá hacia la convergencia de las normas de contabilidad, de información financiera y de aseguramiento de la información, con estándares internacionales de aceptación mundial, con las mejores prácticas y con la rápida evolución de los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el 22 de junio de 2011 el Consejo Técnico de la Contaduría Pública, en cumplimiento de su función, presentó al Gobierno Nacional el Direccionamiento Estratégico del proceso de convergencia de las normas de contabilidad e información financiera y de aseguramiento de la información, con estándares internacionales, el cual fue ajustado el 16 de julio de 2012.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Que en dicho Direccionamiento Estratégico el Consejo Técnico de la Contaduría Pública le recomendó al Gobierno Nacional que el proceso de convergencia hacia estándares internacionales de contabilidad e información financiera se lleve a cabo tomando como referentes las Normas Internacionales de Información Financiera, NIIF, junto con sus interpretaciones, marco de referencia conceptual, los fundamentos de conclusiones y las guías de aplicación emitidas por el Consejo de Normas Internacionales de Contabilidad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International Accounting Standards Board IASB</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por su sigla en inglés.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Que de acuerdo con el artículo 6º de la Ley 1314 de 2009, bajo la dirección del Presidente de la República y con respeto de las facultades regulatorias en materia de contabilidad pública a cargo de la Contaduría General de la Nación, los Ministerios de Hacienda y Crédito Público y de Comercio, Industria y Turismo, obrando conjuntamente, expedirán principios, normas, interpretaciones y guías de contabilidad e información financiera y de aseguramiento de la información, con fundamento en las propuestas que deberá presentarles el Consejo Técnico de la Contaduría Pública, como organismo de normalización técnica de normas contables, de información financiera y de aseguramiento de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el Consejo Técnico de la Contaduría Pública, en el documento de Direccionamiento Estratégico ha propuesto, en su párrafo 48, que las normas de contabilidad e información financiera y de Aseguramiento de la información deben aplicarse de manera diferencial a tres grupos de preparadores de estados financieros: Grupo 1, Grupo 2 y Grupo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el Consejo Técnico de la Contaduría Pública, en cumplimiento del procedimiento establecido en la Ley 1314 de 2009, mediante Oficio 1-2012-071389 de fecha 16 de octubre de 2012, presentó a los ministerios de Hacienda y Crédito Público y de Comercio, Industria y Turismo la propuesta normativa de información financiera para entidades que conforman el Grupo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en dicha propuesta normativa, el Consejo Técnico de la Contaduría Pública recomendó las Normas Internacionales de Información Financiera NIIF, junto con sus interpretaciones, marco de referencia conceptual, los fundamentos de conclusiones y las guías de aplicación en la última versión autorizada por el Consejo de Normas Internacionales de Contabilidad (IASB por su sigla en inglés), en español, la cual corresponde a la traducción efectuada con corte al 1º de enero de 2012, y que ha sido sometida al debido proceso exigido por la Ley 1314 de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en el mencionado Grupo 1 están incluidas, entre otras, entidades que a la luz del interés público, la conveniencia nacional y la relación costo-beneficio para su aplicación, requieren un tratamiento diferencial transitorio.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los ministerios de Hacienda y Crédito Público y de Comercio, Industria y Turismo, bajo la dirección del Presidente de la República, observando el procedimiento establecido en el artículo 7º de la Ley 1314 de 2009 proceden a expedir las Normas de Información Financiera, NIF, que comprenden las NIIF, las Normas Internacionales de Contabilidad, NIC, las Interpretaciones SIC y las Interpretaciones CINIIF y el marco conceptual para la información financiera, emitidas en español al 1º de enero del 2012, por el Consejo de Normas Internacionales de Contabilidad (IASB por su sigla en inglés).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para una adecuada implementación de las nuevas normas es necesario que las entidades destinatarias de este decreto, elaboren un plan de implementación que incluya como uno de sus componentes esenciales la capacitación, que reúna las condiciones necesarias para su ejecución y que se monitoree su adecuado 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DECRETA: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ART. 1º—</w:t>
      </w:r>
      <w:r w:rsidRPr="00401DFF">
        <w:rPr>
          <w:rFonts w:ascii="Times New Roman" w:eastAsia="Times New Roman" w:hAnsi="Times New Roman" w:cs="Times New Roman"/>
          <w:b/>
          <w:bCs/>
          <w:sz w:val="24"/>
          <w:szCs w:val="24"/>
          <w:lang w:eastAsia="es-CO"/>
        </w:rPr>
        <w:t>Ámbito de aplicación.</w:t>
      </w:r>
      <w:r w:rsidRPr="00401DFF">
        <w:rPr>
          <w:rFonts w:ascii="Times New Roman" w:eastAsia="Times New Roman" w:hAnsi="Times New Roman" w:cs="Times New Roman"/>
          <w:sz w:val="24"/>
          <w:szCs w:val="24"/>
          <w:lang w:eastAsia="es-CO"/>
        </w:rPr>
        <w:t xml:space="preserve"> El presente decreto será aplicable a los preparadores de información financiera que conforman el Grupo 1, así:</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Emisores de valores: Entidades que tengan valores inscritos en el Registro Nacional de Valores y Emisores, RNVE, en los términos del artículo 1.1.1.1.1 del Decreto 2555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Entidades de interés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Entidades que no estén en los incisos anteriores y que cumplan con los siguientes parámetros: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Planta de personal mayor a doscientos (200) trabajadores,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Activos totales superiores a 30.000 salarios mínimos legales mensuales vigentes (SMLMV),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Que cumplan con cualquiera de los siguientes requisitos: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Ser subordinada o sucursal de una compañía extranjera que aplique NIIF plenas;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Ser subordinada o matriz de una compañía nacional que deba aplicar NIIF plenas;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Ser matriz, asociada o negocio conjunto de una o más entidades extranjeras que apliquen NIIF plenas.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Realizar importaciones o exportaciones que representen más del cincuenta por ciento (50%) de las compras o de las ventas, respectivamente.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los efectos del cómputo de los valores indicados en los literales c.1, c.2 y c.3.iv, se considerarán los parámetros del ente económico separado correspondientes al segundo año inmediatamente anterior al ejercicio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PAR.—Para los efectos de este decreto son entidades de interés público las que, previa autorización de la autoridad estatal competente, captan, manejan o administran recursos del público, y se clasifican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Establecimientos bancarios, corporaciones financieras, compañías de financiamiento, cooperativas financieras, organismos cooperativos de grado superior, entidades aseguradoras;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Sociedades de capitalización, sociedades comisionistas de bolsa y los portafolios de terceros que ellos administran, sociedades administradoras de fondos de pensiones y cesantías privadas y los fondos por ellas administrados, sociedades fiduciarias, negocios fiduciarios cuyo fideicomitente está incluido en el Grupo 1, bolsas de valores, sociedades administradoras de depósitos centralizados de valores, cámaras de riesgo central de </w:t>
      </w:r>
      <w:r w:rsidRPr="00401DFF">
        <w:rPr>
          <w:rFonts w:ascii="Times New Roman" w:eastAsia="Times New Roman" w:hAnsi="Times New Roman" w:cs="Times New Roman"/>
          <w:sz w:val="24"/>
          <w:szCs w:val="24"/>
          <w:lang w:eastAsia="es-CO"/>
        </w:rPr>
        <w:lastRenderedPageBreak/>
        <w:t>contraparte, sociedades administradoras de inversión, sociedades titularizadoras, sociedades de intermediación cambiaria y servicios financieros especiales (SICA y SFE), carteras colectivas administradas por sociedades fiduciarias, sociedades comisionistas de bolsa y sociedades administradoras de inversión y, otros que cumplan con esta definición.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ART. 2º—</w:t>
      </w:r>
      <w:r w:rsidRPr="00401DFF">
        <w:rPr>
          <w:rFonts w:ascii="Times New Roman" w:eastAsia="Times New Roman" w:hAnsi="Times New Roman" w:cs="Times New Roman"/>
          <w:b/>
          <w:bCs/>
          <w:sz w:val="24"/>
          <w:szCs w:val="24"/>
          <w:lang w:eastAsia="es-CO"/>
        </w:rPr>
        <w:t>Marco técnico normativo para los preparadores de información financiera que conforman el Grupo 1.</w:t>
      </w:r>
      <w:r w:rsidRPr="00401DFF">
        <w:rPr>
          <w:rFonts w:ascii="Times New Roman" w:eastAsia="Times New Roman" w:hAnsi="Times New Roman" w:cs="Times New Roman"/>
          <w:sz w:val="24"/>
          <w:szCs w:val="24"/>
          <w:lang w:eastAsia="es-CO"/>
        </w:rPr>
        <w:t>Se establece un régimen normativo para los preparadores de información financiera que conforman el Grupo 1, que no están detallados en el literal a) del parágrafo del artículo 1º del presente decreto, quienes deberán aplicar el marco regulatorio dispuesto en el anexo de este decreto para sus estados financieros individuales y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Se establece un régimen normativo para los preparadores de información financiera detallados en el literal a) del parágrafo del artículo 1º, que conforman el Grupo 1, en los siguientes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Entidades que tengan valores inscritos en el Registro Nacional de Valores y Emisores, RNVE, en los términos del artículo 1.1.1.1.1 del Decreto 2555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Para la preparación de los estados financieros consolidados: Aplicarán el marco técnico normativo dispuesto en el anexo de este decreto.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Para la preparación de los estados financieros separados o individuales: Aplicarán las normas que, en convergencia con las NIIF, expida el Gobierno Nacional dentro de los seis meses siguientes a partir de la publicación del presente decreto.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Entidades que no tienen valores inscritos en el Registro Nacional de Valores y Emisores, RNVE, en los términos del artículo 1.1.1.1.1 del Decreto 2555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Aplicarán las normas que, en convergencia con las NIIF, expida el Gobierno Nacional dentro de los seis meses siguientes a partir de la publicación del presente decreto.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PAR.—La Superintendencia Financiera de Colombia evaluará el impacto de la aplicación integral de las NIIF en sus vigilados, para lo cual podrá solicitar toda la información necesaria y realizar los estudios pertinentes dentro de los cuatro meses siguientes a partir de la publicación del presente decreto.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ART. 3º—</w:t>
      </w:r>
      <w:r w:rsidRPr="00401DFF">
        <w:rPr>
          <w:rFonts w:ascii="Times New Roman" w:eastAsia="Times New Roman" w:hAnsi="Times New Roman" w:cs="Times New Roman"/>
          <w:b/>
          <w:bCs/>
          <w:sz w:val="24"/>
          <w:szCs w:val="24"/>
          <w:lang w:eastAsia="es-CO"/>
        </w:rPr>
        <w:t>Cronograma de aplicación del marco técnico normativo para los preparadores de información financiera del Grupo 1.</w:t>
      </w:r>
      <w:r w:rsidRPr="00401DFF">
        <w:rPr>
          <w:rFonts w:ascii="Times New Roman" w:eastAsia="Times New Roman" w:hAnsi="Times New Roman" w:cs="Times New Roman"/>
          <w:sz w:val="24"/>
          <w:szCs w:val="24"/>
          <w:lang w:eastAsia="es-CO"/>
        </w:rPr>
        <w:t xml:space="preserve"> Los primeros estados financieros a los que los preparadores de información financiera que califiquen dentro del Grupo 1, aplicarán el nuevo marco técnico normativo, son aquellos que se preparen con corte al 31 de diciembre del 2015. Esto, sin perjuicio que con posterioridad nuevos preparadores de información financiera califiquen dentro de este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efectos de la aplicación del marco técnico normativo de información financiera, los preparadores del Grupo 1 deberán observar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 </w:t>
      </w:r>
      <w:r w:rsidRPr="00401DFF">
        <w:rPr>
          <w:rFonts w:ascii="Times New Roman" w:eastAsia="Times New Roman" w:hAnsi="Times New Roman" w:cs="Times New Roman"/>
          <w:b/>
          <w:bCs/>
          <w:sz w:val="24"/>
          <w:szCs w:val="24"/>
          <w:lang w:eastAsia="es-CO"/>
        </w:rPr>
        <w:t>Período de preparación obligatoria:</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Se refiere al tiempo durante el cual las entidades deberán realizar actividades relacionadas con el proyecto de convergencia y en el que los supervisores podrán solicitar información a los supervisados sobre el desarrollo del proceso. Tratándose de preparación obligatoria, la información solicitada debe ser suministrada con todos los efectos legales que esto implica, de acuerdo con las facultades de los órganos de inspección, control y vigilancia. El período de preparación obligatoria comprende desde el 1º de enero de 2013 hasta el 31 de diciembre de 2013. Dentro de los dos primeros meses de este período, las entidades deberán presentar a los supervisores un plan de implementación de las nuevas normas, de acuerdo con el modelo, que para estos efectos acuerden los supervisores. Este plan debe incluir dentro de sus componentes esenciales la capacitación, la identificación de un responsable del proceso, debe ser aprobado por la Junta Directiva u órgano equivalente, y en general cumplir con las condiciones necesarias para alcanzar el objetivo fijado y debe establecer las herramientas de control y monitoreo para su adecuado 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w:t>
      </w:r>
      <w:r w:rsidRPr="00401DFF">
        <w:rPr>
          <w:rFonts w:ascii="Times New Roman" w:eastAsia="Times New Roman" w:hAnsi="Times New Roman" w:cs="Times New Roman"/>
          <w:b/>
          <w:bCs/>
          <w:sz w:val="24"/>
          <w:szCs w:val="24"/>
          <w:lang w:eastAsia="es-CO"/>
        </w:rPr>
        <w:t>Fecha de transición:</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el inicio del ejercicio anterior a la aplicación por primera vez del nuevo marco técnico normativo de información financiera, momento a partir del cual deberá iniciarse la construcción del primer año de información financiera de acuerdo con el nuevo marco técnico normativo que servirá como base para la presentación de estados financieros comparativos. En el caso de la aplicación del nuevo marco técnico normativo en el corte al 31 de diciembre del 2015, esta fecha será el 1º de enero de 2014.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w:t>
      </w:r>
      <w:r w:rsidRPr="00401DFF">
        <w:rPr>
          <w:rFonts w:ascii="Times New Roman" w:eastAsia="Times New Roman" w:hAnsi="Times New Roman" w:cs="Times New Roman"/>
          <w:b/>
          <w:bCs/>
          <w:sz w:val="24"/>
          <w:szCs w:val="24"/>
          <w:lang w:eastAsia="es-CO"/>
        </w:rPr>
        <w:t>Estado de situación financiera de apertura:</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el estado en el que por primera vez se medirán de acuerdo con el nuevo marco técnico normativo los activos, pasivos y patrimonio de las entidades que apliquen este decreto. Su fecha de corte es la fecha de transición. El estado de situación financiera de apertura no será puesto en conocimiento del público ni tendrá efectos legales en dicho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w:t>
      </w:r>
      <w:r w:rsidRPr="00401DFF">
        <w:rPr>
          <w:rFonts w:ascii="Times New Roman" w:eastAsia="Times New Roman" w:hAnsi="Times New Roman" w:cs="Times New Roman"/>
          <w:b/>
          <w:bCs/>
          <w:sz w:val="24"/>
          <w:szCs w:val="24"/>
          <w:lang w:eastAsia="es-CO"/>
        </w:rPr>
        <w:t>Período de transición:</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el año anterior a la aplicación del nuevo marco técnico normativo durante el cual deberá llevarse la contabilidad para todos los efectos legales de acuerdo con la normatividad vigente al momento de la expedición del presente decreto, y simultáneamente obtener información de acuerdo con el nuevo marco técnico normativo de información financiera, con el fin de permitir la construcción de información financiera que pueda ser utilizada para fines comparativos en los estados financieros en los que se aplique por primera vez el nuevo marco técnico normativo. En el caso de la aplicación del nuevo marco técnico normativo en el corte al 31 de diciembre del 2015, este periodo iniciará el 1º de enero de 2014 y terminará el 31 de diciembre de 2014. Esta información financiera no será puesta en conocimiento del público ni tendrá efectos legales en dicho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w:t>
      </w:r>
      <w:r w:rsidRPr="00401DFF">
        <w:rPr>
          <w:rFonts w:ascii="Times New Roman" w:eastAsia="Times New Roman" w:hAnsi="Times New Roman" w:cs="Times New Roman"/>
          <w:b/>
          <w:bCs/>
          <w:sz w:val="24"/>
          <w:szCs w:val="24"/>
          <w:lang w:eastAsia="es-CO"/>
        </w:rPr>
        <w:t>Últimos estados financieros conforme a los decretos 2649 y 2650 de 1993 y normatividad vigente:</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Se refiere a los estados financieros preparados con corte al 31 de diciembre del año inmediatamente anterior a la fecha de aplicación. Para todos los efectos legales, esta preparación se hará de acuerdo con los decretos 2649 y 2650 de 1993 y las normas que los modifiquen o adicionen y la demás normatividad contable vigente sobre la materia para ese entonces. En el caso de la aplicación del nuevo marco técnico normativo en el corte al 31 de diciembre del 2015 esta fecha será el 31 de diciembre de 2014.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6. </w:t>
      </w:r>
      <w:r w:rsidRPr="00401DFF">
        <w:rPr>
          <w:rFonts w:ascii="Times New Roman" w:eastAsia="Times New Roman" w:hAnsi="Times New Roman" w:cs="Times New Roman"/>
          <w:b/>
          <w:bCs/>
          <w:sz w:val="24"/>
          <w:szCs w:val="24"/>
          <w:lang w:eastAsia="es-CO"/>
        </w:rPr>
        <w:t>Fecha de aplicación:</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aquella a partir de la cual cesará la utilización de la normatividad contable vigente al momento de expedición del presente decreto y comenzará la aplicación del nuevo marco técnico normativo para todos los efectos, incluyendo la contabilidad oficial, libros de comercio y presentación de estados financieros. En el caso de la aplicación del nuevo marco técnico normativo en el corte al 31 de diciembre del 2015 esta fecha será el 1º de enero de 2015.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w:t>
      </w:r>
      <w:r w:rsidRPr="00401DFF">
        <w:rPr>
          <w:rFonts w:ascii="Times New Roman" w:eastAsia="Times New Roman" w:hAnsi="Times New Roman" w:cs="Times New Roman"/>
          <w:b/>
          <w:bCs/>
          <w:sz w:val="24"/>
          <w:szCs w:val="24"/>
          <w:lang w:eastAsia="es-CO"/>
        </w:rPr>
        <w:t>Primer período de aplicación:</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aquel durante el cual, por primera vez, la contabilidad se llevará, para todos los efectos, de acuerdo con el nuevo marco técnico normativo. En el caso de la aplicación del nuevo marco técnico normativo, este período está comprendido entre el 1º de enero de 2015 y el 31 de diciembre de 2015.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w:t>
      </w:r>
      <w:r w:rsidRPr="00401DFF">
        <w:rPr>
          <w:rFonts w:ascii="Times New Roman" w:eastAsia="Times New Roman" w:hAnsi="Times New Roman" w:cs="Times New Roman"/>
          <w:b/>
          <w:bCs/>
          <w:sz w:val="24"/>
          <w:szCs w:val="24"/>
          <w:lang w:eastAsia="es-CO"/>
        </w:rPr>
        <w:t>Fecha de reporte:</w:t>
      </w:r>
      <w:r w:rsidR="00186516">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sz w:val="24"/>
          <w:szCs w:val="24"/>
          <w:lang w:eastAsia="es-CO"/>
        </w:rPr>
        <w:t>Es aquella en la que se presentarán los primeros estados financieros de acuerdo con el nuevo marco técnico normativo, con la siguiente 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Estado de situación financiera: comparativo con dos períodos;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Estado de resultados del ejercicio y otro resultado integral, Estado de cambios en el patrimonio y Estado de flujo de efectivo: comparativo con un período.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el caso de la aplicación del nuevo marco técnico normativo será el 31 de diciembre de 2015.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 1º—Los órganos que ejercen inspección, vigilancia y control deberán tomar las medidas necesarias para adecuar sus recursos en orden a observar lo dispuesto y para los fines contemplados en este decreto.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 2º—El Consejo Técnico de la Contaduría Pública, resolverá las inquietudes que se formulen en desarrollo de la adecuada aplicación del marco técnico normativo de información financiera para los preparadores de información financiera del Grupo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 3º—Las entidades que no pertenezcan al Grupo 1 podrán voluntariamente aplicar el marco regulatorio dispuesto en el anexo de este decreto. En este caso: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Deberán cumplir con todas las obligaciones que de dicha aplicación se derivarán,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Deberán mantenerse en el marco regulatorio aplicado en forma voluntaria, por un período de tres años, luego del cual podrán, posteriormente, aplicar el marco normativo que corresponda de acuerdo con sus características.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ART. 4º—</w:t>
      </w:r>
      <w:r w:rsidRPr="00401DFF">
        <w:rPr>
          <w:rFonts w:ascii="Times New Roman" w:eastAsia="Times New Roman" w:hAnsi="Times New Roman" w:cs="Times New Roman"/>
          <w:b/>
          <w:bCs/>
          <w:sz w:val="24"/>
          <w:szCs w:val="24"/>
          <w:lang w:eastAsia="es-CO"/>
        </w:rPr>
        <w:t>Vigencia.</w:t>
      </w:r>
      <w:r w:rsidRPr="00401DFF">
        <w:rPr>
          <w:rFonts w:ascii="Times New Roman" w:eastAsia="Times New Roman" w:hAnsi="Times New Roman" w:cs="Times New Roman"/>
          <w:sz w:val="24"/>
          <w:szCs w:val="24"/>
          <w:lang w:eastAsia="es-CO"/>
        </w:rPr>
        <w:t xml:space="preserve"> El presente decreto rige a partir de la fecha de su publicación y respecto de los destinatarios definidos en este decreto, a partir de la fecha de aplicación establecida en el numeral 6 del artículo 3º del presente decreto, no les será aplicable lo dispuesto en los decretos 2649 y 2650 de 1993 y las normas que los modifiquen o adicionen y la demás normatividad contable vigente sobre la materia para ese entonces.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Publíquese y cúmplase.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Dado en Bogotá, D.C., a 28 de diciembre de 2012.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Anexo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ÍNDICE</w:t>
      </w:r>
    </w:p>
    <w:tbl>
      <w:tblPr>
        <w:tblW w:w="2750" w:type="pct"/>
        <w:jc w:val="center"/>
        <w:tblCellSpacing w:w="15" w:type="dxa"/>
        <w:tblCellMar>
          <w:top w:w="15" w:type="dxa"/>
          <w:left w:w="15" w:type="dxa"/>
          <w:bottom w:w="15" w:type="dxa"/>
          <w:right w:w="15" w:type="dxa"/>
        </w:tblCellMar>
        <w:tblLook w:val="04A0" w:firstRow="1" w:lastRow="0" w:firstColumn="1" w:lastColumn="0" w:noHBand="0" w:noVBand="1"/>
      </w:tblPr>
      <w:tblGrid>
        <w:gridCol w:w="1979"/>
        <w:gridCol w:w="30"/>
        <w:gridCol w:w="527"/>
        <w:gridCol w:w="794"/>
        <w:gridCol w:w="1901"/>
      </w:tblGrid>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PRÓLOGO</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desde párrafo</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 xml:space="preserve">MARCO CONCEPTUAL PARA LA INFORMACIÓN FINANCIERA </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Propósito y valor normativo</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CAPÍTULOS</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El objetivo de la Información financiera con propósito general</w:t>
            </w:r>
          </w:p>
        </w:tc>
        <w:tc>
          <w:tcPr>
            <w:tcW w:w="500" w:type="pc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OB1</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 La entidad que informa </w:t>
            </w:r>
            <w:r w:rsidRPr="00401DFF">
              <w:rPr>
                <w:rFonts w:ascii="Times New Roman" w:eastAsia="Times New Roman" w:hAnsi="Times New Roman" w:cs="Times New Roman"/>
                <w:b/>
                <w:bCs/>
                <w:i/>
                <w:iCs/>
                <w:sz w:val="24"/>
                <w:szCs w:val="24"/>
                <w:lang w:eastAsia="es-CO"/>
              </w:rPr>
              <w:t xml:space="preserve">pendiente de añadir </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Características cualitativas de la información financiera útil</w:t>
            </w:r>
          </w:p>
        </w:tc>
        <w:tc>
          <w:tcPr>
            <w:tcW w:w="500" w:type="pc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CC1</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gridAfter w:val="1"/>
          <w:wAfter w:w="3718" w:type="dxa"/>
          <w:tblCellSpacing w:w="15" w:type="dxa"/>
          <w:jc w:val="center"/>
        </w:trPr>
        <w:tc>
          <w:tcPr>
            <w:tcW w:w="365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 El </w:t>
            </w:r>
            <w:r w:rsidRPr="00401DFF">
              <w:rPr>
                <w:rFonts w:ascii="Times New Roman" w:eastAsia="Times New Roman" w:hAnsi="Times New Roman" w:cs="Times New Roman"/>
                <w:b/>
                <w:bCs/>
                <w:i/>
                <w:iCs/>
                <w:sz w:val="24"/>
                <w:szCs w:val="24"/>
                <w:lang w:eastAsia="es-CO"/>
              </w:rPr>
              <w:t>Marco Conceptual de 1989</w:t>
            </w:r>
            <w:r w:rsidRPr="00401DFF">
              <w:rPr>
                <w:rFonts w:ascii="Times New Roman" w:eastAsia="Times New Roman" w:hAnsi="Times New Roman" w:cs="Times New Roman"/>
                <w:b/>
                <w:bCs/>
                <w:sz w:val="24"/>
                <w:szCs w:val="24"/>
                <w:lang w:eastAsia="es-CO"/>
              </w:rPr>
              <w:t xml:space="preserve">: </w:t>
            </w:r>
            <w:r w:rsidRPr="00401DFF">
              <w:rPr>
                <w:rFonts w:ascii="Times New Roman" w:eastAsia="Times New Roman" w:hAnsi="Times New Roman" w:cs="Times New Roman"/>
                <w:b/>
                <w:bCs/>
                <w:i/>
                <w:iCs/>
                <w:sz w:val="24"/>
                <w:szCs w:val="24"/>
                <w:lang w:eastAsia="es-CO"/>
              </w:rPr>
              <w:t xml:space="preserve">el texto restante </w:t>
            </w:r>
          </w:p>
        </w:tc>
        <w:tc>
          <w:tcPr>
            <w:tcW w:w="50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tblCellSpacing w:w="0" w:type="dxa"/>
          <w:jc w:val="center"/>
        </w:trPr>
        <w:tc>
          <w:tcPr>
            <w:tcW w:w="10500" w:type="dxa"/>
            <w:gridSpan w:val="4"/>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 RESPECTO A LOS DOCUMENTOS COMPLEMENTARIOS ENUMERADOS A CONTINUACIÓN VÉASE LA PARTE B DE ESTA EDICIÓN</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2750" w:type="pct"/>
        <w:jc w:val="center"/>
        <w:tblCellSpacing w:w="0" w:type="dxa"/>
        <w:tblCellMar>
          <w:left w:w="0" w:type="dxa"/>
          <w:right w:w="0" w:type="dxa"/>
        </w:tblCellMar>
        <w:tblLook w:val="04A0" w:firstRow="1" w:lastRow="0" w:firstColumn="1" w:lastColumn="0" w:noHBand="0" w:noVBand="1"/>
      </w:tblPr>
      <w:tblGrid>
        <w:gridCol w:w="4861"/>
      </w:tblGrid>
      <w:tr w:rsidR="00401DFF" w:rsidRPr="00401DFF" w:rsidTr="00401DFF">
        <w:trPr>
          <w:tblCellSpacing w:w="0" w:type="dxa"/>
          <w:jc w:val="center"/>
        </w:trPr>
        <w:tc>
          <w:tcPr>
            <w:tcW w:w="106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APROBACIÓN POR EL CONSEJO DEL </w:t>
            </w:r>
            <w:r w:rsidRPr="00401DFF">
              <w:rPr>
                <w:rFonts w:ascii="Times New Roman" w:eastAsia="Times New Roman" w:hAnsi="Times New Roman" w:cs="Times New Roman"/>
                <w:b/>
                <w:bCs/>
                <w:i/>
                <w:iCs/>
                <w:sz w:val="24"/>
                <w:szCs w:val="24"/>
                <w:lang w:eastAsia="es-CO"/>
              </w:rPr>
              <w:t xml:space="preserve">MARCO CONCEPTUAL DE 2010 </w:t>
            </w:r>
          </w:p>
        </w:tc>
      </w:tr>
      <w:tr w:rsidR="00401DFF" w:rsidRPr="00401DFF" w:rsidTr="00401DFF">
        <w:trPr>
          <w:tblCellSpacing w:w="0" w:type="dxa"/>
          <w:jc w:val="center"/>
        </w:trPr>
        <w:tc>
          <w:tcPr>
            <w:tcW w:w="106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FUNDAMENTOS DE LAS CONCLUSIONES DE LOS CAPÍTULOS 1 Y 3</w:t>
            </w:r>
          </w:p>
        </w:tc>
      </w:tr>
      <w:tr w:rsidR="00401DFF" w:rsidRPr="00401DFF" w:rsidTr="00401DFF">
        <w:trPr>
          <w:tblCellSpacing w:w="0" w:type="dxa"/>
          <w:jc w:val="center"/>
        </w:trPr>
        <w:tc>
          <w:tcPr>
            <w:tcW w:w="106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TABLA DE CONCORDANCIAS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Prólogo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Consejo de Normas Internacionales de Contabilidad se encuentra en este momento en proceso de actualizar su marco conceptual. Este proyecto de marco conceptual se está llevando a cabo en fases.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medida que se finalice un capítulo se sustituirán los párrafos correspondientes en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publicado en 1989. Cuando el proyecto de marco conceptual esté terminado, el Consejo dispondrá de un documento único, completo e integral denominado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Esta versión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incluye los dos primeros capítulos que publicó el Consejo como resultado de la primera fase de su proyecto de marco conceptual -Capítulo 1 </w:t>
      </w:r>
      <w:r w:rsidRPr="00401DFF">
        <w:rPr>
          <w:rFonts w:ascii="Times New Roman" w:eastAsia="Times New Roman" w:hAnsi="Times New Roman" w:cs="Times New Roman"/>
          <w:i/>
          <w:iCs/>
          <w:sz w:val="24"/>
          <w:szCs w:val="24"/>
          <w:lang w:eastAsia="es-CO"/>
        </w:rPr>
        <w:t xml:space="preserve">El objetivo de la información financiera con propósito general </w:t>
      </w:r>
      <w:r w:rsidRPr="00401DFF">
        <w:rPr>
          <w:rFonts w:ascii="Times New Roman" w:eastAsia="Times New Roman" w:hAnsi="Times New Roman" w:cs="Times New Roman"/>
          <w:sz w:val="24"/>
          <w:szCs w:val="24"/>
          <w:lang w:eastAsia="es-CO"/>
        </w:rPr>
        <w:t xml:space="preserve">y el Capítulo 3 </w:t>
      </w:r>
      <w:r w:rsidRPr="00401DFF">
        <w:rPr>
          <w:rFonts w:ascii="Times New Roman" w:eastAsia="Times New Roman" w:hAnsi="Times New Roman" w:cs="Times New Roman"/>
          <w:i/>
          <w:iCs/>
          <w:sz w:val="24"/>
          <w:szCs w:val="24"/>
          <w:lang w:eastAsia="es-CO"/>
        </w:rPr>
        <w:t>Características cualitativas de la información financiera útil</w:t>
      </w:r>
      <w:r w:rsidRPr="00401DFF">
        <w:rPr>
          <w:rFonts w:ascii="Times New Roman" w:eastAsia="Times New Roman" w:hAnsi="Times New Roman" w:cs="Times New Roman"/>
          <w:sz w:val="24"/>
          <w:szCs w:val="24"/>
          <w:lang w:eastAsia="es-CO"/>
        </w:rPr>
        <w:t xml:space="preserve">. El capítulo 2 tratará del concepto de entidad que informa. El Consejo publicó un proyecto de norma sobre este tema en marzo de 2010 con un periodo para recibir comentarios que finalizó el 16 de julio de 2010. El Capítulo 4 contiene el texto restante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(1989). La tabla de concordancias, al final de esta publicación, muestra la forma en que se corresponden los contenidos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(1989) y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(2010).</w:t>
      </w:r>
    </w:p>
    <w:tbl>
      <w:tblPr>
        <w:tblW w:w="9645"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45"/>
      </w:tblGrid>
      <w:tr w:rsidR="00401DFF" w:rsidRPr="00401DFF" w:rsidTr="00401DFF">
        <w:trPr>
          <w:tblCellSpacing w:w="0" w:type="dxa"/>
          <w:jc w:val="center"/>
        </w:trPr>
        <w:tc>
          <w:tcPr>
            <w:tcW w:w="96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introducción se ha mantenido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(1989). Ésta se actualizará cuando el IASB considere el propósito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Hasta entonces, el propósito y el valor normativo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son los mismos que antes.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Muchas entidades, en el mundo entero, preparan y presentan estados financieros para usuarios externos. Aunque estos estados financieros pueden parecer similares entre un país y otro, existen en ellos diferencias causadas probablemente por una amplia variedad de circunstancias sociales, económicas y legales; así como porque en los diferentes países se tienen en mente las necesidades de distintos usuarios de los estados financieros al establecer la normativa contable nacional.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Estas circunstancias diferentes han llevado a utilizar una variedad de definiciones de los elementos de los estados financieros por ejemplo, activos, pasivos, patrimonio, ingresos y gastos. Esas mismas circunstancias han dado también como resultado el uso de diferentes criterios para el reconocimiento de partidas en los estados financieros, así como en unas preferencias sobre las diferentes bases de medida. Asimismo, tanto el alcance de los estados </w:t>
      </w:r>
      <w:r w:rsidRPr="00401DFF">
        <w:rPr>
          <w:rFonts w:ascii="Times New Roman" w:eastAsia="Times New Roman" w:hAnsi="Times New Roman" w:cs="Times New Roman"/>
          <w:sz w:val="24"/>
          <w:szCs w:val="24"/>
          <w:lang w:eastAsia="es-CO"/>
        </w:rPr>
        <w:lastRenderedPageBreak/>
        <w:t>financieros como las informaciones reveladas en ellos, han quedado también afectadas por esa conjunción de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Consejo de Normas Internacionales de Contabilidad tiene la misión de reducir tales diferencias por medio de la búsqueda de la armonización entre las regulaciones, normas contables y procedimientos relativos a la preparación y presentación de los estados financieros. El IASC cree que esta armonización más amplia puede perseguirse mejor si los esfuerzos se centran en los estados financieros que se preparan con el propósito de suministrar información que es útil para la toma de decisiones económicas.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Consejo cree que los estados financieros preparados para tal propósito atienden las necesidades comunes de la mayoría de los usuarios. Esto es porque casi todos los usuarios toman decisiones económicas, como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Decidir si comprar, mantener o vender inversiones en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Evaluar la administración o rendición de cuentas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Evaluar la capacidad de la entidad para pagar y suministrar otros beneficios a sus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Evaluar la seguridad de los importes prestados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Determinar políticas impositivas.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Determinar las ganancias distribuibles y los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Preparar y usar las estadísticas de la renta nacional.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Regular las actividades de las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Consejo reconoce que cada gobierno, en particular, puede fijar requisitos diferentes o adicionales para sus propios intereses. Sin embargo tales requerimientos contables no deben afectar a los estados financieros publicados para beneficio de otros usuarios, a menos que cubran también las necesidades de esos usuarios.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Muy comúnmente, los estados financieros se preparan de acuerdo con un modelo contable basado en el costo histórico recuperable, así como en el concepto de mantenimiento del capital financiero en términos nominales. Otros modelos y concepciones pueden ser más apropiados para cumplir con el objetivo de proporcionar información que sea útil para la toma de decisiones económicas, aunque, actualmente, no haya consenso para llevar a cabo el cambio.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ha sido desarrollado de manera que pueda aplicarse a una variada gama de modelos contables y conceptos del capital y de mantenimiento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Propósito y valor normativo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establece los conceptos que subyacen en la preparación y presentación de los estados financieros para usuarios externos. El propósito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ayudar al Consejo en el desarrollo de futuras NIIF y en la revisión de las existentes;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ayudar al Consejo en la promoción de la armonización de regulaciones, normas contables y procedimientos asociados con la presentación de estados financieros, mediante el suministro de bases para la reducción del número de tratamientos contables alternativos permitidos por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ayudar a los organismos nacionales de emisión de normas en el desarrollo de las normas nacionales;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ayudar los preparadores de estados financieros, en la aplicación de las NIIF y en el tratamiento de algunos aspectos que todavía no han sido objeto de una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ayudar a los auditores en la formación de una opinión acerca de si los estados financieros están de acuerdo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ayudar a los usuarios de los estados financieros en la interpretación de la información contenida en los estados financieros preparados de acuerdo con las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suministrar, a todos aquéllos interesados en la labor del IASB, información acerca de su enfoque para la formulación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es una NIIF, y por tanto no define normas para ninguna cuestión particular de medida o información a revelar. Ningún contenido de este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deroga cualquier NIIF específica.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Consejo reconoce que en un limitado número de casos puede haber un conflicto entre el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 xml:space="preserve">y una NIIF. En esos casos en que exista conflicto, los requerimientos de la NIIF prevalecerán sobre los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obstante, como el Consejo se guiará por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al desarrollar futuras NIIF y en su revisión de las existentes, el número de casos de conflicto entre el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y las NIIF disminuirá con el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se revisará periódicamente, a partir de la experiencia que el Consejo haya adquirido trabajando con él.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trata: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objetivo de la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las características cualitativas de la información financiera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definición, reconocimiento y medición de los elementos que constituyen los estados financieros;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conceptos de capital y de mantenimiento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1: </w:t>
      </w:r>
      <w:r w:rsidRPr="00401DFF">
        <w:rPr>
          <w:rFonts w:ascii="Times New Roman" w:eastAsia="Times New Roman" w:hAnsi="Times New Roman" w:cs="Times New Roman"/>
          <w:b/>
          <w:bCs/>
          <w:i/>
          <w:iCs/>
          <w:sz w:val="24"/>
          <w:szCs w:val="24"/>
          <w:lang w:eastAsia="es-CO"/>
        </w:rPr>
        <w:t>EL OBJETIVO DE LA INFORMACIÓN FINANCIERA CON PROPÓSITO GENERAL</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586"/>
        <w:gridCol w:w="754"/>
        <w:gridCol w:w="1588"/>
      </w:tblGrid>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6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desde párrafo</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OB1</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 UTILIDAD Y LIMITACIONES DE LA INFORMACIÓN FINANCIERA CON PROPÓSITO GENERAL</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OB2</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LOS RECURSOS ECONÓMICOS, LOS DERECHOS DE LOS ACREEDORES Y SUS CAMBIOS DE LA ENTIDAD QUE INFORMA</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OB12</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Recursos económicos y derechos de los acreedores</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OB13</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los recursos económicos y en los derechos de los acreedores</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OB15</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Rendimiento financiero reflejado por la contabilidad de acumulación (o devengo)</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OB17</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Rendimiento financiero reflejado por flujos de efectivo pasados</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OB20</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Cambios en los recursos económicos y en los derechos de los acreedores que no proceden del rendimiento financiero</w:t>
            </w:r>
          </w:p>
        </w:tc>
        <w:tc>
          <w:tcPr>
            <w:tcW w:w="7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OB21</w:t>
            </w:r>
          </w:p>
        </w:tc>
        <w:tc>
          <w:tcPr>
            <w:tcW w:w="1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1 </w:t>
      </w:r>
      <w:r w:rsidRPr="00401DFF">
        <w:rPr>
          <w:rFonts w:ascii="Times New Roman" w:eastAsia="Times New Roman" w:hAnsi="Times New Roman" w:cs="Times New Roman"/>
          <w:b/>
          <w:bCs/>
          <w:i/>
          <w:iCs/>
          <w:sz w:val="24"/>
          <w:szCs w:val="24"/>
          <w:lang w:eastAsia="es-CO"/>
        </w:rPr>
        <w:t>El objetivo de la información financiera con propósito 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OB1 El objetivo de la información financiera con propósito general constituye el fundamento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Otros aspectos del Marco Conceptual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el concepto de entidad que informa, las características cualitativas y restricciones de la información financiera útil, elementos de los estados financieros, reconocimiento, medición, presentación e información a revelar se derivan lógicamente del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 utilidad y limitaciones de la información financiera con propósito 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OB2 El objetivo de la información financiera con propósito general</w:t>
      </w:r>
      <w:hyperlink r:id="rId6" w:anchor="bf192961977922d474ab285d366180b50b8nf9" w:tgtFrame="_self" w:history="1">
        <w:r w:rsidRPr="00401DFF">
          <w:rPr>
            <w:rFonts w:ascii="Times New Roman" w:eastAsia="Times New Roman" w:hAnsi="Times New Roman" w:cs="Times New Roman"/>
            <w:color w:val="0000FF"/>
            <w:sz w:val="20"/>
            <w:szCs w:val="20"/>
            <w:u w:val="single"/>
            <w:vertAlign w:val="superscript"/>
            <w:lang w:eastAsia="es-CO"/>
          </w:rPr>
          <w:t>(1)</w:t>
        </w:r>
      </w:hyperlink>
      <w:r w:rsidRPr="00401DFF">
        <w:rPr>
          <w:rFonts w:ascii="Times New Roman" w:eastAsia="Times New Roman" w:hAnsi="Times New Roman" w:cs="Times New Roman"/>
          <w:sz w:val="24"/>
          <w:szCs w:val="24"/>
          <w:lang w:eastAsia="es-CO"/>
        </w:rPr>
        <w:t xml:space="preserve"> es proporcionar información financiera sobre la entidad que informa que sea útil a los inversores, prestamistas y otros acreedores existentes y potenciales para tomar decisiones sobre el suministro de recursos a la entidad. Esas decisiones conllevan, comprar, vender o mantener </w:t>
      </w:r>
      <w:r w:rsidRPr="00401DFF">
        <w:rPr>
          <w:rFonts w:ascii="Times New Roman" w:eastAsia="Times New Roman" w:hAnsi="Times New Roman" w:cs="Times New Roman"/>
          <w:sz w:val="24"/>
          <w:szCs w:val="24"/>
          <w:lang w:eastAsia="es-CO"/>
        </w:rPr>
        <w:lastRenderedPageBreak/>
        <w:t>patrimonio e instrumentos de deuda y proporcionar o liquidar préstamos y otras formas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OB3 Las decisiones que tomen inversores existentes o potenciales sobre la compra, venta o mantenimiento de patrimonio e instrumentos de deuda dependen de la rentabilidad que esperen obtener de una inversión en esos instrumentos, por ejemplo dividendos, pagos del principal e intereses o incrementos del precio de mercado. De forma similar, las decisiones que tomen prestamistas y otros acreedores existentes o potenciales sobre proporcionar o liquidar préstamos y otras formas de crédito dependen de los pagos del principal e intereses u otra rentabilidad que esperen obtener. Las expectativas de inversores, prestamistas y otros acreedores sobre rentabilidades dependen de su evaluación del importe, calendario e incertidumbre sobre (las perspectivas de) la entrada de efectivo neta futura a la entidad. Por consiguiente, los inversores, prestamistas y otros acreedores existentes o potenciales necesitan información que les ayude a evaluar las perspectivas de entrada de efectivo neta futura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OB4 Para evaluar las perspectivas de entrada de efectivo neta futura de una entidad, inversores, prestamistas y otros acreedores existentes o potenciales necesitan información sobre los recursos de la entidad, derechos de los acreedores contra la entidad y la medida en que la gerencia y el órgano de gobierno</w:t>
      </w:r>
      <w:hyperlink r:id="rId7" w:anchor="bf15592dac4ee0b4dc581512edb8cadff54nf9" w:tgtFrame="_self" w:history="1">
        <w:r w:rsidRPr="00401DFF">
          <w:rPr>
            <w:rFonts w:ascii="Times New Roman" w:eastAsia="Times New Roman" w:hAnsi="Times New Roman" w:cs="Times New Roman"/>
            <w:color w:val="0000FF"/>
            <w:sz w:val="20"/>
            <w:szCs w:val="20"/>
            <w:u w:val="single"/>
            <w:vertAlign w:val="superscript"/>
            <w:lang w:eastAsia="es-CO"/>
          </w:rPr>
          <w:t>(2)</w:t>
        </w:r>
      </w:hyperlink>
      <w:r w:rsidRPr="00401DFF">
        <w:rPr>
          <w:rFonts w:ascii="Times New Roman" w:eastAsia="Times New Roman" w:hAnsi="Times New Roman" w:cs="Times New Roman"/>
          <w:sz w:val="24"/>
          <w:szCs w:val="24"/>
          <w:lang w:eastAsia="es-CO"/>
        </w:rPr>
        <w:t xml:space="preserve"> han cumplido eficiente y eficazmente con sus responsabilidades relacionadas con el uso de los recursos de la entidad. Ejemplos de estas responsabilidades incluyen la protección de los recursos de la entidad contra efectos desfavorables de factores económicos tales como cambios tecnológicos o en precios y asegurar que la entidad cumple con la legislación, regulación y disposiciones contractuales que le sean aplicables. La información sobre el cumplimiento de la gerencia con sus responsabilidades es también útil para las decisiones de inversores, prestamistas y otros acreedores existentes que tienen el derecho de aprobar las acciones de la gerencia u otro tipo de influencia.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OB5 Numerosos inversores, prestamistas y otros acreedores existentes no pueden requerir que las entidades que informan les proporcionen información directamente y deben confiar en los informes financieros con propósito general para obtener la mayor parte de la información financiera que necesitan. Por consiguiente, ellos son los principales usuarios a quienes se dirigen los informes financieros con propósito 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OB6 Sin embargo, los informes financieros con propósito general no proporcionan ni pueden proporcionar toda la información que necesitan los inversores, prestamistas y otros acreedores existentes o potenciales. Esos usuarios necesitan considerar la información pertinente de otras fuentes, por ejemplo, condiciones económicas generales y expectativas, sucesos y situación política, y perspectivas del sector industrial y de la empresa.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OB7 Los informes financieros con propósito general no están diseñados para mostrar el valor de la entidad que informa; pero proporcionan información para ayudar a los inversores, prestamistas y otros acreedores existentes o potenciales a estimar el valor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OB8 Los usuarios principales individuales tienen necesidades de información y deseos diferentes, y que posiblemente entran en conflicto. El Consejo, al desarrollar las normas de información financiera, tratará de proporcionar el conjunto de información que satisfaga las necesidades del mayor número de usuarios principales. Sin embargo, centrarse en las necesidades de información común no impide que la entidad que informa incluya información adicional que sea más útil a un subconjunto particular de usuarios principales.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OB9 La gerencia de una entidad que informa también está interesada en información financiera sobre la entidad. Sin embargo, la gerencia no necesita confiar en informes financieros con propósito general porque es capaz de obtener la información financiera que necesita de forma interna.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OB10 Otras partes, tales como reguladores y público distinto de los inversores, prestamistas y otros acreedores, pueden encontrar también útiles los informes financieros con propósito general. Sin embargo, esos informes no están principalmente dirigidos a estos otros grupos.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OB11 En gran medida, los informes financieros se basan en estimaciones, juicios y modelos en lugar de representaciones exactas. El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 xml:space="preserve">establece los conceptos que subyacen en esas estimaciones, juicios y modelos. Los conceptos son las metas que se esfuerzan en alcanzar el Consejo y los preparadores de los informes financieros. Como en la mayoría de las metas, la visión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de la información financiera ideal es improbable que se alcance en su totalidad, al menos no a corto plazo, porque lleva tiempo comprender, aceptar e implementar nuevas formas de analizar transacciones y otros sucesos. No obstante, establecer una meta hacia la que dirigir los esfuerzos es esencial si la información financiera ha de evolucionar para mejorar su utilidad.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los recursos económicos, los derechos de los acreedores contra la entidad y sus cambios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OB12 Los informes financieros con propósito general proporcionan información sobre la situación financiera de una entidad que informa, que es información sobre los recursos económicos de la entidad y los derechos de los acreedores contra la entidad que informa. Los informes financieros también proporcionan información sobre los efectos de transacciones y otros sucesos que cambian los recursos económicos y los derechos de los acreedores de una entidad que informa. Ambos tipos de información proporcionan datos de entrada útiles para tomar decisiones sobre proporcionar recursos a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Recursos económicos y derechos de los acreedores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OB13 La información sobre la naturaleza e importes de los recursos económicos y los derechos de los acreedores de la entidad que informa puede ayudar a los usuarios a identificar las fortalezas y debilidades financieras de la entidad que informa. Esa información puede ayudar a los usuarios a evaluar la liquidez y solvencia de la entidad que informa, sus necesidades de financiación adicional y las posibilidades de tener éxito en obtener esa financiación. La información sobre prioridades y requerimientos de pago de </w:t>
      </w:r>
      <w:r w:rsidRPr="00401DFF">
        <w:rPr>
          <w:rFonts w:ascii="Times New Roman" w:eastAsia="Times New Roman" w:hAnsi="Times New Roman" w:cs="Times New Roman"/>
          <w:sz w:val="24"/>
          <w:szCs w:val="24"/>
          <w:lang w:eastAsia="es-CO"/>
        </w:rPr>
        <w:lastRenderedPageBreak/>
        <w:t>derechos de acreedores existentes ayuda a los usuarios a predecir la forma en que se distribuirán los flujos de efectivo futuros entre los derechos que tengan los acreedores contra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OB14 Los diferentes tipos de recursos económicos afectan de forma distinta a la evaluación de un usuario de las perspectivas de la entidad que informa sobre los flujos de efectivo futuros. Algunos flujos de efectivo futuros proceden directamente de recursos económicos existentes, tales como cuentas por cobrar. Otros flujos de efectivo proceden del uso de varios recursos en combinación con la producción y comercialización de bienes o servicios a los clientes. Aunque esos flujos de efectivo no pueden identificarse con recursos económicos individuales (o derechos de los acreedores), los usuarios de los informes financieros necesitan conocer la naturaleza e importe de los recursos disponibles para utilizar en las operaciones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los recursos económicos y en los derechos de los acreedores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OB15 Los cambios en los recursos económicos y en los derechos de los acreedores de la entidad que informa proceden del rendimiento financiero de esa entidad (véanse los párrafos OB17 a OB20) y de otros sucesos o transacciones tales como la emisión de deuda o instrumentos de patrimonio (véase el párrafo OB21). Para evaluar de forma apropiada las perspectivas de flujos de efectivo futuros de la entidad que informa, los usuarios necesitan ser capaces de distinguir entre ambos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OB16 La información sobre el rendimiento financiero de una entidad que informa ayuda a los usuarios a comprender la rentabilidad que la entidad ha producido a partir de sus recursos económicos. La información sobre la rentabilidad que ha producido la entidad proporciona un indicador de la medida en que ha cumplido con sus responsabilidades de hacer un uso eficiente y eficaz de los recursos de la entidad que informa. La información sobre la variabilidad y componentes de esa rentabilidad es también importante, especialmente para evaluar la incertidumbre de los flujos de efectivo futuros. La información sobre el rendimiento financiero pasado de la entidad que informa y la medida en que su gerencia ha cumplido con sus responsabilidades es habitualmente útil para predecir la rentabilidad futura de los recursos económicos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Rendimiento financiero reflejado por la contabilidad de acumulación (o devengo)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OB17 La contabilidad de acumulación (o devengo) describe los efectos de las transacciones y otros sucesos y circunstancias sobre los recursos económicos y los derechos de los acreedores de la entidad que informa en los periodos en que esos efectos tienen lugar, incluso si los cobros y pagos resultantes se producen en un periodo diferente. Esto es importante porque la información sobre los recursos económicos y los derechos de los acreedores de la entidad que informa y sus cambios durante un periodo proporciona una mejor base para evaluar el rendimiento pasado y futuro de la entidad que la información únicamente sobre cobros y pagos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OB18 La información sobre el rendimiento financiero de la entidad que informa durante un periodo, reflejado por los cambios en sus recursos económicos y derechos de los acreedores </w:t>
      </w:r>
      <w:r w:rsidRPr="00401DFF">
        <w:rPr>
          <w:rFonts w:ascii="Times New Roman" w:eastAsia="Times New Roman" w:hAnsi="Times New Roman" w:cs="Times New Roman"/>
          <w:sz w:val="24"/>
          <w:szCs w:val="24"/>
          <w:lang w:eastAsia="es-CO"/>
        </w:rPr>
        <w:lastRenderedPageBreak/>
        <w:t>distintos de los de obtener recursos adicionales de forma directa de los inversores y acreedores (véase el párrafo OB21), es útil para evaluar la capacidad pasada y futura de la entidad para generar entradas de efectivo netas. Esa información indica en qué medida la entidad que informa ha incrementado sus recursos económicos disponibles, y de ese modo su capacidad para generar entradas de efectivo netas mediante sus operaciones en lugar de obtener recursos adicionales directamente de los inversores y acreedores.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OB19 La información sobre el rendimiento financiero de la entidad que informa durante un periodo puede también indicar la medida en que sucesos tales como los cambios en los precios de mercado o tasas de interés han incrementado o disminuido los recursos económicos y los derechos de los acreedores de la entidad, y así afectar a la capacidad de la entidad para generar entradas de efectivo netas.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Rendimiento financiero reflejado por flujos de efectivo pasados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OB20 La información sobre los flujos de efectivo de una entidad que informa durante un periodo también ayuda a los usuarios a evaluar la capacidad de la entidad para generar entradas de efectivo netas futuras. Ello indica la forma en que la entidad que informa obtiene y gasta efectivo, incluyendo información sobre sus préstamos y reembolso de deuda, dividendos en efectivo u otras distribuciones de efectivo a los inversores, y otros factores que pueden afectar a la liquidez y solvencia de la entidad. La información sobre los flujos de efectivo ayuda a los usuarios a comprender las operaciones de una entidad que informa, a evaluar sus actividades de inversión y financiación, determinar su liquidez y solvencia e interpretar otra información sobre el rendimiento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los recursos económicos y en los derechos de los acreedores que no proceden del rendimiento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OB21 Los recursos económicos y los derechos de los acreedores de una entidad que informa pueden cambiar también por razones distintas del rendimiento financiero, tales como la emisión de títulos de propiedad adicionales. La información sobre este tipo de cambios es necesaria para proporcionar a los usuarios una comprensión completa de porqué cambiaron los recursos económicos y los derechos de los acreedores de la entidad que informa y las implicaciones de esos cambios para su rendimiento financiero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2: </w:t>
      </w:r>
      <w:r w:rsidRPr="00401DFF">
        <w:rPr>
          <w:rFonts w:ascii="Times New Roman" w:eastAsia="Times New Roman" w:hAnsi="Times New Roman" w:cs="Times New Roman"/>
          <w:b/>
          <w:bCs/>
          <w:i/>
          <w:iCs/>
          <w:sz w:val="24"/>
          <w:szCs w:val="24"/>
          <w:lang w:eastAsia="es-CO"/>
        </w:rPr>
        <w:t>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[Pendiente de añadir]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3: </w:t>
      </w:r>
      <w:r w:rsidRPr="00401DFF">
        <w:rPr>
          <w:rFonts w:ascii="Times New Roman" w:eastAsia="Times New Roman" w:hAnsi="Times New Roman" w:cs="Times New Roman"/>
          <w:b/>
          <w:bCs/>
          <w:i/>
          <w:iCs/>
          <w:sz w:val="24"/>
          <w:szCs w:val="24"/>
          <w:lang w:eastAsia="es-CO"/>
        </w:rPr>
        <w:t>CARACTERÍSTICAS CUALITATIVAS DE LA INFORMACIÓN FINANCIERA ÚTIL</w:t>
      </w:r>
    </w:p>
    <w:tbl>
      <w:tblPr>
        <w:tblW w:w="9315" w:type="dxa"/>
        <w:jc w:val="center"/>
        <w:tblCellSpacing w:w="15" w:type="dxa"/>
        <w:tblCellMar>
          <w:top w:w="15" w:type="dxa"/>
          <w:left w:w="15" w:type="dxa"/>
          <w:bottom w:w="15" w:type="dxa"/>
          <w:right w:w="15" w:type="dxa"/>
        </w:tblCellMar>
        <w:tblLook w:val="04A0" w:firstRow="1" w:lastRow="0" w:firstColumn="1" w:lastColumn="0" w:noHBand="0" w:noVBand="1"/>
      </w:tblPr>
      <w:tblGrid>
        <w:gridCol w:w="6198"/>
        <w:gridCol w:w="942"/>
        <w:gridCol w:w="2175"/>
      </w:tblGrid>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21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desde párrafo</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CC1</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CUALITATIVAS DE LA INFORMACIÓN FINANCIERA ÚTIL</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CC4</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Características cualitativas fundamentales</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CC5</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Relevancia</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CC6</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Materialidad o Importancia relativa</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CC11</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Representación fiel</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CC12</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Aplicación de las características cualitativas fundamentales</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CC17</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cualitativas de mejora</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CC19</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Comparabilidad</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CC20</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Verificabilidad</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CC26</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Oportunidad</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CC29</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Comprensibilidad</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CC30</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Aplicación de las características de mejora</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CC33</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1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RESTRICCIÓN DEL COSTO EN LA INFORMACIÓN FINANCIERA ÚTIL</w:t>
            </w:r>
          </w:p>
        </w:tc>
        <w:tc>
          <w:tcPr>
            <w:tcW w:w="91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CC35</w:t>
            </w:r>
          </w:p>
        </w:tc>
        <w:tc>
          <w:tcPr>
            <w:tcW w:w="21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3: </w:t>
      </w:r>
      <w:r w:rsidRPr="00401DFF">
        <w:rPr>
          <w:rFonts w:ascii="Times New Roman" w:eastAsia="Times New Roman" w:hAnsi="Times New Roman" w:cs="Times New Roman"/>
          <w:b/>
          <w:bCs/>
          <w:i/>
          <w:iCs/>
          <w:sz w:val="24"/>
          <w:szCs w:val="24"/>
          <w:lang w:eastAsia="es-CO"/>
        </w:rPr>
        <w:t>Características cualitativas de la información financiera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 Las características cualitativas de la información financiera útil consideradas en este capítulo identifican los tipos de información que van a ser probablemente más útiles a los inversores, prestamistas y otros acreedores existentes y potenciales para la toma de decisiones sobre la entidad que informa a partir de la información contenida en su informe financiero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CC2 Los informes financieros proporcionan información sobre los recursos económicos de la entidad que informa, los derechos de los acreedores contra la entidad que informa y los efectos de las transacciones y otros sucesos y condiciones que cambian esos recursos y derechos de los acreedores. (A esta información se hace referencia en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como información sobre los fenómenos económicos). Algunos informes financieros también incluyen material explicativo sobre las expectativas y estrategias de la gerencia de la entidad que informa, y otros tipos de información proyectada al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 Las características cualitativas de la información financiera útil</w:t>
      </w:r>
      <w:hyperlink r:id="rId8" w:anchor="bf116995c2091ae40f2a8769d1bb449afcdnf9" w:tgtFrame="_self" w:history="1">
        <w:r w:rsidRPr="00401DFF">
          <w:rPr>
            <w:rFonts w:ascii="Times New Roman" w:eastAsia="Times New Roman" w:hAnsi="Times New Roman" w:cs="Times New Roman"/>
            <w:color w:val="0000FF"/>
            <w:sz w:val="20"/>
            <w:szCs w:val="20"/>
            <w:u w:val="single"/>
            <w:vertAlign w:val="superscript"/>
            <w:lang w:eastAsia="es-CO"/>
          </w:rPr>
          <w:t>(3)</w:t>
        </w:r>
      </w:hyperlink>
      <w:r w:rsidRPr="00401DFF">
        <w:rPr>
          <w:rFonts w:ascii="Times New Roman" w:eastAsia="Times New Roman" w:hAnsi="Times New Roman" w:cs="Times New Roman"/>
          <w:sz w:val="24"/>
          <w:szCs w:val="24"/>
          <w:lang w:eastAsia="es-CO"/>
        </w:rPr>
        <w:t xml:space="preserve"> se aplican a la información financiera proporcionada en los estados financieros, así como a la información financiera proporcionada por otras vías. El costo, que es una restricción dominante a la capacidad de la entidad que informa para proporcionar información financiera útil, se aplica de forma similar. Sin embargo, las consideraciones al aplicar las características cualitativas y la restricción del costo pueden ser diferentes para diversos tipos de información. Por ejemplo, si se aplican a la información proyectada al futuro pueden ser diferentes de si se hace a la información sobre los recursos económicos y los derechos de los acreedores existentes y a los cambios en esos recursos y derechos de los acreedores.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cualitativas de la información financiera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CC4 Si la información financiera ha de ser útil, debe ser relevante y representar fielmente lo que pretende representar. La utilidad de la información financiera se mejora si es comparable, verificable, oportuna y comprensible.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cualitativas fundamentales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CC5 Las características cualitativas fundamentales son </w:t>
      </w:r>
      <w:r w:rsidRPr="00401DFF">
        <w:rPr>
          <w:rFonts w:ascii="Times New Roman" w:eastAsia="Times New Roman" w:hAnsi="Times New Roman" w:cs="Times New Roman"/>
          <w:i/>
          <w:iCs/>
          <w:sz w:val="24"/>
          <w:szCs w:val="24"/>
          <w:lang w:eastAsia="es-CO"/>
        </w:rPr>
        <w:t>relevancia y representación fiel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Relevancia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CC6 La información financiera relevante es capaz de influir en las decisiones tomadas por los usuarios. La información puede ser capaz de influir en una decisión incluso si algunos usuarios eligen no aprovecharla o son ya conocedores de ella por otras fuentes.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CC7 La información financiera es capaz de influir en las decisiones si tiene valor predictivo, valor confirmatorio o ambos.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CC8 La información financiera tiene valor predictivo si puede utilizarse como un dato de entrada en los procesos utilizados por usuarios para predecir resultados futuros. La información financiera no necesita ser una predicción o una previsión para tener valor predictivo. La información financiera con valor predictivo se emplea por los usuarios para llevar a cabo sus propias predicciones.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CC9 La información financiera tiene valor confirmatorio si proporciona información sobre (confirma o cambia) evaluaciones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CC10 El valor predictivo y confirmatorio de la información están interrelacionados. La información que tiene valor predictivo habitualmente también tiene valor confirmatorio. Por ejemplo, información de ingresos de actividades ordinarias para el ejercicio corriente, que puede ser utilizada como base para la predicción de ingresos de actividades ordinarias en ejercicios futuros, puede también compararse con predicciones de ingresos de actividades ordinarias para el ejercicio actual que se realizaron en ejercicios pasados. Los resultados de esas comparaciones pueden ayudar a un usuario a corregir y mejorar los procesos que se utilizaron para hacer esas predicciones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Materialidad o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CC11 La información es material o tiene importancia relativa si su omisión o expresión inadecuada puede influir en decisiones que llevan a cabo los usuarios sobre la base de la información financiera de una entidad que informa específica. En otras palabras, materialidad o importancia relativa es un aspecto de la relevancia específico de una entidad, basado en la naturaleza o magnitud, o ambas, de las partidas a las que se refiere la información en el contexto del informe financiero de una entidad individual. Por consiguiente, el Consejo no puede especificar un umbral cuantitativo uniforme para la materialidad o importancia relativa o predeterminar qué podría ser material o tener importancia relativa en una situación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Representación fiel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CC12 Los informes financieros representan fenómenos económicos en palabras y números. Para ser útil, la información financiera debe no solo representar los fenómenos relevantes, sino que también debe representar fielmente los fenómenos que pretende representar. Para ser una representación fiel perfecta, una descripción tendría tres características. Sería </w:t>
      </w:r>
      <w:r w:rsidRPr="00401DFF">
        <w:rPr>
          <w:rFonts w:ascii="Times New Roman" w:eastAsia="Times New Roman" w:hAnsi="Times New Roman" w:cs="Times New Roman"/>
          <w:i/>
          <w:iCs/>
          <w:sz w:val="24"/>
          <w:szCs w:val="24"/>
          <w:lang w:eastAsia="es-CO"/>
        </w:rPr>
        <w:t>completa, neutral y libre de error</w:t>
      </w:r>
      <w:r w:rsidRPr="00401DFF">
        <w:rPr>
          <w:rFonts w:ascii="Times New Roman" w:eastAsia="Times New Roman" w:hAnsi="Times New Roman" w:cs="Times New Roman"/>
          <w:sz w:val="24"/>
          <w:szCs w:val="24"/>
          <w:lang w:eastAsia="es-CO"/>
        </w:rPr>
        <w:t>. Naturalmente, la perfección es rara vez, si lo es alguna vez, alcanzable. El objetivo del Consejo es maximizar esas cualidades en la medida de lo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CC13 Una descripción completa incluye toda la información necesaria para que un usuario comprenda el fenómeno que está siendo representado, incluyendo todas las descripciones y explicaciones necesarias. Por ejemplo, una representación completa de un grupo de activos incluiría, como mínimo, una descripción de la naturaleza de los activos del grupo, una descripción numérica de todos los activos del grupo, y una descripción de qué representa la descripción numérica (por ejemplo, costo original, costo ajustado o valor razonable). Para algunas partidas, una descripción completa puede también conllevar explicaciones de hechos significativos sobre la calidad y naturaleza de las partidas, factores y circunstancias que pueden afectar a su calidad y naturaleza, y al proceso utilizado para determinar la descripción numérica.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CC14 Una descripción neutral no tiene sesgo en la selección o presentación de la información financiera. Una descripción neutral no está sesgada, ponderada, enfatizada, atenuada o manipulada de cualquier forma para incrementar la probabilidad de que la información financiera se reciba de forma favorable o adversa por los usuarios. Información neutral no significa información sin propósito o influencia sobre el comportamiento. Por el contrario, información financiera relevante es, por definición, capaz de influir en las decisiones de los usuarios.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CC15 Representación fiel no significa exactitud en todos los aspectos. Libre de error significa que no hay errores u omisiones en la descripción del fenómeno, y que el proceso utilizado para producir la información presentada se ha seleccionado y aplicado sin errores. En este contexto, libre de errores no significa perfectamente exacto en todos los aspectos. Por ejemplo, una estimación de un precio o valor no observable no puede señalarse que sea exacto o inexacto. Sin embargo, una representación de esa estimación puede ser útil si el importe se describe con claridad y exactitud como que es una estimación, se explican la naturaleza y limitaciones del proceso de estimación, y no se han cometido errores al seleccionar y aplicar un proceso adecuado para desarrollar la estimación.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CC16 Una representación fiel, por sí misma, no da necesariamente lugar a información útil. Por ejemplo, una entidad que informa puede recibir propiedades, planta y equipo mediante una subvención del gobierno. Obviamente, informar de que una entidad adquirió un activo sin costo representaría fielmente su costo, pero esa información no sería probablemente muy útil. Un ejemplo ligeramente más sutil es una estimación del importe por el que debe ajustarse el importe en libros de un activo para reflejar un deterioro de valor. Esa estimación puede ser una representación fiel si la entidad que informa ha aplicado correctamente un proceso adecuado, descrito correctamente la estimación y explicado las </w:t>
      </w:r>
      <w:r w:rsidRPr="00401DFF">
        <w:rPr>
          <w:rFonts w:ascii="Times New Roman" w:eastAsia="Times New Roman" w:hAnsi="Times New Roman" w:cs="Times New Roman"/>
          <w:sz w:val="24"/>
          <w:szCs w:val="24"/>
          <w:lang w:eastAsia="es-CO"/>
        </w:rPr>
        <w:lastRenderedPageBreak/>
        <w:t>incertidumbres que afectan de forma significativa a la estimación. Sin embargo, si el nivel de incertidumbre en esa estimación es suficientemente grande, esa estimación no será particularmente útil. En otras palabras, es cuestionable la relevancia del activo que está siendo representado fielmente. Si no hay representación alternativa que sea más útil, esa estimación puede proporcionar la mejor información disponible.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las características cualitativas fundamentales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CC17 La información debe ser tanto relevante como fielmente representada si ha de ser útil. Ni una representación fiel de un fenómeno irrelevante ni una representación no fidedigna de un fenómeno relevante ayuda a los usuarios a tomar decisiones adecuadas.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CC18 La mayoría de los procesos eficientes y eficaces para aplicar las características cualitativas fundamentales serían habitualmente de la forma siguiente (sujetos a los efectos de las características de mejora y la restricción del costo que no están consideradas en este ejemplo). Primero, identificar un fenómeno económico que tiene el potencial de ser útil a los usuarios de la información financiera de la entidad que informa. Segundo, identificar el tipo de información sobre ese fenómeno que sería más relevante si se encontrara disponible y pudiera ser representada fielmente. Tercero, determinar si esa información está disponible y puede ser representada fielmente. Si es así, el proceso de satisfacer las características cualitativas fundamentales termina en ese punto. Si no es así, el proceso se repite con el siguiente tipo de información más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cualitativas de mejora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CC19 </w:t>
      </w:r>
      <w:r w:rsidRPr="00401DFF">
        <w:rPr>
          <w:rFonts w:ascii="Times New Roman" w:eastAsia="Times New Roman" w:hAnsi="Times New Roman" w:cs="Times New Roman"/>
          <w:i/>
          <w:iCs/>
          <w:sz w:val="24"/>
          <w:szCs w:val="24"/>
          <w:lang w:eastAsia="es-CO"/>
        </w:rPr>
        <w:t>Comparabilidad, verificabilidad, oportunidad y comprensibilidad</w:t>
      </w:r>
      <w:r w:rsidRPr="00401DFF">
        <w:rPr>
          <w:rFonts w:ascii="Times New Roman" w:eastAsia="Times New Roman" w:hAnsi="Times New Roman" w:cs="Times New Roman"/>
          <w:sz w:val="24"/>
          <w:szCs w:val="24"/>
          <w:lang w:eastAsia="es-CO"/>
        </w:rPr>
        <w:t xml:space="preserve"> son características cualitativas que mejoran la utilidad de la información que es relevante y está fielmente representada. Las características cualitativas de mejora pueden también ayudar a determinar cuál de las dos vías debe utilizarse para describir un fenómeno, si ambas se consideran igualmente relevantes y fielmente representadas.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Comparabilidad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CC20 Las decisiones de los usuarios conllevan elegir entre alternativas, por ejemplo, vender o mantener una inversión, o invertir en una entidad que informa o en otra. Por consiguiente, la información sobre una entidad que informa es más útil si puede ser comparada con información similar sobre otras entidades y con información similar sobre la misma entidad para otro periodo u otra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CC21 La comparabilidad es la característica cualitativa que permite a los usuarios identificar y comprender similitudes y diferencias entre partidas. A diferencia de otras características cualitativas, la comparabilidad no está relacionada con una única partida. Una comparación requiere al menos dos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CC22 Congruencia, aunque relacionada con la comparabilidad, no es lo mismo. La congruencia hace referencia al uso de los mismos métodos para las mismas partidas, de </w:t>
      </w:r>
      <w:r w:rsidRPr="00401DFF">
        <w:rPr>
          <w:rFonts w:ascii="Times New Roman" w:eastAsia="Times New Roman" w:hAnsi="Times New Roman" w:cs="Times New Roman"/>
          <w:sz w:val="24"/>
          <w:szCs w:val="24"/>
          <w:lang w:eastAsia="es-CO"/>
        </w:rPr>
        <w:lastRenderedPageBreak/>
        <w:t>periodo a periodo dentro de una entidad que informa o en un mismo periodo entre entidades. La comparabilidad es la meta; la congruencia ayuda al lograr esa meta.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CC23 La comparabilidad no es uniformidad. Para que la información sea comparable, cosas similares deben verse parecidas y cosas distintas deben verse diferentes. La comparabilidad de la información financiera no se mejora haciendo que las cosas diferentes se vean parecidas ni haciendo que las cosas similares se vean distintas.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CC24 Algún grado de comparabilidad probablemente se consigue satisfaciendo las características cualitativas fundamentales. Una representación fiel de un fenómeno económico relevante debería tener naturalmente algún grado de comparabilidad con una representación fiel de un fenómeno económico relevante similar de otra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CC25 Aunque un fenómeno económico único puede ser representado fielmente de múltiples formas, permitiendo métodos contables alternativos para el mismo fenómeno económico, ello disminuye la comparabilidad.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Verificabilidad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CC26 La verificabilidad ayuda a asegurar a los usuarios que la información representa fielmente los fenómenos económicos que pretende representar. Verificabilidad significa que observadores independientes diferentes debidamente informados podrían alcanzar un acuerdo, aunque no necesariamente completo, de que una descripción particular es una representación fiel. La información cuantificada no necesita ser una estimación única para ser verificable. También puede verificarse un rango de posibles importes y las probabilidades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CC27 La verificación puede ser directa o indirecta. Verificación directa significa comprobar un importe u otra representación mediante observación directa, por ejemplo, contando efectivo. Verificación indirecta significa comprobar los datos de entrada de un modelo, fórmulas u otra técnica y recalcular el resultado utilizando la misma metodología. Un ejemplo es verificar el importe del inventario comprobando los datos de entrada (cantidades y costos) y recalculando el inventario final utilizando la misma suposición de flujo de costo (por ejemplo, utilizando el método primera entrada, primera salida).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CC28 Puede no ser posible verificar algunas explicaciones e información financiera con proyección al futuro hasta un periodo futuro, si es que fuera posible en algún momento. Para ayudar a los usuarios a decidir si quieren utilizar esa información, sería normalmente necesario revelar las hipótesis subyacentes, los métodos de recopilar la información y otros factores y circunstancias que respaldan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Oportunidad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CC29 Oportunidad significa tener información disponible para los decisores a tiempo de ser capaz de influir en sus decisiones. Generalmente, cuanto más antigua es la información </w:t>
      </w:r>
      <w:r w:rsidRPr="00401DFF">
        <w:rPr>
          <w:rFonts w:ascii="Times New Roman" w:eastAsia="Times New Roman" w:hAnsi="Times New Roman" w:cs="Times New Roman"/>
          <w:sz w:val="24"/>
          <w:szCs w:val="24"/>
          <w:lang w:eastAsia="es-CO"/>
        </w:rPr>
        <w:lastRenderedPageBreak/>
        <w:t>menos útil es. Sin embargo, cierta información puede continuar siendo oportuna durante bastante tiempo después del cierre de un periodo sobre el que se informa porque, por ejemplo, algunos usuarios pueden necesitar identificar y evaluar tendencias.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Comprensibilidad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CC30 La clasificación, caracterización y presentación de la información de forma clara y concisa la hace </w:t>
      </w:r>
      <w:r w:rsidRPr="00401DFF">
        <w:rPr>
          <w:rFonts w:ascii="Times New Roman" w:eastAsia="Times New Roman" w:hAnsi="Times New Roman" w:cs="Times New Roman"/>
          <w:i/>
          <w:iCs/>
          <w:sz w:val="24"/>
          <w:szCs w:val="24"/>
          <w:lang w:eastAsia="es-CO"/>
        </w:rPr>
        <w:t>comprensible</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CC31 Algunos fenómenos son complejos en sí mismos y no puede hacerse fácil su comprensión. La exclusión de información sobre esos fenómenos en los informes financieros puede hacer la información de dichos informes financieros más fácil de comprender. Sin embargo, esos informes estarían incompletos y por ello potencialmente engañosos.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CC32 Los informes financieros se preparan para usuarios que tienen un conocimiento razonable de las actividades económicas y del mundo de los negocios y que revisan y analizan la información con diligencia. A veces, incluso usuarios diligentes y bien informados pueden necesitar recabar la ayuda de un asesor para comprender información sobre fenómenos económicos complejos.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las características cualitativas de mejora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CC33 Las características cualitativas de mejora deben maximizarse en la medida de lo posible. Sin embargo, las características cualitativas de mejora, individualmente o en grupo, no pueden hacer la información útil si es irrelevante y no se representa fielmente.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CC34 La aplicación de las características cualitativas de mejora es un proceso iterativo que no sigue un orden determinado. Algunas veces, una característica cualitativa de mejora puede haberse tenido que diminuir para maximizar otra característica cualitativa. Por ejemplo, una reducción temporal de la comparabilidad como resultado de la aplicación prospectiva de una norma de información financiera nueva puede merecer la pena para mejorar la relevancia o representación fiel en el largo plazo. Información a revelar adecuada puede compensar parcialmente la falta de comparabilidad.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restricción del costo en la información financiera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CC35 El costo es una restricción dominante en la información que puede proporcionarse mediante la información financiera. La presentación de información financiera impone costos, y es importante que esos costos estén justificados por los beneficios de presentar esa información. Existen varios tipos de costos y beneficios a considerar.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CC36 Los suministradores de información financiera consumen la mayor parte del esfuerzo involucrado en recopilar, procesar, verificar y diseminar información financiera, pero los usuarios son los que en última instancia cargan con esos costos en forma de rentabilidades reducidas. Los usuarios de la información financiera también incurren en costos de analizar </w:t>
      </w:r>
      <w:r w:rsidRPr="00401DFF">
        <w:rPr>
          <w:rFonts w:ascii="Times New Roman" w:eastAsia="Times New Roman" w:hAnsi="Times New Roman" w:cs="Times New Roman"/>
          <w:sz w:val="24"/>
          <w:szCs w:val="24"/>
          <w:lang w:eastAsia="es-CO"/>
        </w:rPr>
        <w:lastRenderedPageBreak/>
        <w:t>e interpretar la información proporcionada. Si no se proporciona información necesaria, los usuarios incurren en costos adicionales para obtener esa información en otro lugar o para estimarla.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CC37 La presentación de información financiera que sea relevante y represente fielmente lo que pretende representar ayuda a los usuarios a tomar decisiones con más confianza. Esto da lugar a un funcionamiento más eficiente de los mercados de capitales y a un menor costo de capital para la economía en su conjunto. Un inversor individual, prestamista u otro acreedor también se beneficia mediante la toma de decisiones mejor informadas. Sin embargo, no es posible que informes financieros con propósito general proporcionen toda la información que cada usuario encuentra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CC38 Al aplicar la restricción del costo, el Consejo evalúa si los beneficios de presentar una información en particular probablemente justifican los costos incurridos para suministrar y utilizar esa información. Cuando se aplica la restricción del costo al desarrollar una propuesta de norma de información financiera, el Consejo recaba información de los suministradores de información financiera, usuarios, auditores, académicos y otros sobre la naturaleza y cantidad de los beneficios y costos esperados de esa norma. En la mayoría de las situaciones, las evaluaciones se basan en una combinación de información cuantitativa y cualitativa.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CC39 Debido a la subjetividad inherente, las evaluaciones individuales diferentes de los costos y beneficios de la presentación de partidas particulares de información financiera variarán. Por ello, el Consejo pretende considerar los costos y beneficios en relación a la información financiera de forma general, y no solo en relación a entidades que informan individuales. Eso no significa que las evaluaciones de costos y beneficios justifiquen siempre los mismos requerimientos de información para todas las entidades. Las diferencias pueden resultar apropiadas debido a los distintos tamaños de entidades, diversas formas de obtener capital (en mercados cotizados o no cotizados) necesidades de los diferentes usuarios u otros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4: </w:t>
      </w:r>
      <w:r w:rsidRPr="00401DFF">
        <w:rPr>
          <w:rFonts w:ascii="Times New Roman" w:eastAsia="Times New Roman" w:hAnsi="Times New Roman" w:cs="Times New Roman"/>
          <w:b/>
          <w:bCs/>
          <w:i/>
          <w:iCs/>
          <w:sz w:val="24"/>
          <w:szCs w:val="24"/>
          <w:lang w:eastAsia="es-CO"/>
        </w:rPr>
        <w:t xml:space="preserve">EL MARCO CONCEPTUAL DE 1989: EL TEXTO RESTANTE </w:t>
      </w:r>
    </w:p>
    <w:tbl>
      <w:tblPr>
        <w:tblW w:w="8610" w:type="dxa"/>
        <w:jc w:val="center"/>
        <w:tblCellSpacing w:w="15" w:type="dxa"/>
        <w:tblCellMar>
          <w:top w:w="15" w:type="dxa"/>
          <w:left w:w="15" w:type="dxa"/>
          <w:bottom w:w="15" w:type="dxa"/>
          <w:right w:w="15" w:type="dxa"/>
        </w:tblCellMar>
        <w:tblLook w:val="04A0" w:firstRow="1" w:lastRow="0" w:firstColumn="1" w:lastColumn="0" w:noHBand="0" w:noVBand="1"/>
      </w:tblPr>
      <w:tblGrid>
        <w:gridCol w:w="6109"/>
        <w:gridCol w:w="743"/>
        <w:gridCol w:w="1758"/>
      </w:tblGrid>
      <w:tr w:rsidR="00401DFF" w:rsidRPr="00401DFF" w:rsidTr="00401DFF">
        <w:trPr>
          <w:tblCellSpacing w:w="15" w:type="dxa"/>
          <w:jc w:val="center"/>
        </w:trPr>
        <w:tc>
          <w:tcPr>
            <w:tcW w:w="6735"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69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desde párrafo</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FUNDAMENTALES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de negocio en marcha</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ELEMENTOS DE LOS ESTADOS FINANCIEROS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Situación financiera</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4.8</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4.15</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Patrimonio</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4.20</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Rendimiento</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4.24</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Ingresos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4.29</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Gastos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4.33</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Ajustes por mantenimiento del capital</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4.36</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LOS ELEMENTOS DE LOS ESTADOS FINANCIEROS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4.37</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probabilidad de obtener beneficios económicos futuros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4.40</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Fiabilidad de la medición</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4.41</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activos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4.44</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pasivos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4.46</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ingresos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4.47</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gastos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4.49</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LOS ELEMENTOS DE LOS ESTADOS FINANCIEROS</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4.54</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CAPITAL Y DE MANTENIMIENTO DEL CAPITAL</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4.57</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capital</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4.57</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60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mantenimiento del capital y la determinación del resultado</w:t>
            </w:r>
          </w:p>
        </w:tc>
        <w:tc>
          <w:tcPr>
            <w:tcW w:w="70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4.59</w:t>
            </w:r>
          </w:p>
        </w:tc>
        <w:tc>
          <w:tcPr>
            <w:tcW w:w="169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Capítulo 4: </w:t>
      </w:r>
      <w:r w:rsidRPr="00401DFF">
        <w:rPr>
          <w:rFonts w:ascii="Times New Roman" w:eastAsia="Times New Roman" w:hAnsi="Times New Roman" w:cs="Times New Roman"/>
          <w:b/>
          <w:bCs/>
          <w:i/>
          <w:iCs/>
          <w:sz w:val="24"/>
          <w:szCs w:val="24"/>
          <w:lang w:eastAsia="es-CO"/>
        </w:rPr>
        <w:t>El Marco Conceptual (1989): el texto restante</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8"/>
      </w:tblGrid>
      <w:tr w:rsidR="00401DFF" w:rsidRPr="00401DFF" w:rsidTr="00401DFF">
        <w:trPr>
          <w:tblCellSpacing w:w="0" w:type="dxa"/>
          <w:jc w:val="center"/>
        </w:trPr>
        <w:tc>
          <w:tcPr>
            <w:tcW w:w="898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texto restante del</w:t>
            </w:r>
            <w:r w:rsidRPr="00401DFF">
              <w:rPr>
                <w:rFonts w:ascii="Times New Roman" w:eastAsia="Times New Roman" w:hAnsi="Times New Roman" w:cs="Times New Roman"/>
                <w:sz w:val="24"/>
                <w:szCs w:val="24"/>
                <w:lang w:eastAsia="es-CO"/>
              </w:rPr>
              <w:t xml:space="preserve"> Marco Conceptual para la Preparación y Presentación de los Estados Financieros </w:t>
            </w:r>
            <w:r w:rsidRPr="00401DFF">
              <w:rPr>
                <w:rFonts w:ascii="Times New Roman" w:eastAsia="Times New Roman" w:hAnsi="Times New Roman" w:cs="Times New Roman"/>
                <w:i/>
                <w:iCs/>
                <w:sz w:val="24"/>
                <w:szCs w:val="24"/>
                <w:lang w:eastAsia="es-CO"/>
              </w:rPr>
              <w:t>(1989) no se ha modificado para reflejar los cambios realizados mediante la NIC 1</w:t>
            </w:r>
            <w:r w:rsidRPr="00401DFF">
              <w:rPr>
                <w:rFonts w:ascii="Times New Roman" w:eastAsia="Times New Roman" w:hAnsi="Times New Roman" w:cs="Times New Roman"/>
                <w:sz w:val="24"/>
                <w:szCs w:val="24"/>
                <w:lang w:eastAsia="es-CO"/>
              </w:rPr>
              <w:t xml:space="preserve"> Presentación de Estados Financieros </w:t>
            </w:r>
            <w:r w:rsidRPr="00401DFF">
              <w:rPr>
                <w:rFonts w:ascii="Times New Roman" w:eastAsia="Times New Roman" w:hAnsi="Times New Roman" w:cs="Times New Roman"/>
                <w:i/>
                <w:iCs/>
                <w:sz w:val="24"/>
                <w:szCs w:val="24"/>
                <w:lang w:eastAsia="es-CO"/>
              </w:rPr>
              <w:t>(revisada en 2007).</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El texto restante se actualizará en el momento en que Consejo haya considerado los elementos de los estados financieros y sus bases de medición.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fundamentales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de negocio en marcha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Los estados financieros se preparan normalmente bajo el supuesto de que una entidad está en funcionamiento, y continuará su actividad dentro del futuro previsible. Por lo tanto, se supone que la entidad no tiene la intención ni la necesidad de liquidar o recortar de forma importante la escala de sus operaciones. Si tal intención o necesidad existiera, los estados financieros pueden tener que prepararse sobre una base diferente, en cuyo caso dicha base debería revelarse.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Elementos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 Los estados financieros reflejan los efectos financieros de las transacciones y otros sucesos, agrupándolos en grandes categorías, de acuerdo con sus características económicas. Estas grandes categorías son los elementos de los estados financieros. Los elementos relacionados directamente con la medida de la situación financiera en el balance son los activos, los pasivos y el patrimonio. Los elementos directamente relacionados con la medida del rendimiento en el estado de resultados son los ingresos y los gastos. El estado </w:t>
      </w:r>
      <w:r w:rsidRPr="00401DFF">
        <w:rPr>
          <w:rFonts w:ascii="Times New Roman" w:eastAsia="Times New Roman" w:hAnsi="Times New Roman" w:cs="Times New Roman"/>
          <w:sz w:val="24"/>
          <w:szCs w:val="24"/>
          <w:lang w:eastAsia="es-CO"/>
        </w:rPr>
        <w:lastRenderedPageBreak/>
        <w:t xml:space="preserve">de cambios en la situación financiera habitualmente refleja elementos del estado de resultados y cambios en los elementos del balance; por consiguiente,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identifica elementos exclusivos de este estado.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La presentación de los elementos precedentes, tanto en el balance como en el estado de resultados, implica un proceso de subdivisión. Por ejemplo, los activos y pasivos pueden ser clasificados según su naturaleza, o de acuerdo con su función en el negocio de la entidad, a fin de presentar la información de la forma más útil a los usuarios para los propósitos de toma de decisiones económicas.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Los elementos relacionados directamente con la medida de la situación financiera son los activos, los pasivos y el patrimonio. Se definen como sigue: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activo es un recurso controlado por la entidad como resultado de sucesos pasados, del que la entidad espera obtener, en el futuro, beneficios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pasivo es una obligación presente de la entidad, surgida a raíz de sucesos pasados, al vencimiento de la cual, y para cancelarla, la entidad espera desprenderse de recursos que incorporan beneficios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Patrimonio es la parte residual de los activos de la entidad, una vez deducidos todos sus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Las definiciones de activo, pasivo y patrimonio, identifican sus características esenciales, pero no pretenden especificar las condiciones a cumplir para que tales elementos se reconozcan en el balance. Por tanto, las definiciones abarcan partidas que no se reconocerán como activos o pasivos en el balance, porque no cumplen los criterios para su reconocimiento, tal y como se contempla en los párrafos 4.37 a 4.53. En particular, la expectativa de que llegarán a, o saldrán, beneficios económicos de la entidad, debe tener el suficiente grado de certeza para cumplir la condición de probabilidad del párrafo 4.38, a fin de permitir que se reconozca un activo o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Al evaluar si una partida cumple la definición de activo, pasivo o patrimonio, debe prestarse atención a las condiciones esenciales y a la realidad económica que subyacen en la misma, y no meramente a su forma legal. Así, por ejemplo, en el caso de arrendamientos financieros, la esencia y realidad económica es que el arrendatario adquiere los beneficios económicos futuros por el uso del activo alquilado, durante la mayor parte de su vida útil, aceptando como contrapartida de tal derecho una obligación de pago por un importe aproximado al valor razonable del activo más una carga financiera, correspondiente a los aplazamientos en el pago. Por lo tanto, el arrendamiento financiero da lugar a partidas que satisfacen la definición de un activo y un pasivo, y se reconocerán como tales en el balance del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4.7 Los balances elaborados de acuerdo con las actuales NIIF, pueden incluir partidas que no satisfagan las definiciones de activo o de pasivo, y que no se muestren como parte del patrimonio. Sin embargo, las definiciones establecidas en el párrafo 4.4, serán la base para la revisión futura de las actuales NIIF, así como de la formulación de otras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Los beneficios económicos futuros incorporados a un activo consisten en el potencial del mismo para contribuir directa o indirectamente, a los flujos de efectivo y de otros equivalentes al efectivo de la entidad. Puede ser de tipo productivo, constituyendo parte de las actividades de operación de la entidad. Puede también tomar la forma de convertibilidad en efectivo u otras partidas equivalentes, o bien de capacidad para reducir pagos en el futuro, tal como cuando un proceso alternativo de manufactura reduce los costos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Usualmente, una entidad emplea sus activos para producir bienes o servicios capaces de satisfacer deseos o necesidades de los clientes; puesto que estos bienes o servicios satisfacen tales deseos o necesidades, los clientes están dispuestos a pagar por ellos y, por tanto, a contribuir a los flujos de efectivo de la entidad. El efectivo, por sí mismo, rinde un servicio a la entidad por la posibilidad de obtener, mediante su utilización, otros recursos.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4.10 Los beneficios económicos futuros incorporados a un activo pueden llegar a la entidad por diferentes vías. Por ejemplo, un activo puede ser: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utilizado aisladamente, o en combinación con otros activos, en la producción de bienes y servicios a vender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intercambiado por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utilizado para satisfacer un pasivo;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distribuido a los propietarios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4.11 Muchos activos, como por ejemplo las propiedades, planta y equipo, son elementos tangibles. Sin embargo la tangibilidad no es esencial para la existencia del activo; así las patentes y los derechos de autor, por ejemplo, tienen la cualidad de activos si se espera que produzcan beneficios económicos futuros para la entidad y son, además, controlados por ella.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4.12 Algunos activos, como por ejemplo las cuentas por cobrar y los terrenos, están asociados con derechos legales, incluido el derecho de propiedad. Al determinar la existencia o no de un activo, el derecho de propiedad no es esencial; así, por ejemplo, la propiedad en régimen de arrendamiento financiero son activos si la entidad controla los beneficios económicos que se espera obtener de ellos. Aunque la capacidad de una entidad para controlar estos beneficios sea, normalmente, el resultado de determinados derechos legales, una partida determinada podría incluso cumplir la definición de activo cuando no </w:t>
      </w:r>
      <w:r w:rsidRPr="00401DFF">
        <w:rPr>
          <w:rFonts w:ascii="Times New Roman" w:eastAsia="Times New Roman" w:hAnsi="Times New Roman" w:cs="Times New Roman"/>
          <w:sz w:val="24"/>
          <w:szCs w:val="24"/>
          <w:lang w:eastAsia="es-CO"/>
        </w:rPr>
        <w:lastRenderedPageBreak/>
        <w:t>se tenga control legal sobre ella. Por ejemplo, los procedimientos tecnológicos, producto de actividades de desarrollo llevadas a cabo por la entidad, pueden cumplir la definición de activo cuando, aunque se guarden en secreto sin patentar, la entidad controle los beneficios económicos que se esperan de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4.13 Los activos de una entidad proceden de transacciones u otros sucesos ocurridos en el pasado. Las entidades obtienen los activos mediante su compra o producción, pero también pueden generarse activos mediante otro tipo de transacciones; son ejemplos de ello los terrenos recibidos por la entidad del gobierno, dentro de un programa de fomento del desarrollo económico de un área geográfica, o el descubrimiento de yacimientos minerales. Las transacciones o sucesos que se espera ocurran en el futuro, no dan lugar por sí mismos a activos; así, por ejemplo, la intención de comprar inventarios no cumple, por sí misma, la definición de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4.14 Existe una asociación muy estrecha entre la realización de un determinado desembolso y la generación de un activo, aunque uno y otro no tienen por qué coincidir necesariamente. Por tanto, si la entidad realiza un desembolso, este hecho puede suministrar evidencia de que pueden obtenerse beneficios económicos, pero no es una prueba concluyente de que se esté ante una partida que satisfaga la definición de activo. De igual manera, la ausencia de un desembolso relacionado no impide que se esté ante una partida que satisfaga la definición de activo, y que se convierta por tanto en una candidata para reconocimiento como tal en el balance; por ejemplo, las partidas que han sido donadas a la entidad pueden satisfacer la definición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4.15 Una característica esencial de todo pasivo es que la entidad tiene contraída una obligación en el momento presente. Un pasivo es un compromiso o responsabilidad de actuar de una determinada manera. Las obligaciones pueden ser exigibles legalmente como consecuencia de la ejecución de un contrato o de un mandato contenido en una norma legal. Este es normalmente el caso, por ejemplo, de las cuentas por pagar por bienes o servicios recibidos. No obstante, las obligaciones también aparecen por la actividad normal de la entidad, por las costumbres y por el deseo de mantener buenas relaciones comerciales o actuar de forma equitativa. Si, por ejemplo, la entidad decide, como medida política, atender a la rectificación de fallos en sus productos incluso cuando éstos aparecen después del periodo normal de garantía, los importes que se espere desembolsar respecto a los bienes ya vendidos son también pasivos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4.16 Es necesario distinguir entre una obligación presente y un encargo o compromiso para el futuro. La decisión de adquirir activos en el futuro no da lugar, por sí misma, al nacimiento de un pasivo. Normalmente, el pasivo surge sólo cuando se ha recibido el activo o la entidad entra en un acuerdo irrevocable para adquirir el bien o servicio. En este último caso, la naturaleza irrevocable del acuerdo significa que las consecuencias económicas del incumplimiento de la obligación, por ejemplo a causa de la existencia de una sanción importante, dejan a la entidad con poca o ninguna discrecionalidad para evitar la salida de recursos hacia la otra parte implicada en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4.17 Usualmente, la cancelación de una obligación presente implica que la entidad entrega unos recursos, que llevan incorporados beneficios económicos, para dar cumplimiento a la reclamación de la otra parte. La cancelación de un pasivo actual puede llevarse a cabo de varias maneras, por ejemplo a través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pago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transferencia de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sustitución de ese pasivo por otra deuda;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conversión del pasivo en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pasivo puede cancelarse por otros medios, tales como la renuncia o la pérdida de los derechos por parte del acreedor.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4.18 Los pasivos proceden de transacciones u otros sucesos ocurridos en el pasado. Así, por ejemplo, la adquisición de bienes y el uso de servicios dan lugar a las cuentas por pagar (a menos que el pago se haya anticipado o se haya hecho al contado), y la recepción de un préstamo bancario da lugar a la obligación de reembolsar la cantidad prestada. Una entidad puede también reconocer como pasivos las rebajas y descuentos futuros, en función de las compras anuales que le hagan los clientes; en este caso la venta de bienes en el pasado es la transacción que da lugar al nacimiento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4.19 Ciertos pasivos sólo pueden medirse utilizando un alto grado de estimación. Algunas entidades describen tales pasivos como provisiones. En ciertos países las provisiones no son consideradas como deudas, porque en ellos el concepto de pasivo está definido tan estrechamente, que sólo permite incluir las partidas que pueden determinarse sin necesidad de realizar estimaciones. La definición de pasivo dada en el párrafo 4.4 es una aproximación más amplia al concepto. Así, cuando la provisión implique una obligación presente, que cumple el resto de la definición, se trata de un pasivo, incluso si la cuantía de la misma debe estimarse. Ejemplos de estas situaciones son las provisiones para pagos a realizar por las garantías contenidas en los productos, y las provisiones para cubrir obligaciones por pensiones.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4.20 Aunque el patrimonio ha quedado definido, en el párrafo 4.4, como un residuo o resto, puede subdividirse a efectos de su presentación en el balance. Por ejemplo, en una sociedad por acciones pueden mostrarse por separado los fondos aportados por los accionistas, las ganancias acumuladas, las reservas específicas procedentes de ganancias y las reservas por ajustes para mantenimiento del capital. Esta clasificación puede ser relevante para las necesidades de toma de decisiones por parte de los usuarios de los estados financieros, en especial cuando indican restricciones, sean legales o de otro tipo, a la capacidad de la </w:t>
      </w:r>
      <w:r w:rsidRPr="00401DFF">
        <w:rPr>
          <w:rFonts w:ascii="Times New Roman" w:eastAsia="Times New Roman" w:hAnsi="Times New Roman" w:cs="Times New Roman"/>
          <w:sz w:val="24"/>
          <w:szCs w:val="24"/>
          <w:lang w:eastAsia="es-CO"/>
        </w:rPr>
        <w:lastRenderedPageBreak/>
        <w:t>entidad para distribuir o aplicar de forma diferente su patrimonio. También puede servir para reflejar el hecho de que las partes con intereses en la propiedad de la entidad, tienen diferentes derechos en relación con la recepción de dividendos o el reembolso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4.21 En ocasiones, la creación de reservas viene obligada por leyes o reglamentos, con el fin de dar a la entidad y sus acreedores una protección adicional contra los efectos de las pérdidas. Otros tipos de reservas pueden haber sido dotadas porque las leyes fiscales del país conceden exenciones o reducciones impositivas, cuando se produce su creación o dotación. La existencia y cuantía de las reservas de tipo legal, reglamentario o fiscal, es una información que puede ser relevante para las necesidades de toma de decisiones por parte de los usuarios. La dotación de estas reservas se deriva de la distribución de ganancias acumuladas, y por tanto no constituye un gasto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4.22 El importe por el cual se muestra el patrimonio en el balance depende de la evaluación que se haya hecho de los activos y los pasivos. Normalmente, sólo por mera casualidad coincidirá el importe acumulado en el patrimonio con el valor de mercado de las acciones de la entidad, ni tampoco con la cantidad de dinero que se obtendría vendiendo uno por uno los activos netos de la entidad, ni con el precio de venta de todo el negocio en marcha.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4.23 A menudo, las actividades comerciales, industriales o de negocios, son llevadas a cabo por entidades tales como comerciantes individuales, sociedades personalistas, asociaciones y una variada gama de entidades propiedad del gobierno. Frecuentemente, el marco legal y de regulación de tales entidades es diferente del que se aplica a las sociedades anónimas y a las demás que limitan la responsabilidad de los socios. Por ejemplo, puede haber en estas entidades pocas o ninguna restricción para distribuir a los propietarios u otros beneficiarios los saldos incluidos en las cuentas del patrimonio. No obstante, tanto la definición de patrimonio como los demás aspectos de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concernientes al mismo, son perfectamente aplicables a estas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4.24 La cifra del resultado es a menudo usada como una medida del rendimiento en la actividad de la entidad, o bien es la base de otras evaluaciones, tales como el rendimiento de las inversiones o las ganancias por acción. Los elementos relacionados directamente con la medida de la ganancia son los ingresos y los gastos. El reconocimiento y medida de los ingresos y gastos, y por tanto del resultado, dependen en parte de los conceptos de capital y mantenimiento del capital usados por la entidad al elaborar los estados financieros. Estos conceptos se consideran en los párrafos 4.57 a 4.65.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4.25 A continuación se definen los elementos denominados ingresos y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Ingresos son los incrementos en los beneficios económicos, producidos a lo largo del periodo contable, en forma de entradas o incrementos de valor de los activos, o bien como decrementos de los pasivos, que dan como resultado aumentos del patrimonio, y no están relacionados con las aportaciones de los propietarios a este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Gastos son los decrementos en los beneficios económicos, producidos a lo largo del periodo contable, en forma de salidas o disminuciones del valor de los activos, o bien por la generación o aumento de los pasivos, que dan como resultado decrementos en el patrimonio, y no están relacionados con las distribuciones realizadas a los propietarios de este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4.26 Las definiciones de ingresos y gastos identifican sus características esenciales, pero no pretenden especificar las condiciones a cumplir para que tales elementos se reconozcan en el estado de resultados. Los criterios para el reconocimiento de ingresos y gastos se tratan en los párrafos 4.37 a 4.53.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4.27 Los ingresos y gastos pueden presentarse de diferentes formas, en el estado de resultados, al objeto de suministrar información relevante para la toma de decisiones económicas. Por ejemplo, es una práctica común distinguir entre aquéllas partidas de ingresos y gastos que surgen en el curso de las actividades ordinarias de la entidad y aquellas otras que no. Esta distinción se hace sobre la base de que informar acerca de la procedencia de una partida, es relevante al evaluar la capacidad de la entidad para generar efectivo y otras partidas líquidas en el futuro; por ejemplo, las actividades esporádicas como la venta de una inversión a largo plazo, son normalmente de recurrencia improbable. Al proceder a distinguir las partidas de esta manera, es necesario tener en cuenta la naturaleza de la entidad y de sus operaciones. Las partidas que surgen de la actividad ordinaria en una determinada entidad pueden no ser habituales en otra.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4.28 Realizar distinciones entre partidas de ingresos y gastos, y combinarlas de diferentes formas, también permite que se presenten diversas medidas del rendimiento. Estas medidas se diferencian en cuanto a las partidas que incluyen. Por ejemplo, el estado de resultados puede presentar el margen bruto, el resultado de operación antes de impuestos, el resultado de operación después de impuestos y la el (sic)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Ingresos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4.29 La definición de ingresos incluye tanto a los ingresos de actividades ordinarias como las ganancias. Los ingresos de actividades ordinarias surgen en el curso de las actividades ordinarias de la entidad, y corresponden a una variada gama de denominaciones, tales como ventas, honorarios, intereses, dividendos, alquileres y regalías.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4.30 Son ganancias otras partidas que, cumpliendo la definición de ingresos, pueden o no surgir de las actividades ordinarias llevadas a cabo por la entidad. Las ganancias suponen incrementos en los beneficios económicos y, como tales, no son diferentes en su naturaleza de los ingresos de actividades ordinarias. Por tanto, en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se considera que constituyan un elemento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4.31 Entre las ganancias se encuentran, por ejemplo, las obtenidas por la venta de activos no corrientes. La definición de ingresos incluye también las ganancias no realizadas; por ejemplo aquéllas que surgen por la revaluación de los títulos cotizados o los incrementos de importe en libros de los activos a largo plazo. Cuando las ganancias se reconocen en el estado de resultados, es usual presentarlas por separado, puesto que su conocimiento es útil </w:t>
      </w:r>
      <w:r w:rsidRPr="00401DFF">
        <w:rPr>
          <w:rFonts w:ascii="Times New Roman" w:eastAsia="Times New Roman" w:hAnsi="Times New Roman" w:cs="Times New Roman"/>
          <w:sz w:val="24"/>
          <w:szCs w:val="24"/>
          <w:lang w:eastAsia="es-CO"/>
        </w:rPr>
        <w:lastRenderedPageBreak/>
        <w:t>para los propósitos de la toma de decisiones económicas. Las ganancias suelen presentarse netas de los gastos relacionados con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4.32 Al generarse un ingreso, pueden recibirse o incrementar su valor diferentes tipos de activos; como ejemplos pueden mencionarse el efectivo, las cuentas por cobrar y los bienes y servicios recibidos a cambio de los bienes o servicios suministrados. Los ingresos pueden también producirse al ser canceladas obligaciones. Por ejemplo, una entidad puede suministrar bienes y servicios a un prestamista, en pago por la obligación de reembolsar el capital vivo de un préstamo.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4.33 La definición de gastos incluye tanto las pérdidas como los gastos que surgen en las actividades ordinarias de la entidad. Entre los gastos de la actividad ordinaria se encuentran, por ejemplo, el costo de las ventas, los salarios y la depreciación. Usualmente, los gastos toman la forma de una salida o depreciación de activos, tales como efectivo y otras partidas equivalentes al efectivo, inventarios o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4.34 Son pérdidas otras partidas que, cumpliendo la definición de gastos, pueden o no surgir de las actividades ordinarias de la entidad. Las pérdidas representan decrementos en los beneficios económicos y, como tales, no son diferentes en su naturaleza de cualquier otro gasto. Por tanto, en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se considera que constituyan un elemento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4.35 Entre las pérdidas se encuentran, por ejemplo, las que resultan de siniestros tales como el fuego o las inundaciones, así como las obtenidas por la venta de activos no corrientes. La definición de gastos también incluye a las pérdidas no realizadas, por ejemplo aquéllas que surgen por el efecto que los incrementos en la tasa de cambio de una determinada divisa tienen, sobre los préstamos tomados por la entidad en esa moneda. Si las pérdidas se reconocen en los estados de resultados, es usual presentarlas por separado, puesto que el conocimiento de las mismas es útil para los propósitos de toma de decisiones económicas. Las pérdidas suelen presentarse netas de los ingresos relacionados con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Ajustes por mantenimiento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4.36 La revaluación o reexpresión del valor de los activos y pasivos da lugar a incrementos o decrementos en el patrimonio. Aún cuando estos incrementos y decrementos cumplan la definición de ingresos y gastos, respectivamente, no son incluidos, dentro del estado de resultados, bajo ciertos conceptos de mantenimiento del capital. En su lugar estas partidas se incluyen en el patrimonio como ajustes de mantenimiento de capital o reservas de revaluación. Estos conceptos de mantenimiento de capital se tratan en los párrafos 4.57 a 4.65 del presente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los elementos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4.37 Se denomina reconocimiento al proceso de incorporación, en el balance o en el estado de resultados, de una partida que cumpla la definición del elemento correspondiente, satisfaciendo además los criterios para su reconocimiento establecidos en el párrafo 4.38. Ello implica la descripción de la partida con palabras y por medio de una cantidad monetaria, así como la inclusión de la partida en cuestión en los totales del balance o del estado de resultados. Las partidas que satisfacen el criterio de reconocimiento deben reconocerse en el balance o en el estado de resultados. La falta de reconocimiento de estas partidas no se puede rectificar mediante la descripción de las políticas contables seguidas, ni tampoco a través de notas u otro material explicativo.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4.38 Debe ser objeto de reconocimiento toda partida que cumpla la definición de elemento siempre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que sea probable que cualquier beneficio económico asociado con la partida llegue a, o salga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elemento tenga un costo o valor que pueda ser medido con fiabilidad</w:t>
      </w:r>
      <w:hyperlink r:id="rId9" w:anchor="bf19c847ff301024c3d8b61499490e98745nf9" w:tgtFrame="_self" w:history="1">
        <w:r w:rsidRPr="00401DFF">
          <w:rPr>
            <w:rFonts w:ascii="Times New Roman" w:eastAsia="Times New Roman" w:hAnsi="Times New Roman" w:cs="Times New Roman"/>
            <w:color w:val="0000FF"/>
            <w:sz w:val="20"/>
            <w:szCs w:val="20"/>
            <w:u w:val="single"/>
            <w:vertAlign w:val="superscript"/>
            <w:lang w:eastAsia="es-CO"/>
          </w:rPr>
          <w:t>(4)</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4.39 Al evaluar si una partida cumple estos criterios y, por tanto, cumple los requisitos para su reconocimiento en los estados financieros, es necesario tener en cuenta las condiciones de materialidad o importancia relativa consideradas en el Capítulo 3 </w:t>
      </w:r>
      <w:r w:rsidRPr="00401DFF">
        <w:rPr>
          <w:rFonts w:ascii="Times New Roman" w:eastAsia="Times New Roman" w:hAnsi="Times New Roman" w:cs="Times New Roman"/>
          <w:i/>
          <w:iCs/>
          <w:sz w:val="24"/>
          <w:szCs w:val="24"/>
          <w:lang w:eastAsia="es-CO"/>
        </w:rPr>
        <w:t>Características cualitativas de la información financiera útil</w:t>
      </w:r>
      <w:r w:rsidRPr="00401DFF">
        <w:rPr>
          <w:rFonts w:ascii="Times New Roman" w:eastAsia="Times New Roman" w:hAnsi="Times New Roman" w:cs="Times New Roman"/>
          <w:sz w:val="24"/>
          <w:szCs w:val="24"/>
          <w:lang w:eastAsia="es-CO"/>
        </w:rPr>
        <w:t>. La interrelación entre los elementos significa que toda partida que cumpla las condiciones de definición y reconocimiento para ser un determinado elemento, por ejemplo un activo, exige automática y paralelamente el reconocimiento de otro elemento relacionado con ella, por ejemplo un ingreso o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probabilidad de obtener beneficios económicos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4.40 El concepto de probabilidad se utiliza, en las condiciones para su reconocimiento, con referencia al grado de incertidumbre con que los beneficios económicos futuros asociados al mismo llegarán a, o saldrán, de la entidad. El concepto tiene en cuenta la incertidumbre que caracteriza el entorno en que opera la entidad. La medición del grado de incertidumbre, correspondiente al flujo de los beneficios futuros, se hace a partir de la evidencia disponible cuando se preparan los estados financieros. Por ejemplo, cuando es probable que una cuenta por cobrar de otra entidad vaya a ser pagada por ésta, es justificable, en ausencia de cualquier evidencia en contrario, reconocer tal cuenta por cobrar como un activo. No obstante, para buena parte de las cuentas por cobrar, se considera normalmente probable un cierto grado de impago; y por tanto se reconoce un gasto que representa la reducción esperada en los beneficios económicos por tal motivo.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Fiabilidad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4.41 El segundo criterio para el reconocimiento de una partida es que tenga un costo o valor que se pueda medir con fiabilidad. En muchas ocasiones, el costo o valor se debe estimar; la utilización de estimaciones razonables es una parte esencial de la elaboración de los estados financieros, y no menoscaba su fiabilidad. No obstante, cuando no puede hacerse una estimación razonable, la partida no se reconoce en el balance ni en el estado de </w:t>
      </w:r>
      <w:r w:rsidRPr="00401DFF">
        <w:rPr>
          <w:rFonts w:ascii="Times New Roman" w:eastAsia="Times New Roman" w:hAnsi="Times New Roman" w:cs="Times New Roman"/>
          <w:sz w:val="24"/>
          <w:szCs w:val="24"/>
          <w:lang w:eastAsia="es-CO"/>
        </w:rPr>
        <w:lastRenderedPageBreak/>
        <w:t>resultados. Por ejemplo, las indemnizaciones esperadas de un litigio ante los tribunales, pueden cumplir las definiciones tanto de activo como de ingreso, así como la condición de probabilidad para ser reconocidas; sin embargo, si no es posible medir de forma fiable la reclamación, no debe reconocerse ni el activo ni el ingreso; a pesar de ello, la existencia de la reclamación puede ser revelada por medio de notas, material explicativo o cuadros complementarios.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4.42 Una partida que, en un determinado momento, no cumpla las condiciones para su reconocimiento establecidas en el párrafo 4.38, puede sin embargo cumplir los requisitos para ser reconocida como consecuencia de circunstancias o sucesos, producidos en un momento posterior en el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4.43 Puede estar justificado que una partida a la que, aún poseyendo las características esenciales para ser un elemento, le falten por cumplir las condiciones para su reconocimiento, sea revelada a través de notas, cuadros u otro material informativo dentro de los estados financieros. Ello es apropiado cuando el reconocimiento de tal partida se considere relevante, de cara a los usuarios de los estados financieros, para la evaluación de la situación financiera, los resultados y los flujos de fondos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4.44 Se reconoce un activo en el balance cuando es probable que se obtengan del mismo beneficios económicos futuros para la entidad, y además el activo tiene un costo o valor que puede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4.45 Un activo no es objeto de reconocimiento en el balance cuando se considera improbable que, del desembolso correspondiente, se vayan a obtener beneficios económicos en el futuro. En lugar de ello, tal transacción lleva al reconocimiento de un gasto en el estado de resultados. Este tratamiento contable no implica que la intención de la gerencia, al hacer el desembolso, fuera otra que la de generar beneficios económicos en el futuro, o que la gerencia estuviera equivocada al hacerlo. La única implicación de lo anterior es que el grado de certeza, sobre los beneficios económicos que van a llegar a la entidad, tras el presente periodo contable, es insuficiente para justificar el reconocimiento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4.46 Se reconoce un pasivo, en el balance, cuando es probable que, del pago de esa obligación presente, se derive la salida de recursos que lleven incorporados beneficios económicos, y además la cuantía del desembolso a realizar pueda ser evaluada con fiabilidad. En la práctica, las obligaciones derivadas de contratos, que están sin ejecutar por ambas partes en la misma proporción (por ejemplo las deudas por inventarios encargados pero no recibidos todavía), no se reconocen generalmente como tales obligaciones en los estados financieros. No obstante, tales obligaciones pueden cumplir la definición de pasivos y, supuesto que satisfagan los criterios para ser reconocidas en sus circunstancias particulares, pueden cumplir los requisitos para su reconocimiento en los estados </w:t>
      </w:r>
      <w:r w:rsidRPr="00401DFF">
        <w:rPr>
          <w:rFonts w:ascii="Times New Roman" w:eastAsia="Times New Roman" w:hAnsi="Times New Roman" w:cs="Times New Roman"/>
          <w:sz w:val="24"/>
          <w:szCs w:val="24"/>
          <w:lang w:eastAsia="es-CO"/>
        </w:rPr>
        <w:lastRenderedPageBreak/>
        <w:t>financieros. En tales circunstancias, el hecho de reconocer los pasivos impone también el reconocimiento de los activos o gastos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ingresos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4.47 Se reconoce un ingreso en el estado de resultados cuando ha surgido un incremento en los beneficios económicos futuros, relacionado con un incremento en los activos o un decremento en los pasivos, y además el importe del ingreso puede medirse con fiabilidad. En definitiva, esto significa que tal reconocimiento del ingreso ocurre simultáneamente con el reconocimiento de incrementos de activos o decrementos de pasivos (por ejemplo, el incremento neto de activos derivado de una venta de bienes y servicios, o el decremento en los pasivos resultante de la renuncia al derecho de cobro por parte del acreedor).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4.48 Los procedimientos adoptados normalmente en la práctica para reconocer ingresos, por ejemplo el requerimiento de que los mismos deban estar acumulados (o devengados), son aplicaciones de las condiciones para el reconocimiento fijadas en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Generalmente, tales procedimientos van dirigidos a restringir el reconocimiento como ingresos sólo a aquellas partidas que, pudiendo ser medidas con fiabilidad, posean un grado de certidumbre suficiente.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4.49 Se reconoce un gasto en el estado de resultados cuando ha surgido un decremento en los beneficios económicos futuros, relacionado con un decremento en los activos o un incremento en los pasivos, y además el gasto puede medirse con fiabilidad. En definitiva, esto significa que tal reconocimiento del gasto ocurre simultáneamente con el reconocimiento de incrementos en las obligaciones o decrementos en los activos (por ejemplo, la acumulación o el devengo de salarios, o bien la depreciación del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4.50 Los gastos se reconocen en el estado de resultados sobre la base de una asociación directa entre los costos incurridos y la obtención de partidas específicas de ingresos. Este proceso, al que se denomina comúnmente correlación de costos con ingresos de actividades ordinarias, implica el reconocimiento simultáneo o combinado de unos y otros, si surgen directa y conjuntamente de las mismas transacciones u otros sucesos; por ejemplo, los diversos componentes de gasto que constituyen el costo de las mercancías vendidas se reconocen al mismo tiempo que el ingreso derivado de la venta de los bienes. No obstante, la aplicación del proceso de correlación, bajo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no permite el reconocimiento de partidas, en el balance, que no cumplan la definición de activo o de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4.51 Cuando se espera que los beneficios económicos surjan a lo largo de varios periodos contables, y la asociación con los ingresos puede determinarse únicamente de forma genérica o indirecta, los gastos se reconocen en el estado de resultados utilizando procedimientos sistemáticos y racionales de distribución. Esto es, a menudo, necesario para el reconocimiento de los gastos relacionados con el uso de activos tales como los que componen las propiedades, planta y equipo, la plusvalía, las patentes y las marcas; denominándose en estos casos al gasto correspondiente depreciación o amortización. Los </w:t>
      </w:r>
      <w:r w:rsidRPr="00401DFF">
        <w:rPr>
          <w:rFonts w:ascii="Times New Roman" w:eastAsia="Times New Roman" w:hAnsi="Times New Roman" w:cs="Times New Roman"/>
          <w:sz w:val="24"/>
          <w:szCs w:val="24"/>
          <w:lang w:eastAsia="es-CO"/>
        </w:rPr>
        <w:lastRenderedPageBreak/>
        <w:t>procedimientos de distribución están diseñados a fin de que se reconozca el gasto en los periodos contables en que se consumen o expiran los beneficios económicos relacionados con estas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4.52 Dentro del estado de resultados, se reconoce inmediatamente como tal un gasto cuando el desembolso correspondiente no produce beneficios económicos futuros, o cuando, y en la medida que, tales beneficios futuros no cumplen o dejan de cumplir las condiciones para su reconocimiento como activos en el balance.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4.53 Se reconoce también un gasto en el estado de resultados en aquellos casos en que se incurre en un pasivo sin reconocer un activo correlacionado, y también cuando surge una obligación derivada de la garantía de un producto.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los elementos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4.54 Medición es el proceso de determinación de los importes monetarios por los que se reconocen y llevan contablemente los elementos de los estados financieros, para su inclusión en el balance y el estado de resultados. Para realizarla es necesaria la selección de una base o método particular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4.55 En los estados financieros se emplean diferentes bases de medición, con diferentes grados y en distintas combinaciones entre ellas. Tales bases o métodos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Costo histórico</w:t>
      </w:r>
      <w:r w:rsidRPr="00401DFF">
        <w:rPr>
          <w:rFonts w:ascii="Times New Roman" w:eastAsia="Times New Roman" w:hAnsi="Times New Roman" w:cs="Times New Roman"/>
          <w:sz w:val="24"/>
          <w:szCs w:val="24"/>
          <w:lang w:eastAsia="es-CO"/>
        </w:rPr>
        <w:t>. Los activos se registran por el importe de efectivo y otras partidas pagadas, o por el valor razonable de la contrapartida entregada a cambio en el momento de la adquisición. Los pasivos se registran al importe de los productos recibidos a cambio de incurrir en la obligación o, en algunas circunstancias (por ejemplo en el caso de los impuestos a las ganancias), por las cantidades de efectivo y equivalentes al efectivo que se espera pagar para satisfacer el pasivo, en el curso normal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Costo corriente</w:t>
      </w:r>
      <w:r w:rsidRPr="00401DFF">
        <w:rPr>
          <w:rFonts w:ascii="Times New Roman" w:eastAsia="Times New Roman" w:hAnsi="Times New Roman" w:cs="Times New Roman"/>
          <w:sz w:val="24"/>
          <w:szCs w:val="24"/>
          <w:lang w:eastAsia="es-CO"/>
        </w:rPr>
        <w:t>. Los activos se llevan contablemente por el importe de efectivo y otras partidas equivalentes al efectivo, que debería pagarse si se adquiriese en la actualidad el mismo activo u otro equivalente. Los pasivos se llevan contablemente por el importe sin descontar de efectivo u otras partidas equivalentes al efectivo que se precisaría para liquidar el pasivo en el momento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Valor realizable (o de liquidación)</w:t>
      </w:r>
      <w:r w:rsidRPr="00401DFF">
        <w:rPr>
          <w:rFonts w:ascii="Times New Roman" w:eastAsia="Times New Roman" w:hAnsi="Times New Roman" w:cs="Times New Roman"/>
          <w:sz w:val="24"/>
          <w:szCs w:val="24"/>
          <w:lang w:eastAsia="es-CO"/>
        </w:rPr>
        <w:t>. Los activos se llevan contablemente por el importe de efectivo y otras partidas equivalentes al efectivo que podrían ser obtenidos, en el momento presente, por la venta no forzada de los mismos. Los pasivos se llevan a su valor de liquidación; es decir, los importes no descontados de efectivo o equivalentes al efectivo, que se espera pagar para cancelar los pasivos, en el curso normal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Valor presente</w:t>
      </w:r>
      <w:r w:rsidRPr="00401DFF">
        <w:rPr>
          <w:rFonts w:ascii="Times New Roman" w:eastAsia="Times New Roman" w:hAnsi="Times New Roman" w:cs="Times New Roman"/>
          <w:sz w:val="24"/>
          <w:szCs w:val="24"/>
          <w:lang w:eastAsia="es-CO"/>
        </w:rPr>
        <w:t>. Los activos se llevan contablemente al valor presente, descontando las entradas netas de efectivo que se espera genere la partida en el curso normal de la operación. Los pasivos se llevan por el valor presente, descontando las salidas netas de efectivo que se espera necesitar para pagar las deudas, en el curso normal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4.56 La base o método de medición más comúnmente utilizado por las entidades, al preparar sus estados financieros, es el costo histórico. Éste se combina, generalmente, con otras bases de medición. Por ejemplo, los inventarios se llevan contablemente al menor valor entre el costo histórico y el valor neto realizable, los títulos cotizados pueden llevarse al valor de mercado, y las obligaciones por pensiones se llevan a su valor presente. Además, algunas entidades usan el costo corriente como respuesta a la incapacidad del modelo contable del costo histórico para tratar con los efectos de los cambios en los precios de los activos no monetarios.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capital y de mantenimiento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4.57 La mayoría de las entidades adoptan un concepto financiero del capital al preparar sus estados financieros. Bajo esta concepción del capital, que se traduce en la consideración del dinero invertido o del poder adquisitivo invertido, capital es sinónimo de activos netos o patrimonio de la entidad. Si, por el contrario, se adopta un concepto físico del capital, que se traduce en la consideración de la capacidad productiva, el capital es la capacidad operativa de la entidad basada, por ejemplo, en el número de unidades producidas diariamente.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4.58 La selección del concepto apropiado del capital, por parte de una entidad, debe estar basada en las necesidades de los usuarios de los estados financieros. Por lo tanto, debe adoptarse una concepción financiera del capital si a los usuarios les interesa fundamentalmente el mantenimiento del capital nominal invertido o de la capacidad adquisitiva del capital invertido. Si, por el contrario, la preocupación principal de los usuarios es el mantenimiento de la capacidad productiva de la entidad, debe usarse la concepción física del capital. El concepto escogido indicará el objetivo que se espera obtener al determinar el resultado, incluso aunque puedan existir ciertas dificultades de medida al aplicar, en la práctica, la concepción elegida.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Conceptos de mantenimiento del capital y la determinación del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4.59 Los conceptos de capital expuestos en el párrafo 4.57 dan lugar a los siguientes conceptos de mantenimiento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Mantenimiento del capital financiero</w:t>
      </w:r>
      <w:r w:rsidRPr="00401DFF">
        <w:rPr>
          <w:rFonts w:ascii="Times New Roman" w:eastAsia="Times New Roman" w:hAnsi="Times New Roman" w:cs="Times New Roman"/>
          <w:sz w:val="24"/>
          <w:szCs w:val="24"/>
          <w:lang w:eastAsia="es-CO"/>
        </w:rPr>
        <w:t>. Bajo este concepto se obtiene ganancia sólo si el importe financiero (o monetario) de los activos netos al final del periodo excede al importe financiero (o monetario) de los activos netos al principio del mismo, después de excluir las aportaciones de los propietarios y las distribuciones hechas a los mismos en ese periodo. El mantenimiento del capital financiero puede ser medido en unidades monetarias nominales o en unidades de poder adquisitivo constante.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Mantenimiento del capital físico</w:t>
      </w:r>
      <w:r w:rsidRPr="00401DFF">
        <w:rPr>
          <w:rFonts w:ascii="Times New Roman" w:eastAsia="Times New Roman" w:hAnsi="Times New Roman" w:cs="Times New Roman"/>
          <w:sz w:val="24"/>
          <w:szCs w:val="24"/>
          <w:lang w:eastAsia="es-CO"/>
        </w:rPr>
        <w:t xml:space="preserve">. Bajo este concepto se obtiene ganancia sólo si la capacidad productiva en términos físicos (o capacidad operativa) de la entidad al final del periodo (o los recursos o fondos necesarios para conseguir esa capacidad) excede a la capacidad productiva en términos físicos al principio del periodo, después de excluir las </w:t>
      </w:r>
      <w:r w:rsidRPr="00401DFF">
        <w:rPr>
          <w:rFonts w:ascii="Times New Roman" w:eastAsia="Times New Roman" w:hAnsi="Times New Roman" w:cs="Times New Roman"/>
          <w:sz w:val="24"/>
          <w:szCs w:val="24"/>
          <w:lang w:eastAsia="es-CO"/>
        </w:rPr>
        <w:lastRenderedPageBreak/>
        <w:t>aportaciones de los propietarios y las distribuciones hechas a los mismos durante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4.60 El concepto de mantenimiento de capital se relaciona con la manera en que una entidad define el capital que quiere mantener. Suministra la conexión entre los conceptos de capital y los conceptos de ganancia, porque proporciona el punto de referencia para medir esta última; lo cual es un prerrequisito para distinguir entre lo que es rendimiento sobre el capital de una entidad y lo que es recuperación del capital; solo las entradas de activos que excedan las cantidades necesarias para mantener el capital pueden ser consideradas como ganancia, y por tanto como rendimiento del capital. Por ello, la ganancia es el importe residual que queda tras haber deducido de los ingresos los gastos (incluyendo, en su caso, los correspondientes ajustes para mantenimiento del capital). Si los gastos superan a los ingresos, el importe residual es una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4.61 El concepto de mantenimiento del capital físico exige la adopción del costo corriente como base de la medición contable. Sin embargo, el concepto de mantenimiento del capital financiero no requiere la adopción de una base particular de medición. Bajo esta concepción, la selección de la base de medida depende del tipo de capital financiero que la entidad desee mantener.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4.62 La principal diferencia entre los dos conceptos de mantenimiento del capital es el tratamiento de los efectos de los cambios en los precios de los activos y pasivos de la entidad. En términos generales, una entidad ha mantenido su capital si posee un importe equivalente al principio y al final del periodo. Toda cantidad de capital por encima de la requerida para mantener el capital del principio del periodo es ganancia.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4.63 Bajo el concepto de mantenimiento del capital financiero, el capital está definido en términos de unidades monetarias nominales, y el resultado es el incremento, en el periodo, del capital monetario nominal. Por tanto, los incrementos de los precios de los activos mantenidos en el periodo, a los que se denomina convencionalmente resultados por tenencia, son conceptualmente ganancias. No pueden, sin embargo, reconocerse como tales hasta que los activos sean intercambiados por medio de una transacción. Cuando el concepto de mantenimiento del capital financiero está definido en términos de unidades de poder adquisitivo constante, el resultado es el incremento, en el periodo, de la capacidad adquisitiva invertida. Por tanto, sólo la parte del incremento en los precios de los activos que exceda del incremento en el nivel general de precios se considera como resultado. El resto del incremento se trata como un ajuste por mantenimiento del capital y, por ello, como una parte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4.64 Bajo el concepto de mantenimiento del capital físico, donde el capital está definido en términos de capacidad productiva física, el resultado es el incremento habido a lo largo del periodo en ese capital. Todos los cambios de precios que afectan a los activos y pasivos de la entidad se consideran como cambios en la medida de la capacidad de producción física de la misma; y por tanto son tratados como ajustes por mantenimiento del capital que entran a formar parte del patrimonio, y nunca como ganancia.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4.65 El modelo contable utilizado para la preparación de los estados financieros estará determinado por la selección de las bases de medida y del concepto de mantenimiento del capital. Los diferentes modelos contables tienen diferentes grados de relevancia y fiabilidad y, como en otras áreas, la gerencia debe buscar un equilibrio entre estas dos características. Este Marco Conceptual es aplicable a una amplia gama de modelos contables, suministrando una guía al preparar y presentar los estados financieros por medio del modelo escogido. En el momento presente, no hay intención por parte del Consejo de prescribir un modelo particular, salvo en circunstancias excepcionales, tales como las que se dan en entidades que presentan sus estados financieros en la moneda de una economía hiperinflacionaria. No obstante, esta intención será revisada a la vista de la evolución de los acontecimientos mundiales.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A lo largo de este Marco Conceptual, los términos informes financieros e información financiera hacen referencia a informes financieros con propósito general e información financiera con propósito general a menos que se indique específicamente otra cosa.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A lo largo de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el término </w:t>
      </w:r>
      <w:r w:rsidRPr="00401DFF">
        <w:rPr>
          <w:rFonts w:ascii="Times New Roman" w:eastAsia="Times New Roman" w:hAnsi="Times New Roman" w:cs="Times New Roman"/>
          <w:i/>
          <w:iCs/>
          <w:sz w:val="24"/>
          <w:szCs w:val="24"/>
          <w:lang w:eastAsia="es-CO"/>
        </w:rPr>
        <w:t>gerencia</w:t>
      </w:r>
      <w:r w:rsidRPr="00401DFF">
        <w:rPr>
          <w:rFonts w:ascii="Times New Roman" w:eastAsia="Times New Roman" w:hAnsi="Times New Roman" w:cs="Times New Roman"/>
          <w:sz w:val="24"/>
          <w:szCs w:val="24"/>
          <w:lang w:eastAsia="es-CO"/>
        </w:rPr>
        <w:t xml:space="preserve"> hace referencia a la </w:t>
      </w:r>
      <w:r w:rsidRPr="00401DFF">
        <w:rPr>
          <w:rFonts w:ascii="Times New Roman" w:eastAsia="Times New Roman" w:hAnsi="Times New Roman" w:cs="Times New Roman"/>
          <w:i/>
          <w:iCs/>
          <w:sz w:val="24"/>
          <w:szCs w:val="24"/>
          <w:lang w:eastAsia="es-CO"/>
        </w:rPr>
        <w:t>gerencia y al órgano de gobierno de una entidad</w:t>
      </w:r>
      <w:r w:rsidRPr="00401DFF">
        <w:rPr>
          <w:rFonts w:ascii="Times New Roman" w:eastAsia="Times New Roman" w:hAnsi="Times New Roman" w:cs="Times New Roman"/>
          <w:sz w:val="24"/>
          <w:szCs w:val="24"/>
          <w:lang w:eastAsia="es-CO"/>
        </w:rPr>
        <w:t xml:space="preserve"> a menos que se indique específicamente otra cosa.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A lo largo de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los términos </w:t>
      </w:r>
      <w:r w:rsidRPr="00401DFF">
        <w:rPr>
          <w:rFonts w:ascii="Times New Roman" w:eastAsia="Times New Roman" w:hAnsi="Times New Roman" w:cs="Times New Roman"/>
          <w:i/>
          <w:iCs/>
          <w:sz w:val="24"/>
          <w:szCs w:val="24"/>
          <w:lang w:eastAsia="es-CO"/>
        </w:rPr>
        <w:t>características cualitativas, y restricciones</w:t>
      </w:r>
      <w:r w:rsidRPr="00401DFF">
        <w:rPr>
          <w:rFonts w:ascii="Times New Roman" w:eastAsia="Times New Roman" w:hAnsi="Times New Roman" w:cs="Times New Roman"/>
          <w:sz w:val="24"/>
          <w:szCs w:val="24"/>
          <w:lang w:eastAsia="es-CO"/>
        </w:rPr>
        <w:t xml:space="preserve"> se refiere a las características cualitativas y restricciones de la información financiera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información es fiable cuando es completa, neutral y libre de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Norma establece las bases para la presentación de los estados financieros de propósito general, para asegurar que los mismos sean comparables, tanto con los estados financieros de la misma entidad correspondientes a periodos anteriores, como con los de otras entidades. Esta Norma establece requerimientos generales para la presentación de los estados financieros, guías para determinar su estructura y requisitos mínimos sobre su contenido.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Una entidad aplicará esta Norma al preparar y presentar estados financieros de propósito de información general conforme a las Normas Internacionales de Información Financiera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otras NIIF se establecen los requerimientos de reconocimiento, medición e información a revelar para transacciones y otros sucesos.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4 Esta Norma no será de aplicación a la estructura y contenido de los estados financieros intermedios condensados que se elaboren de acuerdo con la NIC 34 </w:t>
      </w:r>
      <w:r w:rsidRPr="00401DFF">
        <w:rPr>
          <w:rFonts w:ascii="Times New Roman" w:eastAsia="Times New Roman" w:hAnsi="Times New Roman" w:cs="Times New Roman"/>
          <w:i/>
          <w:iCs/>
          <w:sz w:val="24"/>
          <w:szCs w:val="24"/>
          <w:lang w:eastAsia="es-CO"/>
        </w:rPr>
        <w:t>Información Financiera Intermedia</w:t>
      </w:r>
      <w:r w:rsidRPr="00401DFF">
        <w:rPr>
          <w:rFonts w:ascii="Times New Roman" w:eastAsia="Times New Roman" w:hAnsi="Times New Roman" w:cs="Times New Roman"/>
          <w:sz w:val="24"/>
          <w:szCs w:val="24"/>
          <w:lang w:eastAsia="es-CO"/>
        </w:rPr>
        <w:t xml:space="preserve">. Sin embargo, los párrafos 15 a 35 se aplicarán a estos estados financieros. Esta Norma se aplicará de la misma forma a todas las entidades, incluyendo las que presentan estados financieros consolidados de acuerdo con la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 xml:space="preserve">y las que presentan estados financieros separados, de acuerdo con la NIC 27 </w:t>
      </w:r>
      <w:r w:rsidRPr="00401DFF">
        <w:rPr>
          <w:rFonts w:ascii="Times New Roman" w:eastAsia="Times New Roman" w:hAnsi="Times New Roman" w:cs="Times New Roman"/>
          <w:i/>
          <w:iCs/>
          <w:sz w:val="24"/>
          <w:szCs w:val="24"/>
          <w:lang w:eastAsia="es-CO"/>
        </w:rPr>
        <w:t>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Norma utiliza terminología propia de las entidades con ánimo de lucro, incluyendo las pertenecientes al sector público. Si las entidades con actividades sin fines de lucro del sector privado o del sector público aplican esta Norma, podrían verse obligadas a modificar las descripciones utilizadas para partidas específicas de los estados financieros, e incluso para éstos.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Similarmente, las entidades que carecen de patrimonio, tal como se define en la NIC 32 </w:t>
      </w:r>
      <w:r w:rsidRPr="00401DFF">
        <w:rPr>
          <w:rFonts w:ascii="Times New Roman" w:eastAsia="Times New Roman" w:hAnsi="Times New Roman" w:cs="Times New Roman"/>
          <w:i/>
          <w:iCs/>
          <w:sz w:val="24"/>
          <w:szCs w:val="24"/>
          <w:lang w:eastAsia="es-CO"/>
        </w:rPr>
        <w:t xml:space="preserve">Instrumentos Financieros: Presentación </w:t>
      </w:r>
      <w:r w:rsidRPr="00401DFF">
        <w:rPr>
          <w:rFonts w:ascii="Times New Roman" w:eastAsia="Times New Roman" w:hAnsi="Times New Roman" w:cs="Times New Roman"/>
          <w:sz w:val="24"/>
          <w:szCs w:val="24"/>
          <w:lang w:eastAsia="es-CO"/>
        </w:rPr>
        <w:t>(por ejemplo, algunos fondos de inversión colectiva), y las entidades cuyo capital en acciones no es patrimonio (por ejemplo, algunas entidades cooperativas) podrían tener la necesidad de adaptar la presentación en los estados financieros de las participaciones de sus miembros o participantes.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Los estados financieros con propósito de información general</w:t>
      </w:r>
      <w:r w:rsidRPr="00401DFF">
        <w:rPr>
          <w:rFonts w:ascii="Times New Roman" w:eastAsia="Times New Roman" w:hAnsi="Times New Roman" w:cs="Times New Roman"/>
          <w:b/>
          <w:bCs/>
          <w:sz w:val="24"/>
          <w:szCs w:val="24"/>
          <w:lang w:eastAsia="es-CO"/>
        </w:rPr>
        <w:t xml:space="preserve"> (denominados “estados financieros”) son aquéllos que pretenden cubrir las necesidades de usuarios que no están en condiciones de exigir informes a la medida de sus necesidades específicas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aplicación de un requisito será </w:t>
      </w:r>
      <w:r w:rsidRPr="00401DFF">
        <w:rPr>
          <w:rFonts w:ascii="Times New Roman" w:eastAsia="Times New Roman" w:hAnsi="Times New Roman" w:cs="Times New Roman"/>
          <w:b/>
          <w:bCs/>
          <w:i/>
          <w:iCs/>
          <w:sz w:val="24"/>
          <w:szCs w:val="24"/>
          <w:lang w:eastAsia="es-CO"/>
        </w:rPr>
        <w:t>impracticable</w:t>
      </w:r>
      <w:r w:rsidRPr="00401DFF">
        <w:rPr>
          <w:rFonts w:ascii="Times New Roman" w:eastAsia="Times New Roman" w:hAnsi="Times New Roman" w:cs="Times New Roman"/>
          <w:b/>
          <w:bCs/>
          <w:sz w:val="24"/>
          <w:szCs w:val="24"/>
          <w:lang w:eastAsia="es-CO"/>
        </w:rPr>
        <w:t xml:space="preserve"> cuando la entidad no pueda aplicarlo tras efectuar todos los esfuerzos razonables para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Las Normas Internacionales de Información Financiera (NIIF)</w:t>
      </w:r>
      <w:r w:rsidRPr="00401DFF">
        <w:rPr>
          <w:rFonts w:ascii="Times New Roman" w:eastAsia="Times New Roman" w:hAnsi="Times New Roman" w:cs="Times New Roman"/>
          <w:b/>
          <w:bCs/>
          <w:sz w:val="24"/>
          <w:szCs w:val="24"/>
          <w:lang w:eastAsia="es-CO"/>
        </w:rPr>
        <w:t xml:space="preserve"> son las Normas e Interpretaciones emitidas por el Consejo de Normas Internacionales de Contabilidad (IASB). Esas Normas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Normas Internacionales de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Normas Internacionales de Contabilidad;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Interpretaciones CINIIF;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Interpretaciones SIC</w:t>
      </w:r>
      <w:hyperlink r:id="rId10" w:anchor="bf19d53058521f14114be9f41325658ba10nf9" w:tgtFrame="_self" w:history="1">
        <w:r w:rsidRPr="00401DFF">
          <w:rPr>
            <w:rFonts w:ascii="Times New Roman" w:eastAsia="Times New Roman" w:hAnsi="Times New Roman" w:cs="Times New Roman"/>
            <w:color w:val="0000FF"/>
            <w:sz w:val="20"/>
            <w:szCs w:val="20"/>
            <w:u w:val="single"/>
            <w:vertAlign w:val="superscript"/>
            <w:lang w:eastAsia="es-CO"/>
          </w:rPr>
          <w:t>(2)</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Materialidad (o importancia relativa)</w:t>
      </w:r>
      <w:r w:rsidRPr="00401DFF">
        <w:rPr>
          <w:rFonts w:ascii="Times New Roman" w:eastAsia="Times New Roman" w:hAnsi="Times New Roman" w:cs="Times New Roman"/>
          <w:b/>
          <w:bCs/>
          <w:sz w:val="24"/>
          <w:szCs w:val="24"/>
          <w:lang w:eastAsia="es-CO"/>
        </w:rPr>
        <w:t>. Las omisiones o inexactitudes de partidas son materiales o tienen importancia relativa si pueden, individualmente o en su conjunto, influir en las decisiones económicas tomadas por los usuarios sobre la base de los estados financieros. La materialidad (o importancia relativa) depende de la magnitud y la naturaleza de la omisión o inexactitud, enjuiciada en función de las circunstancias particulares en que se hayan producido. La magnitud o la naturaleza de la partida, o una combinación de ambas, podría ser el factor determinante.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evaluación acerca de si una omisión o inexactitud puede influir en las decisiones económicas de los usuarios, considerándose así material o con importancia relativa, requiere tener en cuenta las características de tales usuarios. El </w:t>
      </w:r>
      <w:r w:rsidRPr="00401DFF">
        <w:rPr>
          <w:rFonts w:ascii="Times New Roman" w:eastAsia="Times New Roman" w:hAnsi="Times New Roman" w:cs="Times New Roman"/>
          <w:i/>
          <w:iCs/>
          <w:sz w:val="24"/>
          <w:szCs w:val="24"/>
          <w:lang w:eastAsia="es-CO"/>
        </w:rPr>
        <w:t>Marco Conceptual para la Preparación y Presentación de la Información Financiera</w:t>
      </w:r>
      <w:r w:rsidRPr="00401DFF">
        <w:rPr>
          <w:rFonts w:ascii="Times New Roman" w:eastAsia="Times New Roman" w:hAnsi="Times New Roman" w:cs="Times New Roman"/>
          <w:sz w:val="24"/>
          <w:szCs w:val="24"/>
          <w:lang w:eastAsia="es-CO"/>
        </w:rPr>
        <w:t xml:space="preserve"> establece, en el párrafo 25</w:t>
      </w:r>
      <w:hyperlink r:id="rId11" w:anchor="bf119f28936785b40c599460ceece79ae86nf9" w:tgtFrame="_self" w:history="1">
        <w:r w:rsidRPr="00401DFF">
          <w:rPr>
            <w:rFonts w:ascii="Times New Roman" w:eastAsia="Times New Roman" w:hAnsi="Times New Roman" w:cs="Times New Roman"/>
            <w:color w:val="0000FF"/>
            <w:sz w:val="20"/>
            <w:szCs w:val="20"/>
            <w:u w:val="single"/>
            <w:vertAlign w:val="superscript"/>
            <w:lang w:eastAsia="es-CO"/>
          </w:rPr>
          <w:t>(6)</w:t>
        </w:r>
      </w:hyperlink>
      <w:r w:rsidRPr="00401DFF">
        <w:rPr>
          <w:rFonts w:ascii="Times New Roman" w:eastAsia="Times New Roman" w:hAnsi="Times New Roman" w:cs="Times New Roman"/>
          <w:sz w:val="24"/>
          <w:szCs w:val="24"/>
          <w:lang w:eastAsia="es-CO"/>
        </w:rPr>
        <w:t>, que: “se supone que los usuarios tienen un conocimiento razonable de las actividades económicas y del mundo de los negocios, así como de su contabilidad, y también la voluntad de estudiar la información con razonable diligencia”. En consecuencia, la evaluación necesita tener en cuenta cómo puede esperarse que, en términos razonables, usuarios con las características descritas se vean influidos, al tomar decisiones económicas.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Las </w:t>
      </w:r>
      <w:r w:rsidRPr="00401DFF">
        <w:rPr>
          <w:rFonts w:ascii="Times New Roman" w:eastAsia="Times New Roman" w:hAnsi="Times New Roman" w:cs="Times New Roman"/>
          <w:b/>
          <w:bCs/>
          <w:i/>
          <w:iCs/>
          <w:sz w:val="24"/>
          <w:szCs w:val="24"/>
          <w:lang w:eastAsia="es-CO"/>
        </w:rPr>
        <w:t>notas</w:t>
      </w:r>
      <w:r w:rsidRPr="00401DFF">
        <w:rPr>
          <w:rFonts w:ascii="Times New Roman" w:eastAsia="Times New Roman" w:hAnsi="Times New Roman" w:cs="Times New Roman"/>
          <w:b/>
          <w:bCs/>
          <w:sz w:val="24"/>
          <w:szCs w:val="24"/>
          <w:lang w:eastAsia="es-CO"/>
        </w:rPr>
        <w:t xml:space="preserve"> contienen información adicional a la presentada en el estado de situación financiera, estados del resultado del ejercicio y otro resultado integral, estado del resultado separado (cuando se presenta), estado de cambios en el patrimonio y estado de flujos de efectivo. Las notas suministran descripciones narrativas o desagregaciones de partidas presentadas en esos estados e información sobre partidas que no cumplen las condiciones para ser reconocidas en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Otro resultado integral </w:t>
      </w:r>
      <w:r w:rsidRPr="00401DFF">
        <w:rPr>
          <w:rFonts w:ascii="Times New Roman" w:eastAsia="Times New Roman" w:hAnsi="Times New Roman" w:cs="Times New Roman"/>
          <w:b/>
          <w:bCs/>
          <w:sz w:val="24"/>
          <w:szCs w:val="24"/>
          <w:lang w:eastAsia="es-CO"/>
        </w:rPr>
        <w:t>comprende partidas de ingresos y gastos (incluyendo ajustes por reclasificación) que no se reconocen en el resultado tal como lo requieren o permiten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componentes de otro resultado integral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cambios en el superávit de revaluación (véase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y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nuevas mediciones de los planes de beneficios definidos (véase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ganancias y pérdidas producidas por la conversión de los estados financieros de un negocio en el extranjero (véase la NIC 21 </w:t>
      </w:r>
      <w:r w:rsidRPr="00401DFF">
        <w:rPr>
          <w:rFonts w:ascii="Times New Roman" w:eastAsia="Times New Roman" w:hAnsi="Times New Roman" w:cs="Times New Roman"/>
          <w:i/>
          <w:iCs/>
          <w:sz w:val="24"/>
          <w:szCs w:val="24"/>
          <w:lang w:eastAsia="es-CO"/>
        </w:rPr>
        <w:t>Efectos de la Variación en las Tasas de Cambio de la Moneda Extranjera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ganancias y pérdidas procedentes de inversiones en instrumentos de patrimonio medidos al valor razonable con cambios en otro resultado integral de acuerdo con el párrafo 5.7.5 de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(e) la parte efectiva de ganancias y pérdidas en instrumentos de cobertura en una cobertura del flujo de efectivo (véase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para pasivos particulares designados como a valor razonable con cambios en resultados, el importe del cambio en el valor razonable que sea atribuible a cambios en el riesgo de crédito del pasivo (véase el párrafo 5.7.7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 xml:space="preserve">propietarios </w:t>
      </w:r>
      <w:r w:rsidRPr="00401DFF">
        <w:rPr>
          <w:rFonts w:ascii="Times New Roman" w:eastAsia="Times New Roman" w:hAnsi="Times New Roman" w:cs="Times New Roman"/>
          <w:b/>
          <w:bCs/>
          <w:sz w:val="24"/>
          <w:szCs w:val="24"/>
          <w:lang w:eastAsia="es-CO"/>
        </w:rPr>
        <w:t>son poseedores de instrumentos clasificados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w:t>
      </w:r>
      <w:r w:rsidRPr="00401DFF">
        <w:rPr>
          <w:rFonts w:ascii="Times New Roman" w:eastAsia="Times New Roman" w:hAnsi="Times New Roman" w:cs="Times New Roman"/>
          <w:b/>
          <w:bCs/>
          <w:i/>
          <w:iCs/>
          <w:sz w:val="24"/>
          <w:szCs w:val="24"/>
          <w:lang w:eastAsia="es-CO"/>
        </w:rPr>
        <w:t xml:space="preserve">resultado </w:t>
      </w:r>
      <w:r w:rsidRPr="00401DFF">
        <w:rPr>
          <w:rFonts w:ascii="Times New Roman" w:eastAsia="Times New Roman" w:hAnsi="Times New Roman" w:cs="Times New Roman"/>
          <w:b/>
          <w:bCs/>
          <w:sz w:val="24"/>
          <w:szCs w:val="24"/>
          <w:lang w:eastAsia="es-CO"/>
        </w:rPr>
        <w:t>es el total de ingresos menos gastos, excluyendo los componentes de otro resultado integral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 xml:space="preserve">ajustes por reclasificación </w:t>
      </w:r>
      <w:r w:rsidRPr="00401DFF">
        <w:rPr>
          <w:rFonts w:ascii="Times New Roman" w:eastAsia="Times New Roman" w:hAnsi="Times New Roman" w:cs="Times New Roman"/>
          <w:b/>
          <w:bCs/>
          <w:sz w:val="24"/>
          <w:szCs w:val="24"/>
          <w:lang w:eastAsia="es-CO"/>
        </w:rPr>
        <w:t>son importes reclasificados en el resultado en el periodo corriente que fueron reconocidos en otro resultado integral en el periodo corriente o en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 xml:space="preserve">resultado integral total </w:t>
      </w:r>
      <w:r w:rsidRPr="00401DFF">
        <w:rPr>
          <w:rFonts w:ascii="Times New Roman" w:eastAsia="Times New Roman" w:hAnsi="Times New Roman" w:cs="Times New Roman"/>
          <w:b/>
          <w:bCs/>
          <w:sz w:val="24"/>
          <w:szCs w:val="24"/>
          <w:lang w:eastAsia="es-CO"/>
        </w:rPr>
        <w:t>es el cambio en el patrimonio durante un periodo, que procede de transacciones y otros sucesos, distintos de aquellos cambios derivados de transacciones con los propietarios en su condición de 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resultado integral total comprende todos los componentes del “resultado” y de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Aunque esta Norma utiliza los términos “otro resultado integral”, “resultado” y “resultado integral total”, una entidad puede utilizar otros términos para denominar los totales, siempre que el significado sea claro. Por ejemplo, una entidad puede utilizar el término “resultado neto” para denominar al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8A Los siguientes términos se describen en la NIC 32 </w:t>
      </w:r>
      <w:r w:rsidRPr="00401DFF">
        <w:rPr>
          <w:rFonts w:ascii="Times New Roman" w:eastAsia="Times New Roman" w:hAnsi="Times New Roman" w:cs="Times New Roman"/>
          <w:i/>
          <w:iCs/>
          <w:sz w:val="24"/>
          <w:szCs w:val="24"/>
          <w:lang w:eastAsia="es-CO"/>
        </w:rPr>
        <w:t xml:space="preserve">Instrumentos Financieros: Presentación </w:t>
      </w:r>
      <w:r w:rsidRPr="00401DFF">
        <w:rPr>
          <w:rFonts w:ascii="Times New Roman" w:eastAsia="Times New Roman" w:hAnsi="Times New Roman" w:cs="Times New Roman"/>
          <w:sz w:val="24"/>
          <w:szCs w:val="24"/>
          <w:lang w:eastAsia="es-CO"/>
        </w:rPr>
        <w:t>y se utilizan en esta Norma con el significado especificado en dicha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instrumento financiero con opción de venta clasificado como un instrumento de patrimonio (descrito en los párrafos 16A y 16B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instrumento que impone a la entidad una obligación de entregar a terceros una participación proporcional de los activos netos de la entidad solo en el momento de la liquidación y se clasifica como un instrumento de patrimonio (descrito en los párrafos 16C y 16D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Finalidad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Los estados financieros constituyen una representación estructurada de la situación financiera y del rendimiento financiero de una entidad. El objetivo de los estados </w:t>
      </w:r>
      <w:r w:rsidRPr="00401DFF">
        <w:rPr>
          <w:rFonts w:ascii="Times New Roman" w:eastAsia="Times New Roman" w:hAnsi="Times New Roman" w:cs="Times New Roman"/>
          <w:sz w:val="24"/>
          <w:szCs w:val="24"/>
          <w:lang w:eastAsia="es-CO"/>
        </w:rPr>
        <w:lastRenderedPageBreak/>
        <w:t>financieros es suministrar información acerca de la situación financiera, del rendimiento financiero y de los flujos de efectivo de una entidad, que sea útil a una amplia variedad de usuarios a la hora de tomar sus decisiones económicas. Los estados financieros también muestran los resultados de la gestión realizada por los administradores con los recursos que les han sido confiados. Para cumplir este objetivo, los estados financieros suministrarán información acerca de los siguientes elementos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ingresos y gastos, en los que se incluyen las ganancias y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aportaciones de los propietarios y distribuciones a los mismos en su condición de tales;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información, junto con la contenida en las notas, ayuda a los usuarios a predecir los flujos de efectivo futuros de la entidad y, en particular, su distribución temporal y su grado de certidumbre.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Conjunto completo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Un juego completo de estados financieros comprende: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estado de situación financiera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estado del resultado del periodo y otro resultado integral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 estado de cambios en el patrimonio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 estado de flujos de efectivo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notas, que incluyan un resumen de las políticas contables más significativas y otra información explicativa;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un estado de situación financiera al principio del primer periodo comparativo, cuando una entidad aplique una política contable retroactivamente o realice una reexpresión retroactiva de partidas en sus estados financieros, o cuando reclasifique partidas en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entidad puede utilizar, para denominar a los estados, títulos distintos a los utilizados en esta Norma. Por ejemplo, una entidad puede utilizar el título “estado del </w:t>
      </w:r>
      <w:r w:rsidRPr="00401DFF">
        <w:rPr>
          <w:rFonts w:ascii="Times New Roman" w:eastAsia="Times New Roman" w:hAnsi="Times New Roman" w:cs="Times New Roman"/>
          <w:b/>
          <w:bCs/>
          <w:sz w:val="24"/>
          <w:szCs w:val="24"/>
          <w:lang w:eastAsia="es-CO"/>
        </w:rPr>
        <w:lastRenderedPageBreak/>
        <w:t>resultado integral” en lugar de “estado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10A Una entidad puede presentar un estado del resultado del periodo y otro resultado integral único, con el resultado del periodo y el otro resultado integral presentados en dos secciones. Las secciones se presentarán juntas, con la sección del resultado del periodo presentado en primer lugar seguido directamente por la sección de otro resultado integral. Una entidad puede presentar la sección del resultado del periodo en un estado de resultado del periodo separado. Si lo hace así, el estado del resultado del periodo separado precederá inmediatamente al estado que presente el resultado integral, que comenzará con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Una entidad presentará con el mismo nivel de importancia todos los estados financieros que forman un juego completo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Muchas entidades presentan, fuera de sus estados financieros, un análisis financiero elaborado por la gerencia, que describe y explica las características principales del rendimiento financiero y la situación financiera de la entidad, así como las principales incertidumbres a las que se enfrenta. Tal informe puede incluir un examen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principales factores e influencias que han determinado el rendimiento financiero, incluyendo los cambios en el entorno en que opera la entidad, su respuesta a esos cambios y su efecto, así como la política de inversiones que sigue para mantener y mejorar dicho rendimiento financiero, incluyendo su política de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fuentes de financiación de la entidad, así como su objetivo respecto al coeficiente de deudas sobre patrimonio;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recursos de la entidad no reconocidos en el estado de situación financiera según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Muchas entidades también presentan, fuera de sus estados financieros, informes y estados tales como informes medioambientales y estados del valor añadido, particularmente en sectores industriales en los que los factores del medioambiente son significativos y cuando los trabajadores se consideran un grupo de usuarios importante. Los informes y estados presentados fuera de los estados financieros quedan fuera del alcance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razonable y cumplimiento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15 Los estados financieros deberán presentar razonablemente la situación financiera y el rendimiento financiero, así como los flujos de efectivo de una entidad. La presentación razonable requiere la presentación fidedigna de los efectos de las </w:t>
      </w:r>
      <w:r w:rsidRPr="00401DFF">
        <w:rPr>
          <w:rFonts w:ascii="Times New Roman" w:eastAsia="Times New Roman" w:hAnsi="Times New Roman" w:cs="Times New Roman"/>
          <w:b/>
          <w:bCs/>
          <w:sz w:val="24"/>
          <w:szCs w:val="24"/>
          <w:lang w:eastAsia="es-CO"/>
        </w:rPr>
        <w:lastRenderedPageBreak/>
        <w:t xml:space="preserve">transacciones, así como de otros sucesos y condiciones, de acuerdo con las definiciones y los criterios de reconocimiento de activos, pasivos, ingresos y gastos establecidos en el </w:t>
      </w:r>
      <w:r w:rsidRPr="00401DFF">
        <w:rPr>
          <w:rFonts w:ascii="Times New Roman" w:eastAsia="Times New Roman" w:hAnsi="Times New Roman" w:cs="Times New Roman"/>
          <w:b/>
          <w:bCs/>
          <w:i/>
          <w:iCs/>
          <w:sz w:val="24"/>
          <w:szCs w:val="24"/>
          <w:lang w:eastAsia="es-CO"/>
        </w:rPr>
        <w:t>Marco Conceptual</w:t>
      </w:r>
      <w:hyperlink r:id="rId12" w:anchor="bf10e8619c592d849619d3ac80c698395a1nf9" w:tgtFrame="_self" w:history="1">
        <w:r w:rsidRPr="00401DFF">
          <w:rPr>
            <w:rFonts w:ascii="Times New Roman" w:eastAsia="Times New Roman" w:hAnsi="Times New Roman" w:cs="Times New Roman"/>
            <w:color w:val="0000FF"/>
            <w:sz w:val="20"/>
            <w:szCs w:val="20"/>
            <w:u w:val="single"/>
            <w:vertAlign w:val="superscript"/>
            <w:lang w:eastAsia="es-CO"/>
          </w:rPr>
          <w:t>(7)</w:t>
        </w:r>
      </w:hyperlink>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b/>
          <w:bCs/>
          <w:sz w:val="24"/>
          <w:szCs w:val="24"/>
          <w:lang w:eastAsia="es-CO"/>
        </w:rPr>
        <w:t>La aplicación de las NIIF, con información a revelar adicional cuando sea necesario, se supone que da lugar a estados financieros que permiten conseguir una presentación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Una entidad cuyos estados financieros cumplan las NIIF efectuará, en las notas, una declaración, explícita y sin reservas, de dicho cumplimiento. Una entidad no señalará que sus estados financieros cumplen con las NIIF a menos que satisfagan todos los requerimientos de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En casi la totalidad de las circunstancias, una entidad logrará una presentación razonable cumpliendo con las NIIF aplicables. Una presentación razonable también requiere que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Seleccione y aplique las políticas contables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La NIC 8 establece una jerarquía normativa, a considerar por la gerencia en ausencia de una NIIF que sea aplicable específicamente a una partida.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Presente información, que incluya a las políticas contables, de una forma que sea relevante, fiable, comparable y comprensible.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Suministre información adicional, siempre que el cumplimiento con los requerimientos especificados por las NIIF resulten insuficientes para permitir a los usuarios comprender el impacto de determinadas transacciones, de otros sucesos o condiciones, sobre la situación financiera y el rendimiento financiero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18 Una entidad no puede rectificar políticas contables inapropiadas mediante la revelación de las políticas contables utilizadas, ni mediante la utilización de notas u otro material explicativo.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19 En la circunstancia extremadamente excepcional de que la gerencia concluyera que el cumplimiento de un requerimiento de una NIIF sería tan engañoso como para entrar en conflicto con el objetivo de los estados financieros establecido en el </w:t>
      </w:r>
      <w:r w:rsidRPr="00401DFF">
        <w:rPr>
          <w:rFonts w:ascii="Times New Roman" w:eastAsia="Times New Roman" w:hAnsi="Times New Roman" w:cs="Times New Roman"/>
          <w:b/>
          <w:bCs/>
          <w:i/>
          <w:iCs/>
          <w:sz w:val="24"/>
          <w:szCs w:val="24"/>
          <w:lang w:eastAsia="es-CO"/>
        </w:rPr>
        <w:t>Marco Conceptual</w:t>
      </w:r>
      <w:r w:rsidRPr="00401DFF">
        <w:rPr>
          <w:rFonts w:ascii="Times New Roman" w:eastAsia="Times New Roman" w:hAnsi="Times New Roman" w:cs="Times New Roman"/>
          <w:b/>
          <w:bCs/>
          <w:sz w:val="24"/>
          <w:szCs w:val="24"/>
          <w:lang w:eastAsia="es-CO"/>
        </w:rPr>
        <w:t>, la entidad no lo aplicará, según se establece en el párrafo 20, siempre que el marco regulatorio aplicable requiera, o no prohíba, esta falta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Cuando una entidad no aplique un requerimiento establecido en una NIIF de acuerdo con el párrafo 19,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que la gerencia ha llegado a la conclusión de que los estados financieros presentan razonablemente la situación financiera y rendimiento financiero y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que se ha cumplido con las NIIF aplicables, excepto en el caso particular del requerimiento no aplicado para lograr una presentación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el título de la NIIF que la entidad ha dejado de aplicar, la naturaleza del apartamiento, incluyendo el tratamiento que la NIIF requeriría, la razón por la que ese tratamiento sería en las circunstancias tan engañoso como para entrar en conflicto con el objetivo de los estados financieros establecido en el </w:t>
      </w:r>
      <w:r w:rsidRPr="00401DFF">
        <w:rPr>
          <w:rFonts w:ascii="Times New Roman" w:eastAsia="Times New Roman" w:hAnsi="Times New Roman" w:cs="Times New Roman"/>
          <w:b/>
          <w:bCs/>
          <w:i/>
          <w:iCs/>
          <w:sz w:val="24"/>
          <w:szCs w:val="24"/>
          <w:lang w:eastAsia="es-CO"/>
        </w:rPr>
        <w:t>Marco Conceptual</w:t>
      </w:r>
      <w:r w:rsidRPr="00401DFF">
        <w:rPr>
          <w:rFonts w:ascii="Times New Roman" w:eastAsia="Times New Roman" w:hAnsi="Times New Roman" w:cs="Times New Roman"/>
          <w:b/>
          <w:bCs/>
          <w:sz w:val="24"/>
          <w:szCs w:val="24"/>
          <w:lang w:eastAsia="es-CO"/>
        </w:rPr>
        <w:t>, junto con el tratamiento alternativo adoptado;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para cada periodo sobre el que se presente información, el impacto financiero de la falta de aplicación sobre cada partida de los estados financieros que debería haber sido presentada cumpliendo con el requerimiento mencionado.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21 Cuando una entidad haya dejado de aplicar, en algún periodo anterior, un requerimiento de una NIIF, y ello afecte a los importes reconocidos en los estados financieros del periodo actual, deberá revelar la información establecida en el párrafo 20(c) y (d).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El párrafo 21 se aplicará, por ejemplo, cuando una entidad haya dejado de cumplir, en un periodo anterior, un requerimiento de una NIIF para la medición de activos o pasivos, y ello afectase a la medición de los cambios en activos y pasivos reconocidos en los estados financieros del periodo 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23 En la circunstancia extremadamente excepcional de que la gerencia concluyera que cumplir con un requerimiento de una NIIF sería tan engañoso como para entrar en conflicto con el objetivo de los estados financieros establecido en el </w:t>
      </w:r>
      <w:r w:rsidRPr="00401DFF">
        <w:rPr>
          <w:rFonts w:ascii="Times New Roman" w:eastAsia="Times New Roman" w:hAnsi="Times New Roman" w:cs="Times New Roman"/>
          <w:b/>
          <w:bCs/>
          <w:i/>
          <w:iCs/>
          <w:sz w:val="24"/>
          <w:szCs w:val="24"/>
          <w:lang w:eastAsia="es-CO"/>
        </w:rPr>
        <w:t>Marco Conceptual</w:t>
      </w:r>
      <w:r w:rsidRPr="00401DFF">
        <w:rPr>
          <w:rFonts w:ascii="Times New Roman" w:eastAsia="Times New Roman" w:hAnsi="Times New Roman" w:cs="Times New Roman"/>
          <w:b/>
          <w:bCs/>
          <w:sz w:val="24"/>
          <w:szCs w:val="24"/>
          <w:lang w:eastAsia="es-CO"/>
        </w:rPr>
        <w:t>, pero el marco regulatorio prohibiera apartamientos al requerimiento, la entidad reducirá, en la medida de lo posible, los aspectos de cumplimiento que perciba como causantes del engaño, mediante la revelación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el título de la NIIF en cuestión, la naturaleza del requerimiento, y la razón por la cual la gerencia ha llegado a la conclusión de que su cumplimiento sería tan engañoso como para entrar en conflicto con el objetivo de los estados financieros establecido en el </w:t>
      </w:r>
      <w:r w:rsidRPr="00401DFF">
        <w:rPr>
          <w:rFonts w:ascii="Times New Roman" w:eastAsia="Times New Roman" w:hAnsi="Times New Roman" w:cs="Times New Roman"/>
          <w:b/>
          <w:bCs/>
          <w:i/>
          <w:iCs/>
          <w:sz w:val="24"/>
          <w:szCs w:val="24"/>
          <w:lang w:eastAsia="es-CO"/>
        </w:rPr>
        <w:t>Marco Conceptual;</w:t>
      </w:r>
      <w:r w:rsidRPr="00401DFF">
        <w:rPr>
          <w:rFonts w:ascii="Times New Roman" w:eastAsia="Times New Roman" w:hAnsi="Times New Roman" w:cs="Times New Roman"/>
          <w:b/>
          <w:bCs/>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para cada periodo presentado, los ajustes a cada partida de los estados financieros que la gerencia haya concluido que serían necesarios para lograr una presentación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Para los fines de los párrafos 19 a 23, una partida entraría en conflicto con el objetivo de los estados financieros cuando no representase de una forma fidedigna las transacciones, así como los otros sucesos y condiciones que debiera representar, o pudiera razonablemente esperarse que representara y, en consecuencia, fuera probable que influyera en las decisiones económicas tomadas por los usuarios de los estados financieros. Al evaluar si el cumplimiento de un requerimiento específico, establecido en una NIIF, sería tan engañoso como para entrar en conflicto con el objetivo de los estados financieros establecido en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la gerencia considerará: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por qué no se alcanza el objetivo de los estados financieros, en las circunstancias particulares que se están sopesando;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forma en que las circunstancias de la entidad difieren de las que se dan en otras entidades que cumplen con ese requerimiento. Si otras entidades cumplieran con ese requerimiento en circunstancias similares, existirá la presunción refutable de que el cumplimiento del requerimiento, por parte de la entidad, no sería tan engañoso como para entrar en conflicto con el objetivo de los estados financieros establecido en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de negocio en marcha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Al elaborar los estados financieros, la gerencia evaluará la capacidad que tiene una entidad para continuar en funcionamiento. Una entidad elaborará los estados financieros bajo la hipótesis de negocio en marcha, a menos que la gerencia pretenda liquidar la entidad o cesar en su actividad, o bien no exista otra alternativa más realista que proceder de una de estas formas. Cuando la gerencia, al realizar esta evaluación, sea consciente de la existencia de incertidumbres importantes, relativas a eventos o condiciones que puedan aportar dudas significativas sobre la posibilidad de que la entidad siga funcionando normalmente, procederá a revelarlas en los estados financieros. Cuando una entidad no prepare los estados financieros bajo la hipótesis de negocio en marcha, revelará ese hecho, junto con las hipótesis sobre las que han sido elaborados y las razones por las que la entidad no se considera como un negocio en marcha.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Al evaluar si la hipótesis de negocio en marcha resulta apropiada, la gerencia tendrá en cuenta toda la información disponible sobre el futuro, que deberá cubrir al menos los doce meses siguientes a partir del final del periodo sobre el que se informa, sin limitarse a dicho periodo. El grado de detalle de las consideraciones dependerá de los hechos que se presenten en cada caso. Cuando una entidad tenga un historial de operaciones rentable, así como un pronto acceso a recursos financieros, la entidad podrá concluir que la utilización de la hipótesis de negocio en marcha es apropiada, sin realizar un análisis detallado. En otros casos, puede ser necesario que la gerencia, antes de convencerse a sí misma de que la hipótesis de negocio en marcha es apropiada, deba ponderar una amplia gama de factores relacionados con la rentabilidad actual y esperada, el calendario de pagos de la deuda y las fuentes potenciales de sustitución de la financiación existente.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Base contable de acumulación (devengo)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27 Una entidad elaborará sus estados financieros, excepto en lo relacionado con la información sobre flujos de efectivo, utilizando la base contable de acumulación (o devengo).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28 Cuando se utiliza la base contable de acumulación (devengo), una entidad reconocerá partidas como activos, pasivos, patrimonio, ingresos y gastos (los elementos de los estados financieros), cuando satisfagan las definiciones y los criterios de reconocimiento previstos para tales elementos en el </w:t>
      </w:r>
      <w:r w:rsidRPr="00401DFF">
        <w:rPr>
          <w:rFonts w:ascii="Times New Roman" w:eastAsia="Times New Roman" w:hAnsi="Times New Roman" w:cs="Times New Roman"/>
          <w:i/>
          <w:iCs/>
          <w:sz w:val="24"/>
          <w:szCs w:val="24"/>
          <w:lang w:eastAsia="es-CO"/>
        </w:rPr>
        <w:t>Marco Conceptual</w:t>
      </w:r>
      <w:hyperlink r:id="rId13" w:anchor="bf1bf446c99e2274e5c98cc62eb47c0b3e0nf9" w:tgtFrame="_self" w:history="1">
        <w:r w:rsidRPr="00401DFF">
          <w:rPr>
            <w:rFonts w:ascii="Times New Roman" w:eastAsia="Times New Roman" w:hAnsi="Times New Roman" w:cs="Times New Roman"/>
            <w:color w:val="0000FF"/>
            <w:sz w:val="20"/>
            <w:szCs w:val="20"/>
            <w:u w:val="single"/>
            <w:vertAlign w:val="superscript"/>
            <w:lang w:eastAsia="es-CO"/>
          </w:rPr>
          <w:t>(8)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Materialidad (importancia relativa) y agrupación de 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29 Una entidad presentará por separado cada clase significativa de partidas similares. Una entidad presentará por separado las partidas de naturaleza o función distinta, a menos que no tengan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Los estados financieros son el producto del procesamiento de un gran número de transacciones y otros sucesos, que se agrupan por clases de acuerdo con su naturaleza o función. La etapa final del proceso de agregación y clasificación es la presentación de datos condensados y clasificados, que constituyen las partidas de los estados financieros. Si una partida concreta careciese de importancia relativa por sí sola, se agregará con otras partidas, ya sea en los estados financieros o en las notas. Una partida que no tenga la suficiente importancia relativa como para justificar su presentación separada en esos estados financieros puede justificar su presentación separada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No es necesario que una entidad proporcione una revelación específica requerida por una NIIF si la información carece de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Una entidad no compensará activos con pasivos o ingresos con gastos a menos que así lo requiera o permita una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Una entidad informará por separado sobre sus activos y pasivos e ingresos y gastos. La compensación en el estado del resultado integral o en el estado de situación financiera o en el estado de resultados separado (cuando se lo presenta) limita la capacidad de los usuarios para comprender las transacciones y otros sucesos y condiciones que se hayan producido, así como para evaluar los flujos futuros de efectivo de la entidad, excepto cuando la compensación sea un reflejo del fondo de la transacción o suceso. La medición por el neto en el caso de los activos sujetos a correcciones valorativas —por ejemplo correcciones por deterioro del valor de inventarios por obsolescencia y de las cuentas por cobrar de dudoso cobro— no es una 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xml:space="preserve"> define el ingreso de actividades ordinarias y requiere que se lo mida por el valor razonable de la contraprestación, recibida o por recibir, teniendo en cuenta el importe de cualesquiera descuentos comerciales y rebajas por volumen de ventas que sean practicados por la entidad. Una entidad lleva a cabo, en el curso de sus actividades ordinarias, otras transacciones que no generan ingresos de actividades ordinarias sino que son accesorias con respecto a las actividades principales que generan estos ingresos. Una entidad presentará los resultados de estas transacciones compensando los ingresos con los gastos relacionados que genere la misma operación, siempre que dicha presentación refleje el fondo de la transacción u otro suceso.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una entidad presentará las ganancias y pérdidas por la disposición de activos no corrientes, incluyendo inversiones y activos de operación, deduciendo del importe recibido </w:t>
      </w:r>
      <w:r w:rsidRPr="00401DFF">
        <w:rPr>
          <w:rFonts w:ascii="Times New Roman" w:eastAsia="Times New Roman" w:hAnsi="Times New Roman" w:cs="Times New Roman"/>
          <w:sz w:val="24"/>
          <w:szCs w:val="24"/>
          <w:lang w:eastAsia="es-CO"/>
        </w:rPr>
        <w:lastRenderedPageBreak/>
        <w:t>por dicha disposición el importe en libros del activo y los gastos de venta correspondientes;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una entidad podrá compensar los desembolsos relativos a las provisiones reconocidas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que hayan sido reembolsados a la entidad como consecuencia de un acuerdo contractual con otra parte (por ejemplo, un acuerdo de garantía de productos cubierto por un proveedor) con los reembolsos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Además, una entidad presentará en términos netos las ganancias y pérdidas que procedan de un grupo de transacciones similares, por ejemplo las ganancias y pérdidas por diferencias de cambio, o las derivadas de instrumentos financieros mantenidos para negociar. Sin embargo, una entidad presentará estas ganancias y pérdidas por separado si tienen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Frecuencia de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Una entidad presentará un juego completo de estados financieros (incluyendo información comparativa) al menos anualmente. Cuando una entidad cambie el cierre del periodo sobre el que informa y presente los estados financieros para un periodo contable superior o inferior a un año, revelará, además del periodo cubierto por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razón para utilizar un periodo de duración inferior o superior;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hecho de que los importes presentados en los estados financieros no son totalmente comparables.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Normalmente, una entidad prepara, de forma coherente en el tiempo, estados financieros que comprenden un periodo anual. No obstante, determinadas entidades prefieren informar, por razones prácticas, sobre periodos de 52 semanas. Esta Norma no prohíbe esta práctica.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38 A menos que las NIIF permitan o requieran otra cosa, una entidad revelará información comparativa respecto del periodo anterior para todos los importes incluidos en los estados financieros del periodo corriente. Una entidad incluirá información comparativa para la información descriptiva y narrativa, cuando esto sea relevante para la comprensión de los estados financieros del periodo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 Una entidad que revele información comparativa presentará, como mínimo, dos estados de situación financiera, dos de cada uno de los restantes estados, y las notas relacionadas. Cuando una entidad aplique una política contable retroactivamente o realice una reexpresión retroactiva de partidas en sus estados financieros, o cuando reclasifique partidas en sus estados financieros, presentará, como mínimo, tres estados de situación </w:t>
      </w:r>
      <w:r w:rsidRPr="00401DFF">
        <w:rPr>
          <w:rFonts w:ascii="Times New Roman" w:eastAsia="Times New Roman" w:hAnsi="Times New Roman" w:cs="Times New Roman"/>
          <w:sz w:val="24"/>
          <w:szCs w:val="24"/>
          <w:lang w:eastAsia="es-CO"/>
        </w:rPr>
        <w:lastRenderedPageBreak/>
        <w:t>financiera, dos de cada uno de los restantes estados, y las notas relacionadas. Una entidad presentará estados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cierre del periodo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al cierre del periodo anterior (que es el mismo que el del comienzo del periodo corriente),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al principio del primer periodo comparativo.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En algunos casos, la información narrativa proporcionada en los estados financieros de periodo(s) anterior(es) continúa siendo relevante en el periodo actual. Por ejemplo, una entidad revelará en el periodo corriente detalles de una disputa legal cuyo resultado era incierto al final del periodo inmediatamente anterior y que todavía debe resolverse. Los usuarios se beneficiarán al conocer que la incertidumbre existía ya al final del periodo inmediatamente anterior al que se informa, así como los pasos dados durante el periodo para resolverla.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 Cuando la entidad modifique la presentación o la clasificación de partidas en sus estados financieros, también reclasificará los importes comparativos, a menos que resulte impracticable hacerlo. Cuando la entidad reclasifique los importes comparativos,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de la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cada partida o grupo de partidas que se han reclasificado;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razón de la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Cuando la reclasificación de los importes comparativos sea impracticable,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razón para no reclasificar los importes;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naturaleza de los ajustes que tendrían que haberse efectuado si los importes hubieran sido reclasificados.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El mejoramiento de la comparabilidad de la información entre periodos ayuda a los usuarios en la toma de decisiones económicas, sobre todo al permitir la evaluación de tendencias en la información financiera con propósitos predictivos. En algunas circunstancias, la reclasificación de la información comparativa de periodos anteriores concretos para conseguir la comparabilidad con las cifras del periodo corriente es impracticable. Por ejemplo, una entidad puede no haber calculado algunos datos en periodos anteriores, de una manera que permita su reclasificación y la reproducción de la información es, por tanto, impracticable.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44 La NIC 8 establece los ajustes a realizar en la información comparativa requerida, cuando una entidad cambia una política contable o corrige un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Uniformidad en la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 Una entidad mantendrá la presentación y clasificación de las partidas en los estados financieros de un periodo a otro,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tras un cambio en la naturaleza de las actividades de la entidad o una revisión de sus estados financieros, se ponga de manifiesto que sería más apropiada otra presentación u otra clasificación, tomando en consideración los criterios para la selección y aplicación de políticas contables de la NIC 8;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NIIF requiera un cambio en la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Por ejemplo, una adquisición o disposición significativa, o una revisión de la presentación de los estados financieros, podrían sugerir que éstos necesitan ser presentados de forma diferente. Una entidad sólo cambiará la presentación de sus estados financieros cuando dicho cambio proporcione información fiable y más relevante para los usuarios de los estados financieros, y la nueva estructura tenga visos de continuidad, de modo que la comparabilidad no quede perjudicada. Cuando se realicen estos cambios en la presentación, una entidad reclasificará su información comparativa de acuerdo con los párrafos 41 y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Estructura y contenido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47 Esta Norma requiere revelar determinada información en el estado de situación financiera o en el estado del resultado integral, en el estado de resultados separado (cuando se lo presenta), o en el estado de cambios en el patrimonio, y requiere la revelación de partidas en estos estados o en las notas. La NIC 7 </w:t>
      </w:r>
      <w:r w:rsidRPr="00401DFF">
        <w:rPr>
          <w:rFonts w:ascii="Times New Roman" w:eastAsia="Times New Roman" w:hAnsi="Times New Roman" w:cs="Times New Roman"/>
          <w:i/>
          <w:iCs/>
          <w:sz w:val="24"/>
          <w:szCs w:val="24"/>
          <w:lang w:eastAsia="es-CO"/>
        </w:rPr>
        <w:t>Estado de Flujos de Efectivo</w:t>
      </w:r>
      <w:r w:rsidRPr="00401DFF">
        <w:rPr>
          <w:rFonts w:ascii="Times New Roman" w:eastAsia="Times New Roman" w:hAnsi="Times New Roman" w:cs="Times New Roman"/>
          <w:sz w:val="24"/>
          <w:szCs w:val="24"/>
          <w:lang w:eastAsia="es-CO"/>
        </w:rPr>
        <w:t xml:space="preserve"> establece los requerimientos de presentación para la información sobre el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Esta Norma a menudo utiliza el término “información a revelar” en un sentido amplio, incluyendo partidas presentadas en los estados financieros. Otras NIIF también requieren revelar información. A menos que en esta Norma o en otras NIIF se especifique lo contrario, estas revelaciones de información pueden realizarse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49 Una entidad identificará claramente los estados financieros y los distinguirá de cualquier otra información publicada en el mismo documento.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50 Las NIIF se aplican solo a los estados financieros, y no necesariamente a otra información presentada en un informe anual, en las presentaciones a entes reguladores o en otro documento. Por tanto, es importante que los usuarios sean capaces de distinguir la </w:t>
      </w:r>
      <w:r w:rsidRPr="00401DFF">
        <w:rPr>
          <w:rFonts w:ascii="Times New Roman" w:eastAsia="Times New Roman" w:hAnsi="Times New Roman" w:cs="Times New Roman"/>
          <w:sz w:val="24"/>
          <w:szCs w:val="24"/>
          <w:lang w:eastAsia="es-CO"/>
        </w:rPr>
        <w:lastRenderedPageBreak/>
        <w:t>información que se prepara utilizando las NIIF de cualquier otra información que, aunque les pudiera ser útil, no está sujeta a los requerimientos de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Una entidad identificará claramente cada estado financiero y las notas. Además, una entidad mostrará la siguiente información en lugar destacado, y la repetirá cuando sea necesario para que la información presentada sea comprensible: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nombre de la entidad u otra forma de identificación de la misma, así como los cambios relativos a dicha información desde el final del periodo precedente;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los estados financieros pertenecen a una entidad individual o a un grupo de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fecha del cierre del periodo sobre el que se informa o el periodo cubierto por el juego de los estados financieros o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moneda de presentación, tal como se define en la NIC 21;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grado de redondeo practicado al presentar las cifras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Una entidad cumple con los requerimientos del párrafo 51 a través de la presentación de encabezamientos apropiados para las páginas, estados, notas, columnas y similares. Se requiere la utilización del juicio profesional para determinar la mejor forma de presentar esta información. Por ejemplo, cuando una entidad presenta los estados financieros electrónicamente no siempre se utilizan páginas separadas; en este caso, una entidad presentará las partidas anteriores para asegurar que la información incluida en los estados financieros puede entenderse.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Con frecuencia, una entidad hará más comprensibles los estados financieros presentando las cifras en miles o millones de unidades monetarias de la moneda de presentación. Esto será aceptable en la medida en que la entidad revele el grado de redondeo practicado y no omita información material o de importancia relativa al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Como mínimo, el estado de situación financiera incluirá partidas que presenten los siguientes importes: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 activos financieros [excluidos los importes mencionados en los apartados (e), (h) e (i)];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inversiones contabilizadas utilizando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deudores comerciales y otras cuentas por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(j) el total de activos clasificados como mantenidos para la venta y los activos incluidos en grupos de activos para su disposición, que se hayan clasificado como mantenidos para la venta de acuerdo con la NIIF 5 </w:t>
      </w:r>
      <w:r w:rsidRPr="00401DFF">
        <w:rPr>
          <w:rFonts w:ascii="Times New Roman" w:eastAsia="Times New Roman" w:hAnsi="Times New Roman" w:cs="Times New Roman"/>
          <w:b/>
          <w:bCs/>
          <w:i/>
          <w:iCs/>
          <w:sz w:val="24"/>
          <w:szCs w:val="24"/>
          <w:lang w:eastAsia="es-CO"/>
        </w:rPr>
        <w:t>Activos No corrientes Mantenidos para la Venta y Operaciones Discontinuadas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(k) acreedores comerciales y otras cuentas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 pasivos financieros [excluyendo los importes mencionados en los apartados (k) y (l)];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(n) pasivos y activos por impuestos corrientes, según se definen en la NIC 12 </w:t>
      </w:r>
      <w:r w:rsidRPr="00401DFF">
        <w:rPr>
          <w:rFonts w:ascii="Times New Roman" w:eastAsia="Times New Roman" w:hAnsi="Times New Roman" w:cs="Times New Roman"/>
          <w:b/>
          <w:bCs/>
          <w:i/>
          <w:iCs/>
          <w:sz w:val="24"/>
          <w:szCs w:val="24"/>
          <w:lang w:eastAsia="es-CO"/>
        </w:rPr>
        <w:t>Impuesto a las Ganancias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 pasivos y activos por impuestos diferidos, según se definen en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 pasivos incluidos en los grupos de activos para su disposición clasificados como mantenidos para la venta de acuerdo con la 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(q) participaciones no controladoras, presentadas dentro del patrimonio;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 capital emitido y reservas atribuibles a los propietarios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Una entidad presentará en el estado de situación financiera partidas adicionales, encabezamientos y subtotales, cuando sea relevante para comprender su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56 Cuando una entidad presente en el estado de situación financiera los activos y los pasivos clasificados en corrientes o no corrientes, no clasificará los activos (o los pasivos) por impuestos diferidos como activos (o pasivos)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57 Esta Norma no prescribe ni el orden ni el formato en que una entidad presentará las partidas. El párrafo 54 simplemente enumera partidas que son lo suficientemente diferentes, en su naturaleza o función, como para justificar su presentación por separado en el estado de situación financiera. Además: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añadirán otras partidas cuando el tamaño, naturaleza o función de una partida o grupo de partidas sea tal que la presentación por separado resulte relevante para comprender la situación financiera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denominaciones utilizadas y la ordenación de las partidas o agrupaciones de partidas similares, podrán ser modificadas de acuerdo con la naturaleza de la entidad y de sus transacciones, para suministrar información que sea relevante para la comprensión de la situación financiera de la entidad. Por ejemplo, una institución financiera puede modificar las denominaciones anteriores para proporcionar información que sea relevante para sus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Una entidad decidirá si ha de presentar partidas adicionales de forma separada en función de una evaluación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y la liquidez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función de los activos dentro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importes, la naturaleza y el plazo de los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La utilización de diferentes bases de medición para distintas clases de activos sugiere que su naturaleza o su función difieren y, en consecuencia, que deben ser presentados como partidas separadas. Por ejemplo, ciertas clases de propiedades, planta y equipo pueden contabilizarse al costo histórico, o por sus importes revaluados, de acuerdo con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Distinción entre partidas corrientes y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60 Una entidad presentará sus activos corrientes y no corrientes, así como sus pasivos corrientes y no corrientes, como categorías separadas en su estado de situación financiera, de acuerdo con los párrafos 66 a 76, excepto cuando una presentación basada en el grado de liquidez proporcione una información fiable que sea más relevante. Cuando se aplique esa excepción, una entidad presentará todos los activos y pasivos ordenados atendiendo a su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Independientemente del método de presentación adoptado, una entidad revelará el importe esperado a recuperar o a cancelar después de los doce meses para cada partida de activo o pasivo que combine importe a recuperar o a cancelar: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dentro de los doce meses siguientes después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después de doce meses tras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62 Cuando una entidad suministra bienes o servicios dentro de un ciclo de operación claramente identificable, la clasificación separada de los activos y pasivos corrientes y no corrientes, en el estado de situación financiera, proporciona una información útil al distinguir los activos netos que están circulando continuamente como capital de trabajo, de los utilizados en las operaciones a largo plazo de la entidad. Esta distinción servirá también para destacar tanto los activos que se espera realizar en el transcurso del ciclo normal de la operación, como los pasivos que se deban liquidar en ese mismo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63 Para algunas entidades, tales como las instituciones financieras, una presentación de activos y pasivos en orden ascendente o descendente de liquidez proporciona información fiable y más relevante que la presentación corriente-no corriente, debido a que la entidad no suministra bienes ni presta servicios dentro de un ciclo de operación claramente identificable.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Se permite que, al aplicar el párrafo 60, una entidad presente algunos de sus activos y pasivos empleando la clasificación corriente/no corriente, y otros en orden a su liquidez, siempre que esto proporcione información fiable y más relevante. La necesidad de mezclar las bases de presentación podría aparecer cuando una entidad realice actividades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La información sobre las fechas esperadas de realización de los activos y pasivos es útil para evaluar la liquidez y la solvencia de una entidad. La NIF 7</w:t>
      </w:r>
      <w:r w:rsidRPr="00401DFF">
        <w:rPr>
          <w:rFonts w:ascii="Times New Roman" w:eastAsia="Times New Roman" w:hAnsi="Times New Roman" w:cs="Times New Roman"/>
          <w:i/>
          <w:iCs/>
          <w:sz w:val="24"/>
          <w:szCs w:val="24"/>
          <w:lang w:eastAsia="es-CO"/>
        </w:rPr>
        <w:t xml:space="preserve"> Instrumentos Financieros: Informaciones a Revelar</w:t>
      </w:r>
      <w:r w:rsidRPr="00401DFF">
        <w:rPr>
          <w:rFonts w:ascii="Times New Roman" w:eastAsia="Times New Roman" w:hAnsi="Times New Roman" w:cs="Times New Roman"/>
          <w:sz w:val="24"/>
          <w:szCs w:val="24"/>
          <w:lang w:eastAsia="es-CO"/>
        </w:rPr>
        <w:t xml:space="preserve"> requiere la revelación de información acerca de las fechas de vencimiento de los activos financieros y pasivos financieros. Los activos financieros incluyen las cuentas de deudores comerciales y otras cuentas por cobrar, y los pasivos financieros las cuentas de acreedores comerciales y otras cuentas por pagar. También será de utilidad la información acerca de la fecha esperada de recuperación de los activos no monetarios, como los inventarios, y la fecha esperada de cancelación de pasivos como las provisiones, con independencia de que se los clasifiquen como corrientes o no corrientes. Por ejemplo, una entidad revelará los importes de los inventarios que espera realizar después de los doce meses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66 Una entidad clasificará un activo como corriente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espera realizar el activo, o tiene la intención de venderlo o consumirlo en su ciclo normal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mantiene el activo principalmente con fines de negociación;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espera realizar el activo dentro de los doce meses siguientes después del periodo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(d) el activo es efectivo o equivalente al efectivo (como se define en la NIC 7) a menos que éste se encuentre restringido y no pueda ser intercambiado ni utilizado para </w:t>
      </w:r>
      <w:r w:rsidRPr="00401DFF">
        <w:rPr>
          <w:rFonts w:ascii="Times New Roman" w:eastAsia="Times New Roman" w:hAnsi="Times New Roman" w:cs="Times New Roman"/>
          <w:b/>
          <w:bCs/>
          <w:sz w:val="24"/>
          <w:szCs w:val="24"/>
          <w:lang w:eastAsia="es-CO"/>
        </w:rPr>
        <w:lastRenderedPageBreak/>
        <w:t>cancelar un pasivo por un ejercicio mínimo de doce meses después del ejercicio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entidad clasificará todos los demás activos como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En esta Norma, el término “no corriente” incluye activos tangibles, intangibles y financieros que por su naturaleza son a largo plazo. No está prohibido el uso de descripciones alternativas siempre que su significado sea claro.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El ciclo normal de la operación de una entidad es el periodo comprendido entre la adquisición de los activos que entran en el proceso productivo, y su realización en efectivo o equivalentes al efectivo. Cuando el ciclo normal de la operación no sea claramente identificable, se supondrá que su duración es de doce meses. Los activos corrientes incluyen activos (tales como inventarios y deudores comerciales) que se venden, consumen o realizan, dentro del ciclo normal de la operación, incluso cuando no se espere su realización dentro del periodo de doce meses a partir de la fecha del periodo sobre el que se informa. Los activos corrientes también incluyen activos que se mantienen fundamentalmente para negociar (por ejemplo algunos activos financieros que cumplen la definición de mantenidos para negociar de la NIIF 9) y la parte a corto plazo de los activos financieros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69 Una entidad clasificará un pasivo como corriente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espera liquidar el pasivo en su ciclo normal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mantiene el pasivo principalmente con fines de negociación;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pasivo debe liquidarse dentro de los doce meses siguientes a la fecha del periodo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no tiene un derecho incondicional para aplazar la cancelación del pasivo durante, al menos, los doce meses siguientes a la fecha del periodo sobre el que se informa (véase el párrafo 73). Las condiciones de un pasivo que puedan dar lugar, a elección de la otra parte, a su liquidación mediante la emisión de instrumentos de patrimonio, no afectan a su 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entidad clasificará todos los demás pasivos como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70 Algunos pasivos corrientes, tales como las cuentas comerciales por pagar y otros pasivos acumulados (devengados), ya sea por costos de personal o por otros costos de operación, integran el capital de trabajo utilizado en el ciclo normal de operación de la entidad. Una entidad clasificará estas partidas de operación como pasivos corrientes aunque se vayan a liquidar después de los doce meses de la fecha del periodo sobre el que se informa. Para la clasificación de los activos y pasivos de una entidad se aplicará el mismo ciclo normal de </w:t>
      </w:r>
      <w:r w:rsidRPr="00401DFF">
        <w:rPr>
          <w:rFonts w:ascii="Times New Roman" w:eastAsia="Times New Roman" w:hAnsi="Times New Roman" w:cs="Times New Roman"/>
          <w:sz w:val="24"/>
          <w:szCs w:val="24"/>
          <w:lang w:eastAsia="es-CO"/>
        </w:rPr>
        <w:lastRenderedPageBreak/>
        <w:t>operación. Cuando el ciclo normal de la operación no sea claramente identificable, se supondrá que su duración es de doce meses.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Otros tipos de pasivos corrientes no se cancelan como parte del ciclo normal de la operación, pero deben liquidarse dentro de los doce meses siguientes a la fecha del periodo sobre el que se informa o se mantienen fundamentalmente con propósitos de negociación. Son ejemplos de este tipo algunos pasivos financieros que cumplen la definición como mantenidos para negociar de acuerdo con la NIIF 9, los descubiertos bancarios, y la parte corriente de los pasivos financieros no corrientes, los dividendos a pagar, los impuestos sobre las ganancias y otras cuentas por pagar no comerciales. Los pasivos financieros que proporcionan financiación a largo plazo (es decir, no forman parte del capital de trabajo utilizado en el ciclo normal de operación de la entidad) y que no deban liquidarse después de los doce meses a partir de la fecha del periodo sobre el que se informa, son pasivos no corrientes, sujetos a las condiciones de los párrafos 74 y 75.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 Una entidad clasificará sus pasivos financieros como corrientes cuando deban liquidarse dentro de los doce meses siguientes a la fecha del periodo sobre el que informa, aunque: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plazo original del pasivo fuera un periodo superior a doce meses;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después de la fecha del periodo sobre el que se informa y antes de que los estados financieros sean autorizados para su publicación se haya concluido un acuerdo de refinanciación o de reestructuración de los pagos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Si una entidad tuviera la expectativa y, además, la facultad de renovar o refinanciar una obligación al menos durante los doce meses siguientes a la fecha del periodo sobre el que se informa, de acuerdo con las condiciones de financiación existentes, clasificará la obligación como no corriente, aún cuando de otro modo venza en un periodo más corto. No obstante, cuando la refinanciación o extensión del plazo no sea una facultad de la entidad (por ejemplo si no existiese un acuerdo de refinanciación), la entidad no tendrá en cuenta la refinanciación potencial y la obligación se clasificará como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Cuando una entidad infrinja una disposición contenida en un contrato de préstamo a largo plazo al final del periodo sobre el que se informa o antes con el efecto de que el pasivo se convierta en exigible a voluntad del prestamista, tal pasivo se clasificará como corriente, incluso si el prestamista hubiera acordado, después de la fecha del periodo sobre el que se informa y antes de que los estados financieros sean autorizados para su publicación, no exigir el pago como consecuencia de la infracción. Una entidad clasificará el pasivo como corriente porque, al final del periodo sobre el que se informa, no tiene el derecho incondicional de aplazar la cancelación del pasivo durante al menos, doce meses tras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75 Sin embargo, una entidad clasificará el pasivo como no corriente si el prestamista hubiese acordado, al final del periodo sobre el que se informa, la concesión de un periodo de gracia que finalice al menos doce meses después de esa fecha, dentro de cuyo plazo la entidad puede rectificar la infracción y durante el cual el prestamista no puede exigir el reembolso inmediato.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76 Con respecto a los préstamos clasificados como pasivos corrientes, si los sucesos que siguen ocurriesen entre el final del periodo sobre el que se informa y la fecha en que los estados financieros son autorizados para su publicación, esos sucesos se revelarán como hechos ocurridos después de la fecha de balance que no implican ajustes, de acuerdo con la NIC 10 </w:t>
      </w:r>
      <w:r w:rsidRPr="00401DFF">
        <w:rPr>
          <w:rFonts w:ascii="Times New Roman" w:eastAsia="Times New Roman" w:hAnsi="Times New Roman" w:cs="Times New Roman"/>
          <w:i/>
          <w:iCs/>
          <w:sz w:val="24"/>
          <w:szCs w:val="24"/>
          <w:lang w:eastAsia="es-CO"/>
        </w:rPr>
        <w:t>Hechos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refinanciación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rectificación de la infracción del contrato de préstamo a largo plazo;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concesión, por parte del prestamista, de un periodo de gracia para rectificar la infracción relativa al contrato de préstamo a largo plazo que finalice al menos doce meses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el estado de situación financiera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77 Una entidad revelará, ya sea en el estado de situación financiera o en las notas, subclasificaciones adicionales de las partidas presentadas, clasificadas de una manera que sea apropiada para las operaciones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El detalle suministrado en las subclasificaciones dependerá de los requerimientos de las NIIF, así como del tamaño, la naturaleza y la función de los importes afectados. Para decidir los criterios de subclasificación, una entidad utilizará también los factores descriptos en el párrafo 58. El nivel de información suministrada variará para cada partida,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partidas de propiedades, planta y equipo se desagregarán por clases, de acuerdo con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cuentas por cobrar se desagregarán en importes por cobrar de clientes comerciales, de partes relacionadas, anticipos y otros importes;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inventarios se desagregarán, de acuerdo con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en clasificaciones tales como mercaderías, materias primas, materiales, productos en curso y productos terminados;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provisiones se desglosarán, de forma que se muestren por separado las que corresponden a provisiones por beneficios a empleados y el resto;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capital y las reservas se desagregarán en varias clases, tales como capital pagado, primas de emisión y reservas.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79 Una entidad revelará lo siguiente, sea en el estado de situación financiera, en el estado de cambios en el patrimonio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para cada clase de capital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 el número de acciones autorizadas;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número de acciones emitidas y pagadas totalmente, así como las emitidas pero aún no pagadas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valor nominal de las acciones, o el hecho de que no tengan valor nominal;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una conciliación entre el número de acciones en circulación al principio y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los derechos, privilegios y restricciones correspondientes a cada clase de acciones, incluyendo las restricciones sobre la distribución de dividendos y el reembolso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las acciones de la entidad que estén en su poder o bien en el de sus subsidiarias o asociadas;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 las acciones cuya emisión está reservada como consecuencia de la existencia de opciones o contratos para la venta de acciones, incluyendo las condiciones e importes correspondientes;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descripción de la naturaleza y destino de cada reserva que figure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Una entidad sin capital en acciones, tal como las que responden a una fórmula societaria o fiduciaria, revelará información equivalente a la requerida en el párrafo 79(a), mostrando los cambios producidos durante el periodo en cada una de las categorías que componen el patrimonio y los derechos, privilegios y restricciones asociados a cada una.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80A Si una entidad ha reclasificado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instrumento financiero con opción de venta clasificado como un instrumento de patrimonio,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instrumento que impone a la entidad una obligación de entregar a terceros una participación proporcional de los activos netos de la entidad solo en el momento de la liquidación y se clasifica como un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entre pasivos financieros y patrimonio, revelará el importe reclasificado dentro y fuera de cada categoría (pasivo financiero o patrimonio), y el momento y razón de esa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81</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81A El estado del resultado del periodo y otro resultado integral (estado del resultado integral) presentará, además de las secciones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resultados</w:t>
      </w:r>
      <w:r w:rsidRPr="00401DFF">
        <w:rPr>
          <w:rFonts w:ascii="Times New Roman" w:eastAsia="Times New Roman" w:hAnsi="Times New Roman" w:cs="Times New Roman"/>
          <w:sz w:val="24"/>
          <w:szCs w:val="24"/>
          <w:lang w:eastAsia="es-CO"/>
        </w:rPr>
        <w:t xml:space="preserve"> (sic) </w:t>
      </w:r>
      <w:r w:rsidRPr="00401DFF">
        <w:rPr>
          <w:rFonts w:ascii="Times New Roman" w:eastAsia="Times New Roman" w:hAnsi="Times New Roman" w:cs="Times New Roman"/>
          <w:b/>
          <w:bCs/>
          <w:sz w:val="24"/>
          <w:szCs w:val="24"/>
          <w:lang w:eastAsia="es-CO"/>
        </w:rPr>
        <w:t>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otro resultado integral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resultado integral del periodo, siendo el total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una entidad presenta un estado del resultado del periodo separado no presentará la sección del resultado del periodo en el estado que presente 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81B Una entidad presentará las siguientes partidas, además de las secciones del resultado del periodo y otro resultado integral, como distribuciones del resultado del periodo y otro resultado integral para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Resultado del periodo atribuible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participaciones no controladoras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propietarios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Resultado integral del periodo atribuible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participaciones no controladoras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propietarios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una entidad presenta el resultado del periodo en un estado separado, presentará (a) en ese estado.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la sección del resultado del periodo o en el estado del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82 Además de las partidas requeridas por otras NIIF, la sección del resultado del periodo o el estado del resultado del periodo incluirán las partidas que presenten los importes siguientes para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(aa) ganancias y pérdidas que surgen de la baja en cuentas de activos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costos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 participación en el resultado del periodo de las asociadas y negocios conjuntos que se contabilicen con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 Si un activo financiero se reclasifica de forma que se mide a valor razonable, cualquier ganancia o pérdida que surja de una diferencia entre el importe en libros anterior y su valor razonable en la fecha de la reclasificación (como se define en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gasto por 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(ea) un importe único para el total de operaciones discontinuadas (véase la 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(f-i)</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la sección de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82A La sección de otro resultado integral presentará partidas para los importes de otro resultado integral del periodo, clasificadas por naturaleza (incluyendo la parte de otro resultado integral de asociadas y negocios conjuntos contabilizados utilizando el método de la participación) y agrupadas dentro las que, de acuerdo con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no se reclasificarán posteriormente al resultado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reclasificarán posteriormente a resultados del periodo cuando se cumplan las condiciones específicas.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83-84</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85 Una entidad presentará partidas adicionales, encabezamientos y subtotales en los estados que presenten el resultado del periodo y otro resultado integral cuando tal presentación sea relevante para comprender el rendimiento financiero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86 Dado que los efectos de las diferentes actividades, transacciones y otros sucesos de una entidad, difieren en frecuencia, potencial de ganancias o pérdidas y capacidad de predicción, la revelación de información sobre los componentes del rendimiento financiero ayuda a los usuarios a comprender dicho rendimiento financiero logrado, así como a realizar proyecciones a futuro sobre éste. Una entidad incluirá partidas adicionales en los estados que presenten el resultado del periodo y otro resultado integral y modificará las denominaciones y la ordenación de partidas cuando sea necesario para explicar los elementos del rendimiento financiero. Una entidad considerará factores que incluyan la materialidad (importancia relativa) y la naturaleza y función de las partidas de ingreso y gasto. Por ejemplo, una institución financiera puede modificar las denominaciones para proporcionar información que sea relevante para las operaciones de una institución </w:t>
      </w:r>
      <w:r w:rsidRPr="00401DFF">
        <w:rPr>
          <w:rFonts w:ascii="Times New Roman" w:eastAsia="Times New Roman" w:hAnsi="Times New Roman" w:cs="Times New Roman"/>
          <w:sz w:val="24"/>
          <w:szCs w:val="24"/>
          <w:lang w:eastAsia="es-CO"/>
        </w:rPr>
        <w:lastRenderedPageBreak/>
        <w:t>financiera. Una entidad no compensará partidas de ingresos y gastos, a menos que se cumplan los criterios del párrafo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87 Una entidad no presentará ninguna partida de ingreso o gasto como partidas extraordinarias en los estados que presenten el resultado del periodo y otro resultado integral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88 Una entidad reconocerá todas las partidas de ingreso y gasto de un periodo en el resultado a menos que una NIIF requiera o permita otra cosa.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89 Algunas NIIF especifican las circunstancias en las que una entidad reconocerá determinadas partidas fuera del resultado del periodo corriente. La NIC 8 especifica dos de estas circunstancias: la corrección de errores y el efecto de cambios en políticas contables. Otras NIIF requieren o permiten que componentes de otro resultado integral que cumplen la definición de ingreso o gasto proporcionada por el </w:t>
      </w:r>
      <w:r w:rsidRPr="00401DFF">
        <w:rPr>
          <w:rFonts w:ascii="Times New Roman" w:eastAsia="Times New Roman" w:hAnsi="Times New Roman" w:cs="Times New Roman"/>
          <w:i/>
          <w:iCs/>
          <w:sz w:val="24"/>
          <w:szCs w:val="24"/>
          <w:lang w:eastAsia="es-CO"/>
        </w:rPr>
        <w:t>Marco Conceptual</w:t>
      </w:r>
      <w:hyperlink r:id="rId14" w:anchor="bf1df992363a94448289d794c8bb53fe99anf9" w:tgtFrame="_self" w:history="1">
        <w:r w:rsidRPr="00401DFF">
          <w:rPr>
            <w:rFonts w:ascii="Times New Roman" w:eastAsia="Times New Roman" w:hAnsi="Times New Roman" w:cs="Times New Roman"/>
            <w:color w:val="0000FF"/>
            <w:sz w:val="20"/>
            <w:szCs w:val="20"/>
            <w:u w:val="single"/>
            <w:vertAlign w:val="superscript"/>
            <w:lang w:eastAsia="es-CO"/>
          </w:rPr>
          <w:t>(9)</w:t>
        </w:r>
      </w:hyperlink>
      <w:r w:rsidRPr="00401DFF">
        <w:rPr>
          <w:rFonts w:ascii="Times New Roman" w:eastAsia="Times New Roman" w:hAnsi="Times New Roman" w:cs="Times New Roman"/>
          <w:sz w:val="24"/>
          <w:szCs w:val="24"/>
          <w:lang w:eastAsia="es-CO"/>
        </w:rPr>
        <w:t xml:space="preserve"> se excluyan del resultado (véase el párrafo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 resultado integral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90 Una entidad revelará el importe del impuesto a las ganancias relativo a cada partida de otro resultado integral, incluyendo los ajustes por reclasificación, en el estado del resultado del periodo y otro resultado integral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 Una entidad puede presentar las partidas de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netas de los efectos fiscales relacionados,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antes de los efectos fiscales relacionados con un importe que muestre el importe acumulado del impuesto a las ganancias relacionado con esas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una entidad elige la alternativa (b), distribuirá el impuesto entre las partidas que pueden reclasificarse posteriormente a la sección del resultado del periodo y las que no se reclasificarán posteriormente a ésta sección.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92 Una entidad revelará los ajustes por reclasificación relacionados con los componentes de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93 Otras NIIF especifican si y cuándo reclasificar en resultados los importes previamente reconocidos en otro resultado integral. Estas reclasificaciones se denominan en esta Norma ajustes por reclasificación. Un ajuste por reclasificación se incluye con el componente relacionado de otro resultado integral en el periodo en el que tal ajuste se reclasifica dentro del resultado del periodo. Estos importes pueden haber sido reconocidos en otro resultado integral como ganancias no realizadas en el periodo corriente o en periodos anteriores. Esas ganancias no realizadas deben deducirse de otro resultado integral en el periodo en que las </w:t>
      </w:r>
      <w:r w:rsidRPr="00401DFF">
        <w:rPr>
          <w:rFonts w:ascii="Times New Roman" w:eastAsia="Times New Roman" w:hAnsi="Times New Roman" w:cs="Times New Roman"/>
          <w:sz w:val="24"/>
          <w:szCs w:val="24"/>
          <w:lang w:eastAsia="es-CO"/>
        </w:rPr>
        <w:lastRenderedPageBreak/>
        <w:t>ganancias realizadas se reclasifican dentro del resultado para evitar su inclusión por duplicado en el resultado integral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Una entidad puede presentar el ajuste por reclasificación en los estados del resultado del periodo y otro resultado integral o en las notas. Una entidad que presente los ajustes por reclasificación en las notas presentará las partidas de otro resultado integral después de cualquier ajuste por reclasificación relacionado.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Los ajustes por reclasificación surgen, por ejemplo, al disponer de un negocio en el extranjero (véase la NIC 21), y cuando un flujo de efectivo previsto cubierto afecta al resultado del periodo (véase el párrafo 100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Los ajustes por reclasificación no surgen por cambios en el superávit de revaluación reconocido de acuerdo con la NIC 16 o la NIC 38, o por nuevas mediciones de planes de beneficios definidos reconocidas de acuerdo con la NIC 19. Estos componentes se reconocerán en otro resultado integral y no se reclasificarán en el resultado en periodos posteriores. Los cambios en el superávit de revaluación pueden transferirse a ganancias acumuladas en periodos posteriores a medida que se utiliza el activo o cuando éste se da de baja (véase la NIC 16 y la NIC 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los estados del resultado del periodo y otro resultado integral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97 Cuando las partidas de ingreso o gasto son materiales (tienen importancia relativa), una entidad revelará de forma separada información sobre su naturaleza e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98 Entre las circunstancias que darían lugar a revelaciones separadas de partidas de ingresos y gastos están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rebaja de los inventarios hasta su valor neto realizable, o de los elementos de propiedades, planta y equipo hasta su importe recuperable, así como la reversión de tales rebajas;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reestructuración de las actividades de una entidad y la reversión de cualquier provisión para hacer frente a los costos de ella;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disposición de partidas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disposiciones de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cancelaciones de pagos por litigios;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otras reversiones de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99 Una entidad presentará un desglose de los gastos reconocidos en el resultado, utilizando una clasificación basada en la naturaleza o en la función de ellos dentro de la entidad, lo que proporcione una información que sea fiable y más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100 Se recomienda que las entidades presenten el desglose del párrafo 99 en el estado que presente 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101 Los gastos se subclasifican para destacar los componentes del rendimiento financiero, que puedan ser diferentes en términos de frecuencia, potencial de ganancia o pérdida y capacidad de predicción. Este desglose se proporciona en una de las dos formas descritas a continuación.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102 La primera forma de desglose es el método de la “naturaleza de los gastos”. Una entidad agrupará gastos dentro del resultado de acuerdo con su naturaleza (por ejemplo depreciación, compras de materiales, costos de transporte, beneficios a los empleados y costos de publicidad) y no los redistribuirá atendiendo a las diferentes funciones que se desarrollan en la entidad. Este método resulta fácil de aplicar, porque no es necesario distribuir los gastos en clasificaciones funcionales. Un ejemplo de clasificación que utiliza el método de la naturaleza de los gastos es el siguiente: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6985"/>
        <w:gridCol w:w="895"/>
        <w:gridCol w:w="1048"/>
      </w:tblGrid>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Ingresos de actividades ordinarias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Otros ingresos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Variación en los inventarios de productos terminados y en proceso</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Consumos de materias primas y materiales secundarios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Gastos por beneficios a los empleados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Gastos por depreciación y amortización</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Otros gastos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Total de gastos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762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Ganancia antes de impuestos</w:t>
            </w:r>
          </w:p>
        </w:tc>
        <w:tc>
          <w:tcPr>
            <w:tcW w:w="9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08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 La segunda forma de desglose es el método de la “función de los gastos” o del “costo de las ventas”, y clasifica los gastos de acuerdo con su función como parte del costo de las ventas o, por ejemplo, de los costos de actividades de distribución o administración. Como mínimo una entidad revelará, según este método, su costo de ventas de forma separada de otros gastos. Este método puede proporcionar a los usuarios una información más relevante que la clasificación de gastos por naturaleza, pero la distribución de los costos por función puede requerir asignaciones arbitrarias, e implicar la realización de juicios de importancia. Un ejemplo de clasificación utilizando el método de gastos por función es el siguiente:</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45"/>
        <w:gridCol w:w="1650"/>
      </w:tblGrid>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Ingresos de actividades ordinarias</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Costo de ventas</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Ganancia bruta</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Otros ingresos</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Costos de distribución</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Gastos de administración</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Otros gastos</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r w:rsidR="00401DFF" w:rsidRPr="00401DFF" w:rsidTr="00401DFF">
        <w:trPr>
          <w:tblCellSpacing w:w="15" w:type="dxa"/>
          <w:jc w:val="center"/>
        </w:trPr>
        <w:tc>
          <w:tcPr>
            <w:tcW w:w="45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Ganancia antes de impuestos</w:t>
            </w:r>
          </w:p>
        </w:tc>
        <w:tc>
          <w:tcPr>
            <w:tcW w:w="160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104 Una entidad que clasifique los gastos por función revelará información adicional sobre la naturaleza de ellos, donde incluirá los gastos por depreciación y amortización y el gasto por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105 La elección entre el método de la naturaleza de los gastos o de la función de los gastos dependerá de factores históricos, así como del sector industrial y de la naturaleza de la entidad. Ambos métodos suministran una indicación de los costos que puedan variar directa o indirectamente, con el nivel de ventas o de producción de la entidad. Puesto que cada método de presentación tiene ventajas para tipos distintos de entidades, esta Norma requiere que la gerencia seleccione la presentación que sea fiable y más relevante. Sin embargo, puesto que la información sobre la naturaleza de los gastos es útil para predecir los flujos de efectivo futuros, se requieren información a revelar adicional cuando se utiliza la clasificación de la función de los gastos. En el párrafo 104, “beneficios a los empleados” tiene el mismo significado que en la NIC 19</w:t>
      </w:r>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cambios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el estado de cambios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106 Una entidad presentará un estado de cambios en el patrimonio tal como se requiere en el párrafo 10. El estado de cambios en el patrimonio incluye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resultado integral total del periodo, mostrando de forma separada los importes totales atribuibles a los propietarios de la controladora y los atribuibles a las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para cada componente de patrimonio, los efectos de la aplicación retroactiva o la reexpresión retroactiva reconocidos según la NIC 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para cada componente del patrimonio, una conciliación entre los importes en libros, al inicio y al final del periodo, revelando por separado los cambios resultantes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resultados</w:t>
      </w:r>
      <w:r w:rsidRPr="00401DFF">
        <w:rPr>
          <w:rFonts w:ascii="Times New Roman" w:eastAsia="Times New Roman" w:hAnsi="Times New Roman" w:cs="Times New Roman"/>
          <w:sz w:val="24"/>
          <w:szCs w:val="24"/>
          <w:lang w:eastAsia="es-CO"/>
        </w:rPr>
        <w:t xml:space="preserve"> (sic) </w:t>
      </w:r>
      <w:r w:rsidRPr="00401DFF">
        <w:rPr>
          <w:rFonts w:ascii="Times New Roman" w:eastAsia="Times New Roman" w:hAnsi="Times New Roman" w:cs="Times New Roman"/>
          <w:b/>
          <w:bCs/>
          <w:sz w:val="24"/>
          <w:szCs w:val="24"/>
          <w:lang w:eastAsia="es-CO"/>
        </w:rPr>
        <w:t>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otro resultado integral;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(iii) transacciones con los propietarios en su calidad de tales, mostrando por separado las contribuciones realizadas por los propietarios y las distribuciones a éstos y los cambios en las participaciones de propiedad en subsidiarias que no den lugar a una 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presentar en el estado de cambios en el patrimonio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106A Una entidad presentará para cada componente del patrimonio, ya sea en el estado de cambios en el patrimonio o en las notas, un desglose por partida de otro resultado integral [véase el párrafo 106(d)(ii)].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107 Una entidad presentará, ya sea en el estado de cambios en el patrimonio o en las notas, el importe de los dividendos reconocidos como distribuciones a los propietarios durante el periodo, y el importe de dividendos por acción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 En el párrafo 106, los componentes de patrimonio incluyen, por ejemplo, cada una de las clases de capitales aportados, el saldo acumulado de cada una de las clases que componen el otro resultado integral y las ganancias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109 Los cambios en el patrimonio de una entidad, entre el comienzo y el final del periodo sobre el que se informa, reflejarán el incremento o la disminución en sus activos netos en dicho periodo. Excepto por lo que se refiere a los cambios que procedan de transacciones con los propietarios en su condición de tales (como por ejemplo aportaciones de patrimonio, las recompras por la entidad de sus propios instrumentos de patrimonio y los dividendos) y los costos directamente relacionados con estas transacciones, la variación integral del patrimonio durante el periodo representa el importe total de ingresos y gastos, incluyendo ganancias o pérdidas, generadas por las actividades de la entidad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110 La NIC 8 requiere ajustes retroactivos al efectuar cambios en las políticas contables, en la medida en que sean practicables, excepto cuando las disposiciones transitorias de alguna NIIF requieran otra cosa. La NIC 8 también requiere que la reexpresión para corregir errores se efectúe retroactivamente, en la medida en que sea practicable. Los ajustes y las reexpresiones retroactivas no son cambios en el patrimonio sino ajustes al saldo inicial de las ganancias acumuladas, excepto cuando alguna NIIF requiera el ajuste retroactivo de otro componente de patrimonio. El párrafo 106(b) requiere la revelación de información en el estado de cambios en el patrimonio, sobre los ajustes totales en cada uno de sus componentes derivados de los cambios en las políticas contables y, por separado, de la corrección de errores. Se revelará información sobre estos ajustes para cada periodo anterior y para el principio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111 La información sobre los flujos de efectivo proporciona a los usuarios de los estados financieros una base para evaluar la capacidad de la entidad para generar efectivo y equivalentes al efectivo y las necesidades de la entidad para utilizar esos flujos de efectivo. </w:t>
      </w:r>
      <w:r w:rsidRPr="00401DFF">
        <w:rPr>
          <w:rFonts w:ascii="Times New Roman" w:eastAsia="Times New Roman" w:hAnsi="Times New Roman" w:cs="Times New Roman"/>
          <w:sz w:val="24"/>
          <w:szCs w:val="24"/>
          <w:lang w:eastAsia="es-CO"/>
        </w:rPr>
        <w:lastRenderedPageBreak/>
        <w:t>La NIC 7 establece los requerimientos para la presentación y revelación de información sobre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Estructura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112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presentarán información acerca de las bases para la preparación de los estados financieros, y sobre las políticas contables específicas utilizadas de acuerdo con los párrafos 117 a 124;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revelarán la información requerida por las NIIF que no haya sido incluida en otro lugar de los estados financieros;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proporcionarán información que no se presenta en ninguno de los estados financieros, pero que es relevante para entender a cualquiera de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113 Una entidad presentará las notas, en la medida en que sea practicable, de una forma sistemática. Una entidad referenciará cada partida incluida en los estados de situación financiera y del resultado integral, en el estado de resultados separado (cuando se lo presenta) y en los estados de cambios en el patrimonio y de flujos de efectivo, con cualquier información relacionada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114 Una entidad normalmente presentará las notas en el siguiente orden, para ayudar a los usuarios a comprender los estados financieros y compararlos con los presentados por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declaración de cumplimiento con las NIIF (véase el párrafo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resumen de las políticas contables significativas aplicadas (véase el párrafo 117);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información de respaldo para las partidas presentadas en los estados de situación financiera y del resultado integral, en el estado de resultados separado (cuando se lo presenta), y en los estados de cambios en el patrimonio y de flujos de efectivo, en el orden en que se presenta cada estado y cada partida;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Otra información a revelar,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pasivos contingentes (véase la NIC 37) y compromisos contractuales no reconocidos;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revelaciones de información no financiera, por ejemplo los objetivos y políticas de gestión del riesgo financiero (véase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115 En ciertas circunstancias, podría ser necesario o deseable variar el orden de partidas concretas dentro de las notas. Por ejemplo, una entidad puede combinar información sobre cambios en el valor razonable reconocidos en el resultado del periodo con información sobre vencimientos de instrumentos financieros, aunque la anterior información a revelar se refiera al estado que presente el resultado del periodo y otro resultado integral y la última esté relacionada con el estado de situación financiera. No obstante, una entidad conservará, en la medida de lo posible, una estructura sistemática en el orden de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116 Una entidad puede presentar las notas que proporcionan información acerca de las bases para la preparación de los estados financieros y las políticas contables específicas como una sección separada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117 Una entidad revelará, en el resumen de políticas contables significativas: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base (o bases) de medición utilizada para la elaboración de los estados financieros,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otras políticas contables utilizadas que sean relevantes para la comprensión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118 Para una entidad es importante informar a los usuarios acerca de la base, o bases, de medición utilizada en los estados financieros (por ejemplo: costo histórico, costo corriente, valor neto realizable, valor razonable o importe recuperable), puesto que esa base, sobre la que una entidad elabora los estados financieros, afecta significativamente al análisis realizado por los usuarios. Cuando una entidad utiliza más de una base de medición en los estados financieros, por ejemplo cuando se han revaluado clases de activos concretas, será suficiente con proporcionar una indicación con respecto a las categorías de activos y pasivos a los que se ha aplicado cada una de las bases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119 Al decidir si una determinada política contable debe revelarse, la gerencia considerará si la revelación ayudaría a los usuarios a comprender la forma en la que las transacciones y otros sucesos y condiciones se reflejan en la información sobre el rendimiento y la situación financiera. La revelación de políticas contables particulares, será especialmente útil para los usuarios cuando ellas se escojan entre las alternativas permitidas en las NIIF. Un ejemplo es revelar información sobre si una entidad aplica el valor razonable o el modelo del costo a sus propiedades de inversión (véase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Algunas NIIF requieren, de forma específica, información a revelar acerca de determinadas políticas contables, incluyendo las opciones escogidas por la gerencia entre las diferentes políticas permitidas. Por ejemplo, la NIC 16 requiere revelar información acerca de las bases de medición utilizadas para las distintas clases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120 Cada entidad considerará la naturaleza de sus operaciones, y las políticas que los usuarios de sus estados financieros esperaría que se revelasen para ese tipo de entidad. Por ejemplo, los usuarios de una entidad sujeta a impuestos sobre las ganancias, esperarían que ella revele sus políticas contables al respecto, incluyendo las aplicables a los activos y </w:t>
      </w:r>
      <w:r w:rsidRPr="00401DFF">
        <w:rPr>
          <w:rFonts w:ascii="Times New Roman" w:eastAsia="Times New Roman" w:hAnsi="Times New Roman" w:cs="Times New Roman"/>
          <w:sz w:val="24"/>
          <w:szCs w:val="24"/>
          <w:lang w:eastAsia="es-CO"/>
        </w:rPr>
        <w:lastRenderedPageBreak/>
        <w:t>pasivos por impuestos diferidos. Cuando una entidad tenga un número significativo de negocios en el extranjero o transacciones en moneda extranjera, los usuarios podrían esperar la revelación de información acerca de las políticas contables seguidas para el reconocimiento de ganancias y pérdidas por diferencias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121 Una política contable podría ser significativa debido a la naturaleza de las operaciones de la entidad, incluso cuando los importes del periodo corriente o del anterior carecieran de importancia relativa. También resultará adecuado revelar información acerca de cada política contable significativa que no esté requerida específicamente por las NIIF, pero que la entidad seleccione y aplique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122 Una entidad revelará, en el resumen de las políticas contables significativas o en otras notas, los juicios, diferentes de aquéllos que involucren estimaciones (véase el párrafo 125), que la gerencia haya realizado en el proceso de aplicación de las políticas contables de la entidad y que tengan un efecto significativo sobre los importes reconocidos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123 En el proceso de aplicación de las políticas contables de la entidad, la gerencia realizará diversos juicios, diferentes de los relativos a las estimaciones, que pueden afectar significativamente a los importes reconocidos en los estados financieros</w:t>
      </w: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Por ejemplo, la gerencia realizará juicios profesionales para determinar: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cuándo se han transferido sustancialmente a otras entidades todos los riesgos y las ventajas inherentes a la propiedad de los activos financieros y de los activos arrendados;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por su fondo económico, ciertas ventas de bienes son acuerdos de financiación y, en consecuencia, no ocasionan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124 Alguna de la información a revelar de conformidad con el párrafo 122, es requerida por otras NIIF. Por ejemplo, la NIIF 12 </w:t>
      </w:r>
      <w:r w:rsidRPr="00401DFF">
        <w:rPr>
          <w:rFonts w:ascii="Times New Roman" w:eastAsia="Times New Roman" w:hAnsi="Times New Roman" w:cs="Times New Roman"/>
          <w:i/>
          <w:iCs/>
          <w:sz w:val="24"/>
          <w:szCs w:val="24"/>
          <w:lang w:eastAsia="es-CO"/>
        </w:rPr>
        <w:t xml:space="preserve">Información a Revelar sobre Participaciones en Otras Entidades </w:t>
      </w:r>
      <w:r w:rsidRPr="00401DFF">
        <w:rPr>
          <w:rFonts w:ascii="Times New Roman" w:eastAsia="Times New Roman" w:hAnsi="Times New Roman" w:cs="Times New Roman"/>
          <w:sz w:val="24"/>
          <w:szCs w:val="24"/>
          <w:lang w:eastAsia="es-CO"/>
        </w:rPr>
        <w:t>requiere que una entidad revele los juicios que ha realizado para determinar si controla a otra entidad</w:t>
      </w:r>
      <w:r w:rsidRPr="00401DFF">
        <w:rPr>
          <w:rFonts w:ascii="Times New Roman" w:eastAsia="Times New Roman" w:hAnsi="Times New Roman" w:cs="Times New Roman"/>
          <w:i/>
          <w:iCs/>
          <w:sz w:val="24"/>
          <w:szCs w:val="24"/>
          <w:lang w:eastAsia="es-CO"/>
        </w:rPr>
        <w:t>.</w:t>
      </w:r>
      <w:r w:rsidRPr="00401DFF">
        <w:rPr>
          <w:rFonts w:ascii="Times New Roman" w:eastAsia="Times New Roman" w:hAnsi="Times New Roman" w:cs="Times New Roman"/>
          <w:sz w:val="24"/>
          <w:szCs w:val="24"/>
          <w:lang w:eastAsia="es-CO"/>
        </w:rPr>
        <w:t xml:space="preserve">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xml:space="preserve"> requiere, cuando la clasificación de una determinada inversión presente dificultades, que se revele información acerca de los criterios desarrollados por la entidad para distinguir las propiedades de inversión de las propiedades ocupadas por el dueño y de las propiedades mantenidas para su venta en el curso ordinario del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Causas de incertidumbre en las 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125 Una entidad revelará información sobre los supuestos realizados acerca del futuro y otras causas de incertidumbre en la estimación al final del periodo sobre el que se informa, que tengan un riesgo significativo de ocasionar ajustes significativos en el valor en libros de los activos o pasivos dentro del periodo contable siguiente. Con respecto a esos activos y pasivos, las notas incluirán detalles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su naturaleza;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 importe en libros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126 La determinación del importe en libros de algunos activos y pasivos requerirá la estimación, al final del periodo sobre el que se informa, de los efectos de sucesos futuros inciertos sobre dichos activos y pasivos. Por ejemplo, en ausencia de precios de mercado observados recientemente, será necesario efectuar estimaciones acerca del futuro para medir el importe recuperable de las distintas clases de propiedades, planta y equipo, el efecto de la obsolescencia tecnológica sobre los inventarios, las provisiones condicionadas por los desenlaces futuros de litigios en curso y los pasivos por beneficios a los empleados a largo plazo, tales como las obligaciones por pensiones. Estas estimaciones implican supuestos sobre estas partidas como los flujos de efectivo ajustados por el riesgo o las tasas de descuento empleadas, la evolución prevista en los salarios o los cambios en los precios que afectan a otros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127 Los supuestos y otras fuentes de incertidumbre en la estimación revelados de acuerdo con el párrafo 125, se refieren a las estimaciones que ofrezcan para la gerencia una mayor dificultad, subjetividad o complejidad en el juicio. A medida que aumenta el número de variables y supuestos que afectan al posible desenlace futuro de las incertidumbres, los juicios profesionales son más subjetivos y complejos, y la posibilidad de que se produzcan cambios significativos en el importe en libros de los activos o pasivos normalmente se incrementa en consecuencia.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128 La información a revelar indicada en el párrafo 125 no se requiere para activos y pasivos con un riesgo significativo de que sus importes en libros puedan cambiar significativamente dentro del siguiente periodo contable si, al final del periodo sobre el que se informa, han sido medidos a valor razonable basado en un precio cotizado en un mercado activo para un activo o pasivo idéntico. Dichos valores razonables pueden cambiar significativamente dentro del periodo contable próximo pero estos cambios se originarán de los supuestos u otros datos de estimación de la incertidumbre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129 Una entidad presentará las revelaciones de información del párrafo 125 de forma que ayuden a los usuarios de los estados financieros a entender los juicios efectuados por la gerencia, sobre el futuro y otras fuentes de incertidumbre en la estimación. La naturaleza y el alcance de la información proporcionada variarán de acuerdo con la naturaleza de los supuestos, y con otras circunstancias. Son ejemplos de los tipos revelaciones que una entidad realizará: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 los supuestos u otras incertidumbres en la estimación;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sensibilidad del importe en libros a los métodos, supuestos y estimaciones implícitas en su cálculo, incluyendo las razones de tal sensibilidad;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la resolución esperada de la incertidumbre, así como el rango de las consecuencias razonablemente posibles dentro del año próximo, respecto del importe en libros de los activos y pasivos afectados;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la incertidumbre continúe sin resolverse, una explicación de los cambios efectuados a los supuestos pasados referentes a dichos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 Esta Norma no requiere que una entidad revele información presupuestaria o previsiones al revelar la información del párrafo 125.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131 Algunas veces es impracticable revelar el alcance de los posibles efectos de una hipótesis u otra fuente de incertidumbre en la estimación al final del periodo del que se informa. En tales casos, la entidad revelará que es razonablemente posible, sobre la base del conocimiento existente, que los desenlaces producidos dentro del siguiente periodo contable que sean diferentes de los supuestos utilizados, podrían requerir ajustes significativos en el importe en libros del activo o pasivo afectado. En cualquier caso, la entidad revelará la naturaleza y el importe en libros del activo o pasivo del específico (o de la clase de activos o pasivos) afectado por el supuesto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132 La información a revelar requerida por el párrafo 122, sobre los juicios particulares efectuados por la gerencia en el proceso de aplicación de las políticas contables de la entidad, no guarda relación con las informaciones a revelar acerca de las fuentes de incertidumbre en la estimación previstas en el párrafo 125.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133 Otras NIIF requieren la revelación de algunos de los supuestos que de otra forma sería requerida de acuerdo con el párrafo 125. Por ejemplo, la NIC 37 requiere la revelación, en circunstancias específicas, de las principales hipótesis sobre los sucesos futuros que afecten a las diferentes clases de provisiones.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requiere que se revelen las suposiciones significativas (incluyendo las técnicas de valoración y los datos de entrada) que la entidad aplica en la medición del valor razonable de los activos y pasivos, que se contabilicen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134 Una entidad revelará información que permita que los usuarios de sus estados financieros evalúen los objetivos, las políticas y los procesos que ella aplica para gestionar 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135 Para cumplir lo establecido en el párrafo 134, la entidad revelará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información cualitativa sobre sus objetivos, políticas y procesos de gestión de capital, que incluya: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descripción de lo que considera capital a efectos de su gestión;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cuando una entidad está a sujeta a requerimientos externos de capital, la naturaleza de ellos y la forma en que se incorporan en la gestión de capital;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cómo cumple sus objetivos de gestión de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datos cuantitativos resumidos acerca de lo que gestiona como capital. Algunas entidades consideran como parte del capital a determinados pasivos financieros (por ejemplo, algunas formas de deuda subordinada). Otras excluyen del capital a algunos componentes del patrimonio (por ejemplo, los componentes surgidos de las coberturas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cambios en (a) y (b) desde el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durante el periodo ha cumplido con cualquier requerimiento externo de capital al cual esté sujeto.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cuando la entidad no haya cumplido con alguno de estos requerimientos externos de capital impuestos, las consecuencias de este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basa esta información a revelar internamente proporcionada al personal clave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136 Una entidad puede gestionar su capital de diversas formas y estar sujeta a distintos requerimientos sobre el capital. Por ejemplo, un conglomerado puede incluir entidades que lleven a cabo actividades de seguro y actividades bancarias, y esas entidades pueden operar en diferentes jurisdicciones. Si la revelación de forma agregada de los requerimientos de capital y de la forma de gestionar el capital no proporcionase información útil o distorsionase la comprensión de los recursos de capital de una entidad por parte de los usuarios de los estados financieros, la entidad revelará información separada sobre cada requerimiento de capital al que esté sujeta.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financieros con opción de venta clasificados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136A En el caso de instrumentos financieros con opción de venta clasificados como instrumentos de patrimonio, una entidad revelará (en la medida en que no lo haya hecho en ninguna otra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resumen de datos cuantitativos sobre el importe clasificado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sus objetivos, políticas y procesos de gestión de su obligación de recomprar o reembolsar los instrumentos cuando le sea requerido por los tenedores de los instrumentos, incluyendo cualquier cambio sobre el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salidas de efectivo esperadas por reembolso o recompra de esa clase de instrumentos financieros;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 información sobre cómo se determinaron las salidas de efectivo esperadas por reembolso o recompra.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137 Una entidad revelará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los dividendos propuestos o anunciados antes de que los estados financieros hayan sido autorizados para su emisión, que no hayan sido reconocidos como distribución a los propietarios durante el periodo, así como los importes correspondientes por acción;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cualquier dividendo preferente de carácter acumulativo que no haya sido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138 Una entidad revelará lo siguiente, si no ha sido revelado en otra parte de la información publicada con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domicilio y forma legal de la entidad, el país en que se ha constituido y la dirección de su sede social (o el domicilio principal donde desarrolle sus actividades, si fuese diferente de la sede social);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descripción de la naturaleza de las operaciones de la entidad, así como de sus principales actividades;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nombre de la controladora directa y de la controladora última del grupo;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si es una entidad de vida limitada, información sobre la duración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 y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 Una entidad aplicará esta Norma para los periodos anuales que comiencen a partir del 1 de enero de 2009. Se permite su aplicación anticipada. Si una entidad aplica esta Norma a periodos anteriores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139A La NIC 27 (modificada en 2008) modificó el párrafo 106. Una entidad aplicará esa modificación para los periodos anuales que comiencen a partir del 1 de julio de 2009. Si una entidad aplica la NIC 27 (modificada en 2008) a periodos anteriores, las modificaciones se aplicarán también a esos periodos. La modificación se aplicará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139B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Liquidación </w:t>
      </w:r>
      <w:r w:rsidRPr="00401DFF">
        <w:rPr>
          <w:rFonts w:ascii="Times New Roman" w:eastAsia="Times New Roman" w:hAnsi="Times New Roman" w:cs="Times New Roman"/>
          <w:sz w:val="24"/>
          <w:szCs w:val="24"/>
          <w:lang w:eastAsia="es-CO"/>
        </w:rPr>
        <w:t xml:space="preserve">(Modificaciones a las NIC 32 y NIC 1), emitido en febrero de 2008, modificó el párrafo 138 e insertó los párrafos 8A, 80A y 136A. Una entidad aplicará esas modificaciones a periodos anuales que comiencen a partir del 1 de enero de 2009. Se permite su aplicación anticipada. Si una entidad aplicase las modificaciones en un periodo </w:t>
      </w:r>
      <w:r w:rsidRPr="00401DFF">
        <w:rPr>
          <w:rFonts w:ascii="Times New Roman" w:eastAsia="Times New Roman" w:hAnsi="Times New Roman" w:cs="Times New Roman"/>
          <w:sz w:val="24"/>
          <w:szCs w:val="24"/>
          <w:lang w:eastAsia="es-CO"/>
        </w:rPr>
        <w:lastRenderedPageBreak/>
        <w:t xml:space="preserve">anterior, revelará este hecho y aplicará, al mismo tiempo, las modificaciones a las NIC 32, NIC 39, NIIF 7 y CINIIF 2 </w:t>
      </w:r>
      <w:r w:rsidRPr="00401DFF">
        <w:rPr>
          <w:rFonts w:ascii="Times New Roman" w:eastAsia="Times New Roman" w:hAnsi="Times New Roman" w:cs="Times New Roman"/>
          <w:i/>
          <w:iCs/>
          <w:sz w:val="24"/>
          <w:szCs w:val="24"/>
          <w:lang w:eastAsia="es-CO"/>
        </w:rPr>
        <w:t>Aportaciones de los Socios de Entidades Cooperativas e Instrumentos Similares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139C El párrafo 68 y 71 fueron modificados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2008. Una entidad aplicará esas modificaciones a periodos anuales que comiencen a partir del 1 de enero de 2009.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139D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el párrafo 69. Una entidad aplicará esa modificación para los periodos anuales que comiencen a partir del 1 de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139E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139F Se modificaron los párrafos 106 y 107 y se añadió el párrafo 106A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2010. Una entidad aplicará esas modificaciones a periodos anuales que comiencen a partir del 1 de enero de 2011.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139G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emitida en octubre de 2010, modificó los párrafos 7, 68, 71, 82, 93, 95 y 123 y eliminó el párrafo 139E.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139H La NIIF 10 y la NIIF 12, emitidas en mayo de 2011, modificaron los párrafos 4, 119, 123 y 124. Una entidad aplicará esas modificaciones cuando aplique las NIIF 10 y 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139I La NIIF 13, emitida en mayo de 2011, modificó el párrafo 128 y 133.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139J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los párrafos 7, 10, 82, 85 a 87, 90, 91, 94, 100 y 115, añadió los párrafos 10A, 81A, 81B y 82A, y eliminó los párrafos 12, 81, 83 y 84. Una entidad aplicará esas modificaciones a periodos anuales que comiencen a partir del 1 de julio de 2012.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139K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(modificada en junio de 2011) modificó la definición de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otro resultado integral</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en el párrafo 7 y el párrafo 96. Una entidad aplicará esas modificaciones cuando aplique la NIC 19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1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140 Esta Norma sustituye a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2003 y modificada en 2005.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Definición de las NIIF modificada después de los cambios de nombre introducidos mediante la Constitución revisada de la Fundación IFRS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 xml:space="preserve">. El párrafo 25 fue derogado por el Capítulo 3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Los párrafos 15 a 24 contienen referencias sobre el objetivo de los estados financieros contenidos en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 xml:space="preserve">, que reemplazó el objetivo de los estados financieros por el objetivo de la información financiera con propósito general: véase el Capítulo 1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Sustituido por el Marco Conceptual en septiembre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En septiembre de 2010 el IASB sustituyó el Marco Conceptual por el Marco Conceptual para la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el tratamiento contable de los inventarios. Un tema fundamental en la contabilidad de los inventarios es la cantidad de costo que debe reconocerse como un activo, para que sea diferido hasta que los ingresos correspondientes sean reconocidos. Esta Norma suministra una guía práctica para la determinación de ese costo, así como para el subsiguiente reconocimiento como un gasto del periodo, incluyendo también cualquier deterioro que rebaje el importe en libros al valor neto realizable. También suministra directrices sobre las fórmulas del costo que se usan para atribuir costos a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es de aplicación a todos los inventarios, excepto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las obras en curso, resultantes de contratos de construcción, incluyendo los contratos de servicios directamente relacionados (véase la NIC 11 </w:t>
      </w:r>
      <w:r w:rsidRPr="00401DFF">
        <w:rPr>
          <w:rFonts w:ascii="Times New Roman" w:eastAsia="Times New Roman" w:hAnsi="Times New Roman" w:cs="Times New Roman"/>
          <w:b/>
          <w:bCs/>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(b) los instrumentos financieros (véase NIC 32 </w:t>
      </w:r>
      <w:r w:rsidRPr="00401DFF">
        <w:rPr>
          <w:rFonts w:ascii="Times New Roman" w:eastAsia="Times New Roman" w:hAnsi="Times New Roman" w:cs="Times New Roman"/>
          <w:b/>
          <w:bCs/>
          <w:i/>
          <w:iCs/>
          <w:sz w:val="24"/>
          <w:szCs w:val="24"/>
          <w:lang w:eastAsia="es-CO"/>
        </w:rPr>
        <w:t>Instrumentos Financieros: Presentación</w:t>
      </w:r>
      <w:r w:rsidRPr="00401DFF">
        <w:rPr>
          <w:rFonts w:ascii="Times New Roman" w:eastAsia="Times New Roman" w:hAnsi="Times New Roman" w:cs="Times New Roman"/>
          <w:b/>
          <w:bCs/>
          <w:sz w:val="24"/>
          <w:szCs w:val="24"/>
          <w:lang w:eastAsia="es-CO"/>
        </w:rPr>
        <w:t xml:space="preserve"> y NIIF 9 </w:t>
      </w:r>
      <w:r w:rsidRPr="00401DFF">
        <w:rPr>
          <w:rFonts w:ascii="Times New Roman" w:eastAsia="Times New Roman" w:hAnsi="Times New Roman" w:cs="Times New Roman"/>
          <w:b/>
          <w:bCs/>
          <w:i/>
          <w:iCs/>
          <w:sz w:val="24"/>
          <w:szCs w:val="24"/>
          <w:lang w:eastAsia="es-CO"/>
        </w:rPr>
        <w:t>Instrumentos Financieros);</w:t>
      </w:r>
      <w:r w:rsidRPr="00401DFF">
        <w:rPr>
          <w:rFonts w:ascii="Times New Roman" w:eastAsia="Times New Roman" w:hAnsi="Times New Roman" w:cs="Times New Roman"/>
          <w:b/>
          <w:bCs/>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los activos biológicos relacionados con la actividad agrícola y productos agrícolas en el punto de cosecha o recolección (véase la NIC 41 </w:t>
      </w:r>
      <w:r w:rsidRPr="00401DFF">
        <w:rPr>
          <w:rFonts w:ascii="Times New Roman" w:eastAsia="Times New Roman" w:hAnsi="Times New Roman" w:cs="Times New Roman"/>
          <w:b/>
          <w:bCs/>
          <w:i/>
          <w:iCs/>
          <w:sz w:val="24"/>
          <w:szCs w:val="24"/>
          <w:lang w:eastAsia="es-CO"/>
        </w:rPr>
        <w:t>Agricultura).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Esta Norma no es de aplicación en la medición de los inventarios mantenidos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Productores de productos agrícolas y forestales, de productos agrícolas tras la cosecha o recolección, de minerales y de productos minerales, siempre que sean medidos por su valor neto realizable, de acuerdo con prácticas bien consolidadas en esos sectores industriales. En el caso de que esos inventarios se midan al valor neto realizable, los cambios en este valor se reconocerán en el resultado del periodo en que se produzcan dichos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Intermediarios que comercian con materias primas cotizadas, siempre que midan sus inventarios al valor razonable menos costos de venta. En el caso de que esos inventarios se lleven al valor razonable menos costos de venta, los cambios en el importe del valor razonable menos costos de venta se reconocerán en el resultado del periodo en que se produzcan dichos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Los inventarios a que se ha hecho referencia en el párrafo 3(a) se miden por su valor neto realizable en ciertas fases de la producción. Ello ocurre, por ejemplo, cuando se han recogido las cosechas agrícolas o se han extraído los minerales, siempre que su venta esté asegurada por un contrato a plazo sea cual fuere su tipo o garantizada por el gobierno, o bien cuando existe un mercado activo y el riesgo de fracasar en la venta sea mínimo. Esos inventarios se excluyen únicamente de los requerimientos de medición establecidos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intermediarios que comercian son aquéllos que compran o venden materias primas cotizadas por cuenta propia, o bien por cuenta de terceros. Los inventarios a que se ha hecho referencia en el apartado (b) del párrafo 3 se adquieren, principalmente, con el propósito de venderlos en un futuro próximo, y generar ganancias procedentes de las fluctuaciones en el precio, o un margen de comercialización. Cuando esos inventarios se contabilicen por su valor razonable menos los costos de venta, quedarán excluidos únicamente de los requerimientos de medición establecidos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Inventarios</w:t>
      </w:r>
      <w:r w:rsidRPr="00401DFF">
        <w:rPr>
          <w:rFonts w:ascii="Times New Roman" w:eastAsia="Times New Roman" w:hAnsi="Times New Roman" w:cs="Times New Roman"/>
          <w:b/>
          <w:bCs/>
          <w:sz w:val="24"/>
          <w:szCs w:val="24"/>
          <w:lang w:eastAsia="es-CO"/>
        </w:rPr>
        <w:t xml:space="preserve"> son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poseídos para ser vendidos en el curso normal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en proceso de producción con vistas a esa venta;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en forma de materiales o suministros, para ser consumidos en el proceso de producción, o en la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Valor neto realizable </w:t>
      </w:r>
      <w:r w:rsidRPr="00401DFF">
        <w:rPr>
          <w:rFonts w:ascii="Times New Roman" w:eastAsia="Times New Roman" w:hAnsi="Times New Roman" w:cs="Times New Roman"/>
          <w:b/>
          <w:bCs/>
          <w:sz w:val="24"/>
          <w:szCs w:val="24"/>
          <w:lang w:eastAsia="es-CO"/>
        </w:rPr>
        <w:t>es el precio estimado de venta de un activo en el curso normal de la operación menos los costos estimados para terminar su producción y los necesarios para llevar a cabo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El valor neto realizable hace referencia al importe neto que la entidad espera obtener por la venta de los inventarios, en el curso normal de la operación. El valor razonable refleja el precio al que tendría lugar una transacción ordenada para vender el mismo inventario en el mercado principal (o más ventajoso) para ese inventario, entre participantes de mercado en la fecha de la medición. El primero es un valor específico para la entidad, mientras que el último no. El valor neto realizable de los inventarios puede no ser igual al valor razonable menos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Entre los inventarios también se incluyen los bienes comprados y almacenados para su reventa, entre los que se encuentran, por ejemplo, las mercaderías adquiridas por un minorista para su reventa a sus clientes, y también los terrenos u otras propiedades de inversión que se tienen para ser vendidos a terceros. También son inventarios los productos terminados o en curso de fabricación mantenidos por la entidad, así como los materiales y suministros para ser usados en el proceso productivo. En el caso de un prestador de servicios, tal como se describe en el párrafo 19, los inventarios incluirán el costo de los servicios para los que la entidad aún no haya reconocido el ingreso de actividades ordinarias correspondiente (véase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Los inventarios se medirán al costo o al valor neto realizable, según cual sea menor.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de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El costo de los inventarios comprenderá todos los costos derivados de su adquisición y transformación, así como otros costos en los que se haya incurrido para darles su condición y ubicación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El costo de adquisición de los inventarios comprenderá el precio de compra, los aranceles de importación y otros impuestos (que no sean recuperables posteriormente de las autoridades fiscales), los transportes, el almacenamiento y otros costos directamente </w:t>
      </w:r>
      <w:r w:rsidRPr="00401DFF">
        <w:rPr>
          <w:rFonts w:ascii="Times New Roman" w:eastAsia="Times New Roman" w:hAnsi="Times New Roman" w:cs="Times New Roman"/>
          <w:sz w:val="24"/>
          <w:szCs w:val="24"/>
          <w:lang w:eastAsia="es-CO"/>
        </w:rPr>
        <w:lastRenderedPageBreak/>
        <w:t>atribuibles a la adquisición de las mercaderías, los materiales o los servicios. Los descuentos comerciales, las rebajas y otras partidas similares se deducirán para determinar el costo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transformación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Los costos de transformación de los inventarios comprenderán aquellos costos directamente relacionados con las unidades producidas, tales como la mano de obra directa. También comprenderán una parte, calculada de forma sistemática, de los costos indirectos, variables o fijos, en los que se haya incurrido para transformar las materias primas en productos terminados. Son costos indirectos fijos los que permanecen relativamente constantes, con independencia del volumen de producción, tales como la depreciación y mantenimiento de los edificios y equipos de la fábrica, así como el costo de gestión y administración de la planta. Son costos indirectos variables los que varían directamente, o casi directamente, con el volumen de producción obtenida, tales como los materiales y la mano de obra indirecta.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 proceso de distribución de los costos indirectos fijos a los costos de transformación se basará en la capacidad normal de trabajo de los medios de producción. Capacidad normal es la producción que se espera conseguir en circunstancias normales, considerando el promedio de varios periodos o temporadas, y teniendo en cuenta la pérdida de capacidad que resulta de las operaciones previstas de mantenimiento. Puede usarse el nivel real de producción siempre que se aproxime a la capacidad normal. La cantidad de costo indirecto fijo distribuido a cada unidad de producción no se incrementará como consecuencia de un nivel bajo de producción, ni por la existencia de capacidad ociosa. Los costos indirectos no distribuidos se reconocerán como gastos del periodo en que han sido incurridos. En periodos de producción anormalmente alta, la cantidad de costo indirecto distribuido a cada unidad de producción se disminuirá, de manera que no se valoren los inventarios por encima del costo. Los costos indirectos variables se distribuirán, a cada unidad de producción, sobre la base del nivel real de uso de los medios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El proceso de producción puede dar lugar a la fabricación simultánea de más de un producto. Este es el caso, por ejemplo, de la producción conjunta o de la producción de productos principales junto a subproductos. Cuando los costos de transformación de cada tipo de producto no sean identificables por separado, se distribuirá el costo total, entre los productos, utilizando bases uniformes y racionales. La distribución puede basarse, por ejemplo, en el valor de mercado de cada producto, ya sea como producción en curso, en el momento en que los productos comienzan a poder identificarse por separado, o cuando se complete el proceso productivo. La mayoría de los subproductos, por su propia naturaleza, no poseen un valor significativo. Cuando este es el caso, se miden frecuentemente al valor neto realizable, deduciendo esa cantidad del costo del producto principal. Como resultado de esta distribución, el importe en libros del producto principal no resultará significativamente diferente de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15 Se incluirán otros costos, en el costo de los inventarios, siempre que se hubiera incurrido en ellos para dar a los mismos su condición y ubicación actuales. Por ejemplo, podrá ser apropiado incluir, como costo de los inventarios, algunos costos indirectos no derivados de la producción, o los costos del diseño de productos para clientes específicos.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Son ejemplos de costos excluidos del costo de los inventarios, y por tanto reconocidos como gastos del periodo en el que se incurren,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cantidades anormales de desperdicio de materiales, mano de obra u otros costos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almacenamiento, a menos que sean necesarios en el proceso productivo, previos a un proceso de elaboración ulterior;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indirectos de administración que no hayan contribuido a dar a los inventarios su condición y ubicación actuales;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 En la NIC 23 </w:t>
      </w:r>
      <w:r w:rsidRPr="00401DFF">
        <w:rPr>
          <w:rFonts w:ascii="Times New Roman" w:eastAsia="Times New Roman" w:hAnsi="Times New Roman" w:cs="Times New Roman"/>
          <w:i/>
          <w:iCs/>
          <w:sz w:val="24"/>
          <w:szCs w:val="24"/>
          <w:lang w:eastAsia="es-CO"/>
        </w:rPr>
        <w:t>Costos por Préstamos,</w:t>
      </w:r>
      <w:r w:rsidRPr="00401DFF">
        <w:rPr>
          <w:rFonts w:ascii="Times New Roman" w:eastAsia="Times New Roman" w:hAnsi="Times New Roman" w:cs="Times New Roman"/>
          <w:sz w:val="24"/>
          <w:szCs w:val="24"/>
          <w:lang w:eastAsia="es-CO"/>
        </w:rPr>
        <w:t xml:space="preserve"> se identifican las limitadas circunstancias en las que los costos financieros se incluyen en el costo de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Una entidad puede adquirir inventarios con pago aplazado. Cuando el acuerdo contenga de hecho un elemento de financiación, como puede ser, por ejemplo, la diferencia entre el precio de adquisición en condiciones normales de crédito y el importe pagado, este elemento se reconocerá como gasto por intereses a lo largo del periodo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de los inventarios para un prestador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En el caso de que un prestador de servicios tenga inventarios, los medirá por los costos que suponga su producción. Estos costos se componen fundamentalmente de mano de obra y otros costos del personal directamente involucrado en la prestación del servicio, incluyendo personal de supervisión y otros costos indirectos atribuibles. La mano de obra y los demás costos relacionados con las ventas, y con el personal de administración general, no se incluirán en el costo de los inventarios, sino que se contabilizarán como gastos del periodo en el que se hayan incurrido. Los costos de los inventarios de un prestador de servicios no incluirán márgenes de ganancia ni costos indirectos no atribuibles que, a menudo, se tienen en cuenta en los precios facturados por el prestador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de los productos agrícolas recolectados de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De acuerdo con la NIC 41 </w:t>
      </w:r>
      <w:r w:rsidRPr="00401DFF">
        <w:rPr>
          <w:rFonts w:ascii="Times New Roman" w:eastAsia="Times New Roman" w:hAnsi="Times New Roman" w:cs="Times New Roman"/>
          <w:i/>
          <w:iCs/>
          <w:sz w:val="24"/>
          <w:szCs w:val="24"/>
          <w:lang w:eastAsia="es-CO"/>
        </w:rPr>
        <w:t>Agricultura,</w:t>
      </w:r>
      <w:r w:rsidRPr="00401DFF">
        <w:rPr>
          <w:rFonts w:ascii="Times New Roman" w:eastAsia="Times New Roman" w:hAnsi="Times New Roman" w:cs="Times New Roman"/>
          <w:sz w:val="24"/>
          <w:szCs w:val="24"/>
          <w:lang w:eastAsia="es-CO"/>
        </w:rPr>
        <w:t xml:space="preserve"> los inventarios que comprenden productos agrícolas, que la entidad haya cosechado o recolectado de sus activos biológicos, se medirán, para su reconocimiento inicial, por el valor razonable menos los costos de venta en el momento de su cosecha o recolección. Este será el costo de los inventarios en esa fecha, para la aplicación de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Técnicas de medición de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Las técnicas para la medición del costo de los inventarios, tales como el método del costo estándar o el método de los minoristas, podrán ser utilizados por conveniencia siempre que el resultado de aplicarlos se aproxime al costo. Los costos estándares se establecerán a partir de niveles normales de consumo de materias primas, suministros, mano de obra, eficiencia y utilización de la capacidad. En este caso, las condiciones de cálculo se revisarán de forma regular y, si es preciso, se cambiarán los estándares siempre y cuando esas condiciones hayan variado.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El método de los minoristas se utiliza a menudo, en el sector comercial al por menor, para la medición de inventarios, cuando hay un gran número de artículos que rotan velozmente, que tienen márgenes similares y para los cuales resulta impracticable usar otros métodos de cálculo de costos. Cuando se emplea este método, el costo de los inventarios se determinará deduciendo, del precio de venta del artículo en cuestión, un porcentaje apropiado de margen bruto. El porcentaje aplicado tendrá en cuenta la parte de los inventarios que se han marcado por debajo de su precio de venta original. A menudo se utiliza un porcentaje promedio para cada sección o departamento comercial.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Fórmulas de cálculo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El costo de los inventarios de productos que no son habitualmente intercambiables entre sí, así como de los bienes y servicios producidos y segregados para proyectos específicos, se determinará a través de la identificación específica de sus costos individuales.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La identificación específica del costo significa que cada tipo de costo concreto se distribuye entre ciertas partidas identificadas dentro de los inventarios. Este es el tratamiento adecuado para los productos que se segregan para un proyecto específico, con independencia de que hayan sido comprados o producidos. Sin embargo, la identificación específica de costos resultará inadecuada cuando, en los inventarios, haya un gran número de productos que sean habitualmente intercambiables. En estas circunstancias, el método para seleccionar qué productos individuales van a permanecer en la existencia final, podría ser usado para obtener efectos predeterminados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El costo de los inventarios, distintos de los tratados en el párrafo 23, se asignará utilizando los métodos de primera entrada primera salida (the first-in, first-out, FIFO, por sus siglas en inglés) o costo promedio ponderado. Una entidad utilizará la misma fórmula de costo para todos los inventarios que tengan una naturaleza y uso similares. Para los inventarios con una naturaleza o uso diferente, puede estar justificada la utilización de fórmulas de costo también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Por ejemplo, dentro de la misma entidad, los inventarios utilizados en un segmento de operación pueden tener un uso diferente del que se da al mismo tipo de inventarios, en otro segmento de operación. Sin perjuicio de lo anterior, la diferencia en la ubicación geográfica de los inventarios (o en las reglas fiscales correspondientes) no es, por sí misma, motivo suficiente para justificar el uso de fórmulas de costo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27 La fórmula FIFO, asume que los productos en inventarios comprados o producidos antes, serán vendidos en primer lugar y, consecuentemente, que los productos que queden en la existencia final serán los producidos o comprados más recientemente. Si se utiliza el método o fórmula del costo promedio ponderado, el costo de cada unidad de producto se determinará a partir del promedio ponderado del costo de los artículos similares, poseídos al principio del periodo, y del costo de los mismos artículos comprados o producidos durante el periodo. El promedio puede calcularse periódicamente o después de recibir cada envío adicional, dependiendo de las circunstancias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neto realizable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El costo de los inventarios puede no ser recuperable en caso de que los mismos estén dañados, si han devenido parcial o totalmente obsoletos, o bien si sus precios de mercado han caído. Asimismo, el costo de los inventarios puede no ser recuperable si los costos estimados para su terminación o su venta han aumentado. La práctica de rebajar el saldo, hasta que el costo sea igual al valor neto realizable, es coherente con el punto de vista según el cual los activos no deben registrarse en libros por encima de los importes que se espera obtener a través de su venta o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Generalmente, la rebaja hasta alcanzar el valor neto realizable, se calcula para cada partida de los inventarios. En algunas circunstancias, sin embargo, puede resultar apropiado agrupar partidas similares o relacionadas. Este puede ser el caso de las partidas de inventarios relacionados con la misma línea de productos, que tienen propósitos o usos finales similares, se producen y venden en la misma área geográfica y no pueden ser, por razones prácticas, evaluados separadamente de otras partidas de la misma línea. No es apropiado realizar las rebajas a partir de partidas que reflejen clasificaciones completas de los inventarios, por ejemplo sobre la totalidad de los productos terminados, o sobre todos los inventarios en un segmento de operación determinado. Los prestadores de servicios acumulan, generalmente, sus costos en relación con cada servicio para el que se espera cargar un precio separado al cliente. Por tanto, cada servicio así identificado se tratará como una partida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Las estimaciones del valor neto realizable se basarán en la información más fiable de que se disponga, en el momento de hacerlas, acerca del importe por el que se espera realizar los inventarios. Estas estimaciones tendrán en consideración las fluctuaciones de precios o costos relacionados directamente con los hechos posteriores al cierre, en la medida que esos hechos confirmen condiciones existentes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Al hacer las estimaciones del valor neto realizable, se tendrá en consideración el propósito para el que se mantienen los inventarios. Por ejemplo, el valor neto realizable del importe de inventarios que se tienen para cumplir con los contratos de venta, o de prestación de servicios, se basa en el precio que figura en el contrato. Si los contratos de ventas son por una cantidad inferior a la reflejada en inventarios, el valor neto realizable del exceso se determina sobre la base de los precios generales de venta. Pueden aparecer provisiones o pasivos contingentes por contratos de venta firmes que excedan las cantidades de productos en existencia, o bien de productos que vayan a obtenerse por contratos de compra firmes. Estas provisiones o pasivos contingentes se tratarán </w:t>
      </w:r>
      <w:r w:rsidRPr="00401DFF">
        <w:rPr>
          <w:rFonts w:ascii="Times New Roman" w:eastAsia="Times New Roman" w:hAnsi="Times New Roman" w:cs="Times New Roman"/>
          <w:sz w:val="24"/>
          <w:szCs w:val="24"/>
          <w:lang w:eastAsia="es-CO"/>
        </w:rPr>
        <w:lastRenderedPageBreak/>
        <w:t xml:space="preserve">contablemente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No se rebajarán las materias primas y otros suministros, mantenidos para su uso en la producción de inventarios, para situar su importe en libros por debajo del costo, siempre que se espere que los productos terminados a los que se incorporen sean vendidos al costo o por encima del mismo. Sin embargo, cuando una reducción, en el precio de las materias primas, indique que el costo de los productos terminados excederá a su valor neto realizable, se rebajará su importe en libros hasta cubrir esa diferencia. En estas circunstancias, el costo de reposición de las materias primas puede ser la mejor medida disponible de su valor neto realizable.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Se realizará una nueva evaluación del valor neto realizable en cada periodo posterior. Cuando las circunstancias, que previamente causaron la rebaja, hayan dejado de existir, o cuando exista una clara evidencia de un incremento en el valor neto realizable como consecuencia de un cambio en las circunstancias económicas, se revertirá el importe de la misma, de manera que el nuevo valor contable sea el menor entre el costo y el valor neto realizable revisado. Esto ocurrirá, por ejemplo, cuando un artículo en existencia, que se lleva al valor neto realizable porque ha bajado su precio de venta, está todavía en inventario de un periodo posterior y su precio de venta se ha incrementado.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Cuando los inventarios sean vendidos, el importe en libros de los mismos se reconocerá como gasto del periodo en el que se reconozcan los correspondientes ingresos de operación. El importe de cualquier rebaja de valor, hasta alcanzar el valor neto realizable, así como todas las demás pérdidas en los inventarios, será reconocido en el periodo en que ocurra la rebaja o la pérdida. El importe de cualquier reversión de la rebaja de valor que resulte de un incremento en el valor neto realizable, se reconocerá como una reducción en el valor de los inventarios, que hayan sido reconocidos como gasto, en el periodo en que la recuperación del valor tenga lugar.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El costo de ciertos inventarios puede ser incorporado a otras cuentas de activo, por ejemplo los inventarios que se emplean como componentes de los trabajos realizados, por la entidad, para los elementos de propiedades, planta y equipo de propia construcción. Los inventarios asignados a otros activos de esta manera, se reconocerá como gasto a lo largo de la vida útil de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En los estados financieros se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políticas contables adoptadas para la medición de los inventarios, incluyendo la fórmula de medición de los costos que se haya utilizado;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el importe total en libros de los inventarios, y los importes parciales según la clasificación que resulte apropiada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en libros de los inventarios que se llevan al valor razonable menos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de los inventarios reconocido como gasto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importe de las rebajas de valor de los inventarios que se ha reconocido como gasto en el periodo, de acuerdo con el párrafo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el importe de las reversiones en las rebajas de valor anteriores, que se ha reconocido como una reducción en la cuantía del gasto por inventarios en el periodo, de acuerdo con el párrafo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las circunstancias o eventos que hayan producido la reversión de las rebajas de valor, de acuerdo con el referido párrafo 34;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el importe en libros de los inventarios pignorados en garantía del cumplimiento de deudas.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información acerca del importe en libros de las diferentes clases de inventarios, así como la variación de dichos importes en el periodo, resultará de utilidad a los usuarios de los estados financieros. Una clasificación común de los inventarios es la que distingue entre mercaderías, suministros para la producción, materias primas, productos en curso y productos terminados. Los inventarios de un prestador de servicios pueden ser descritos como trabajos en curso.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El importe de los inventarios reconocido como gasto durante el periodo, denominado generalmente costo de las ventas, comprende los costos previamente incluidos en la medición de los productos que se han vendido, así como los costos indirectos no distribuidos y los costos de producción de los inventarios por importes anómalos. Las circunstancias particulares de cada entidad podrían exigir la inclusión de otros costos, tales como los costos de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Algunas entidades adoptan un formato para la presentación del resultado del periodo donde presentan importes diferentes a la cifra de costo de los inventarios que ha sido reconocida como gasto durante el periodo. Según este formato, una entidad presentará un análisis de los gastos mediante una clasificación basada en la naturaleza de estos gastos. En este caso, la entidad revelará los costos reconocidos como gastos de materias primas y consumibles, costos de mano de obra y otros costos, junto con el importe del cambio neto en los inventarios para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40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40B La NIIF 9 emitida en octubre de 2010, modificó el párrafo 2(b) y eliminó el párrafo 40A.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40C La NIIF 13, emitida en mayo de 2011 modificó la definición de valor razonable del párrafo 6 y modificó el párrafo 7.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 Esta Norma deroga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(revisada en 1993).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 Esta Norma deroga la SIC-1 </w:t>
      </w:r>
      <w:r w:rsidRPr="00401DFF">
        <w:rPr>
          <w:rFonts w:ascii="Times New Roman" w:eastAsia="Times New Roman" w:hAnsi="Times New Roman" w:cs="Times New Roman"/>
          <w:i/>
          <w:iCs/>
          <w:sz w:val="24"/>
          <w:szCs w:val="24"/>
          <w:lang w:eastAsia="es-CO"/>
        </w:rPr>
        <w:t>Uniformidad</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Diferentes Fórmulas para el Cálculo del Costo de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 de Flujos de Efectivo</w:t>
      </w:r>
      <w:hyperlink r:id="rId15" w:anchor="bf11f1cc45424ab4741b734355cb2dfc88cnf9" w:tgtFrame="_self" w:history="1">
        <w:r w:rsidRPr="00401DFF">
          <w:rPr>
            <w:rFonts w:ascii="Times New Roman" w:eastAsia="Times New Roman" w:hAnsi="Times New Roman" w:cs="Times New Roman"/>
            <w:color w:val="0000FF"/>
            <w:sz w:val="20"/>
            <w:szCs w:val="20"/>
            <w:u w:val="single"/>
            <w:vertAlign w:val="superscript"/>
            <w:lang w:eastAsia="es-CO"/>
          </w:rPr>
          <w:t>(1)</w:t>
        </w:r>
      </w:hyperlink>
      <w:r w:rsidRPr="00401DFF">
        <w:rPr>
          <w:rFonts w:ascii="Times New Roman" w:eastAsia="Times New Roman" w:hAnsi="Times New Roman" w:cs="Times New Roman"/>
          <w:sz w:val="20"/>
          <w:szCs w:val="20"/>
          <w:vertAlign w:val="superscript"/>
          <w:lang w:eastAsia="es-CO"/>
        </w:rPr>
        <w:t>(sic)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información acerca de los flujos de efectivo es útil porque suministra a los usuarios de los estados financieros las bases para evaluar la capacidad que tiene la entidad para generar efectivo y equivalentes al efectivo, así como las necesidades que ésta tiene de utilizar dichos flujos de efectivo. Para tomar decisiones económicas, los usuarios deben evaluar la capacidad que la entidad tiene de generar efectivo y equivalentes al efectivo, así como las fechas en que se producen y el grado de certidumbre relativa de su aparición.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esta Norma es requerir el suministro de información sobre los cambios históricos en el efectivo y equivalentes al efectivo de una entidad mediante un estado de flujos de efectivo en el que los flujos de fondos del periodo se clasifiquen según que procedan de actividades de operación, de inversión y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Una entidad prepara un estado de flujos de efectivo, de acuerdo con los requerimientos de esta Norma, y lo presentará como parte integrante de sus estados financieros, para cada periodo en que sea obligatoria la presentación de éstos.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2 Esta Norma sustituye a la antigua NIC 7 </w:t>
      </w:r>
      <w:r w:rsidRPr="00401DFF">
        <w:rPr>
          <w:rFonts w:ascii="Times New Roman" w:eastAsia="Times New Roman" w:hAnsi="Times New Roman" w:cs="Times New Roman"/>
          <w:i/>
          <w:iCs/>
          <w:sz w:val="24"/>
          <w:szCs w:val="24"/>
          <w:lang w:eastAsia="es-CO"/>
        </w:rPr>
        <w:t>Estado de Cambios en la Posición Financiera,</w:t>
      </w:r>
      <w:r w:rsidRPr="00401DFF">
        <w:rPr>
          <w:rFonts w:ascii="Times New Roman" w:eastAsia="Times New Roman" w:hAnsi="Times New Roman" w:cs="Times New Roman"/>
          <w:sz w:val="24"/>
          <w:szCs w:val="24"/>
          <w:lang w:eastAsia="es-CO"/>
        </w:rPr>
        <w:t xml:space="preserve"> aprobada en julio de 1977.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Los usuarios de los estados financieros están interesados en saber cómo la entidad genera y utiliza el efectivo y los equivalentes al efectivo. Esta necesidad es independiente de la naturaleza de las actividades de la entidad, incluso cuando el efectivo pueda ser considerado como el producto de la entidad en cuestión, como puede ser el caso de las entidades financieras. Básicamente, las entidades necesitan efectivo por las mismas razones, por muy diferentes que sean las actividades que constituyen su principal fuente de ingresos. En efecto, todas ellas necesitan efectivo para llevar a cabo sus operaciones, pagar sus obligaciones y suministrar rendimientos a sus inversores. Por consiguiente, esta Norma requiere que todas las entidades presenten un estado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de la información sobre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Un estado de flujos de efectivo, cuando se usa juntamente con el resto de los estados financieros, suministra información que permite a los usuarios evaluar los cambios en los activos netos de una entidad, su estructura financiera (incluyendo su liquidez y solvencia) y su capacidad para afectar a los importes y las fechas de los flujos de efectivo, a fin de adaptarse a la evolución de las circunstancias y a las oportunidades. La información acerca del flujo de efectivo es útil para evaluar la capacidad que la entidad tiene para generar efectivo y equivalentes al efectivo, permitiéndoles desarrollar modelos para evaluar y comparar el valor presente de los flujos netos de efectivo de diferentes entidades. También mejora la comparabilidad de la información sobre el rendimiento de las operaciones de diferentes entidades, puesto que elimina los efectos de utilizar distintos tratamientos contables para las mismas transacciones y sucesos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Con frecuencia, la información histórica sobre flujos de efectivo se usa como indicador del importe, momento de la aparición y certidumbre de flujos de efectivo futuros. Es también útil para comprobar la exactitud de evaluaciones pasadas respecto de los flujos futuros, así como para examinar la relación entre rendimiento, flujos de efectivo netos y el impacto de los cambios en los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efectivo</w:t>
      </w:r>
      <w:r w:rsidRPr="00401DFF">
        <w:rPr>
          <w:rFonts w:ascii="Times New Roman" w:eastAsia="Times New Roman" w:hAnsi="Times New Roman" w:cs="Times New Roman"/>
          <w:b/>
          <w:bCs/>
          <w:sz w:val="24"/>
          <w:szCs w:val="24"/>
          <w:lang w:eastAsia="es-CO"/>
        </w:rPr>
        <w:t xml:space="preserve"> comprende tanto el efectivo como los depósitos bancarios a la vista.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equivalentes al efectivo</w:t>
      </w:r>
      <w:r w:rsidRPr="00401DFF">
        <w:rPr>
          <w:rFonts w:ascii="Times New Roman" w:eastAsia="Times New Roman" w:hAnsi="Times New Roman" w:cs="Times New Roman"/>
          <w:b/>
          <w:bCs/>
          <w:sz w:val="24"/>
          <w:szCs w:val="24"/>
          <w:lang w:eastAsia="es-CO"/>
        </w:rPr>
        <w:t xml:space="preserve"> son inversiones a corto plazo de gran liquidez, que son fácilmente convertibles en importes determinados de efectivo, estando sujetos a un riesgo poco significativo de cambios en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Flujos de efectivo</w:t>
      </w:r>
      <w:r w:rsidRPr="00401DFF">
        <w:rPr>
          <w:rFonts w:ascii="Times New Roman" w:eastAsia="Times New Roman" w:hAnsi="Times New Roman" w:cs="Times New Roman"/>
          <w:b/>
          <w:bCs/>
          <w:sz w:val="24"/>
          <w:szCs w:val="24"/>
          <w:lang w:eastAsia="es-CO"/>
        </w:rPr>
        <w:t xml:space="preserve"> son las entradas y salidas de 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Actividades de operación</w:t>
      </w:r>
      <w:r w:rsidRPr="00401DFF">
        <w:rPr>
          <w:rFonts w:ascii="Times New Roman" w:eastAsia="Times New Roman" w:hAnsi="Times New Roman" w:cs="Times New Roman"/>
          <w:b/>
          <w:bCs/>
          <w:sz w:val="24"/>
          <w:szCs w:val="24"/>
          <w:lang w:eastAsia="es-CO"/>
        </w:rPr>
        <w:t xml:space="preserve"> son las actividades que constituyen la principal fuente de ingresos actividades ordinarias de la entidad, así como otras actividades que no puedan ser calificadas como de inversión o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Actividades de inversión</w:t>
      </w:r>
      <w:r w:rsidRPr="00401DFF">
        <w:rPr>
          <w:rFonts w:ascii="Times New Roman" w:eastAsia="Times New Roman" w:hAnsi="Times New Roman" w:cs="Times New Roman"/>
          <w:b/>
          <w:bCs/>
          <w:sz w:val="24"/>
          <w:szCs w:val="24"/>
          <w:lang w:eastAsia="es-CO"/>
        </w:rPr>
        <w:t xml:space="preserve"> son las de adquisición y disposición de activos a largo plazo, así como de otras inversiones no incluidas en el efectivo y los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Actividades de financiación</w:t>
      </w:r>
      <w:r w:rsidRPr="00401DFF">
        <w:rPr>
          <w:rFonts w:ascii="Times New Roman" w:eastAsia="Times New Roman" w:hAnsi="Times New Roman" w:cs="Times New Roman"/>
          <w:b/>
          <w:bCs/>
          <w:sz w:val="24"/>
          <w:szCs w:val="24"/>
          <w:lang w:eastAsia="es-CO"/>
        </w:rPr>
        <w:t xml:space="preserve"> son las actividades que producen cambios en el tamaño y composición de los capitales propios y de los préstamos tomados por parte de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Los equivalentes al efectivo se tienen, más que para propósitos de inversión o similares, para cumplir los compromisos de pago a corto plazo. Para que una inversión financiera pueda ser calificada como equivalente al efectivo, debe poder ser fácilmente convertible en una cantidad determinada de efectivo y estar sujeta a un riesgo insignificante de cambios en su valor. Por tanto, una inversión así será equivalente al efectivo cuando tenga vencimiento próximo, por ejemplo tres meses o menos desde la fecha de adquisición. Las participaciones en el capital de otras entidades quedarán excluidas de los equivalentes al efectivo a menos que sean, sustancialmente, equivalentes al efectivo, como por ejemplo las acciones preferentes adquiridas con proximidad a su vencimiento, siempre que tengan una fecha determinada de reembolso.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Los préstamos bancarios se consideran, en general, como actividades de financiación. En algunos países, sin embargo, los sobregiros exigibles en cualquier momento por el banco forman parte integrante de la gestión del efectivo de la entidad. En tales circunstancias, tales sobregiros se incluyen como componentes del efectivo y equivalentes al efectivo. Una característica de los acuerdos bancarios que regulan los sobregiros, u operaciones similares, es que el saldo con el banco fluctúa constantemente de deudor a acreedor.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Los flujos de efectivo no incluirán ningún movimiento entre las partidas que constituyen el efectivo y equivalentes al efectivo, puesto que estos componentes son parte de la gestión de efectivo de la entidad más que de sus actividades de operación, de inversión o financiación. La gestión del efectivo comprende también la inversión de los sobrantes de 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de un estado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El estado de flujos de efectivo informará acerca de los flujos de efectivo habidos durante el periodo, clasificándolos por actividades de operación, de inversión y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Cada entidad presenta sus flujos de efectivo procedentes de las actividades de operación, de inversión y de financiación, de la manera que resulte más apropiada según la naturaleza de sus actividades. La clasificación de los flujos según las actividades citadas suministra información que permite a los usuarios evaluar el impacto de las mismas en la posición </w:t>
      </w:r>
      <w:r w:rsidRPr="00401DFF">
        <w:rPr>
          <w:rFonts w:ascii="Times New Roman" w:eastAsia="Times New Roman" w:hAnsi="Times New Roman" w:cs="Times New Roman"/>
          <w:sz w:val="24"/>
          <w:szCs w:val="24"/>
          <w:lang w:eastAsia="es-CO"/>
        </w:rPr>
        <w:lastRenderedPageBreak/>
        <w:t>financiera de la entidad, así como sobre el importe final de su efectivo y demás equivalentes al efectivo. Esta información puede ser útil también al evaluar las relaciones entre tales actividades.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Una transacción puede contener flujos de efectivo pertenecientes a las diferentes categorías. Por ejemplo, cuando los reembolsos correspondientes a un préstamo incluyen capital e interés, la parte de intereses puede clasificarse como actividades de operación, mientras que la parte de devolución del principal se clasifica como actividad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 importe de los flujos de efectivo procedentes de actividades de operación es un indicador clave de la medida en la cual estas actividades han generado fondos líquidos suficientes para reembolsar los préstamos, mantener la capacidad de operación de la entidad, pagar dividendos y realizar nuevas inversiones sin recurrir a fuentes externas de financiación. La información acerca de los componentes específicos de los flujos de efectivo de las actividades de operación es útil, junto con otra información, para pronosticar los flujos de efectivo futuros de tales actividades.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Los flujos de efectivo procedentes de las actividades de operación se derivan fundamentalmente de las transacciones que constituyen la principal fuente de ingresos de actividades ordinarias de la entidad. Por tanto, proceden de las operaciones y otros sucesos que entran en la determinación de las ganancias o pérdidas netas. Ejemplos de flujos de efectivo por actividades de operación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cobros procedentes de las ventas de bienes y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cobros procedentes de regalías, cuotas, comisiones y otros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pagos a proveedores por el suministro de bienes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pagos a y por cuenta de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cobros y pagos de las entidades de seguros por primas y prestaciones, anualidades y otras obligaciones derivadas de las pólizas suscritas;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pagos o devoluciones de impuestos sobre las ganancias, a menos que éstos puedan clasificarse específicamente dentro de las actividades de inversión o financiación;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cobros y pagos derivados de contratos que se tienen para intermediación o para negociar con ellos. Algunas transacciones, tales como la venta de un elemento de propiedades, planta y equipo, pueden dar lugar a una pérdida o ganancia que se incluirá en el resultado reconocido. Los flujos de efectivo relacionados con estas transacciones son flujos de efectivo procedentes de actividades de inversión. Sin embargo, los pagos para elaborar o </w:t>
      </w:r>
      <w:r w:rsidRPr="00401DFF">
        <w:rPr>
          <w:rFonts w:ascii="Times New Roman" w:eastAsia="Times New Roman" w:hAnsi="Times New Roman" w:cs="Times New Roman"/>
          <w:sz w:val="24"/>
          <w:szCs w:val="24"/>
          <w:lang w:eastAsia="es-CO"/>
        </w:rPr>
        <w:lastRenderedPageBreak/>
        <w:t xml:space="preserve">adquirir activos mantenidos para arrendar a terceros, que posteriormente se clasifiquen como mantenidos para la venta en los términos descritos en el párrafo 68A de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son flujos de efectivo procedentes de actividades de operación. Los cobros por el arrendamiento y posterior venta de esos activos también se considerarán como flujos de efectivo procedentes de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Una entidad puede tener títulos o conceder préstamos por razones de intermediación u otro tipo de acuerdos comerciales habituales, en cuyo caso estas inversiones se considerarán similares a los inventarios adquiridos específicamente para revender. Por tanto, los flujos de efectivo de tales operaciones se clasifican como procedentes de actividades de operación. De forma similar, los anticipos de efectivo y préstamos realizados por instituciones financieras se clasificarán habitualmente entre las actividades de operación, puesto que están relacionados con las actividades que constituyen la principal fuente de ingresos de actividades ordinarias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Actividades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 información a revelar por separado de los flujos de efectivo procedentes de las actividades de inversión es importante, porque tales flujos de efectivo representan la medida en la cual se han hecho desembolsos para recursos que se prevé van a producir ingresos y flujos de efectivo en el futuro. Solo los desembolsos que den lugar al reconocimiento de un activo en el estado de situación financiera cumplen las condiciones para su clasificación como actividades de inversión. Ejemplos de flujos de efectivo por actividades de inversión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pagos por la adquisición de propiedades, planta y equipo, activos intangibles y otros activos a largo plazo. Estos pagos incluyen aquellos relacionados con los costos de desarrollo capitalizados y las propiedades, planta y equipo construidos por la entidad para sí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cobros por ventas de propiedades, planta y equipo, activos intangibles y otros activos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pagos por la adquisición de instrumentos de pasivo o de patrimonio, emitidos por otras entidades, así como participaciones en negocios conjuntos (distintos de los pagos por esos mismos títulos e instrumentos que sean considerados efectivo y equivalentes al efectivo, y de los que se tengan para intermediación u otros acuerdos comerciales habituales);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cobros por venta y reembolso de instrumentos de pasivo o de capital emitidos por otras entidades, así como participaciones en negocios conjuntos (distintos de los cobros por esos mismos títulos e instrumentos que sean considerados efectivo y otros equivalentes al efectivo, y de los que se posean para intermediación u otros acuerdos comerciales habituales);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anticipos de efectivo y préstamos a terceros (distintos de las operaciones de ese tipo hechas por entidades financieras);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(f) cobros derivados del reembolso de anticipos y préstamos a terceros (distintos de las operaciones de este tipo hechas por entidades financieras);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pagos derivados de contratos a término, de futuro, de opciones y de permuta financiera, excepto cuando dichos contratos se mantengan por motivos de intermediación u otros acuerdos comerciales habituales, o bien cuando los anteriores pagos se clasifican como actividades de financiación;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(h) cobros procedentes de contratos a término, a futuro, de opciones y de permuta financiera, excepto cuando dichos contratos se mantienen por motivos de intermediación u otros acuerdos comerciales habituales, o bien cuando los anteriores cobros se clasifican como actividades de financiación.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Cuando un contrato se trata contablemente como cobertura de una posición comercial o financiera determinada, los flujos de efectivo del mismo se clasifican de la misma forma que los procedentes de la posición que se está cubriendo.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Actividades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Es importante la presentación separada de los flujos de efectivo procedentes de actividades de financiación, puesto que resulta útil al realizar la predicción de necesidades de efectivo para cubrir compromisos con los suministradores de capital a la entidad. Ejemplos de flujos de efectivo por actividades de financiación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cobros procedentes de la emisión de acciones u otros instrumentos de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pagos a los propietarios por adquirir o rescatar las acciones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cobros procedentes de la emisión de obligaciones sin garantía, préstamos, bonos, cédulas hipotecarias y otros fondos tomados en préstamo, ya sea a largo o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reembolsos de los fondos tomados en préstamo;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pagos realizados por el arrendatario para reducir la deuda pendiente procedente de un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flujos de efectivo de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18 La entidad debe informar acerca de los flujos de efectivo de las operaciones usando uno de los dos siguientes métodos: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método directo, según el cual se presentan por separado las principales categorías de cobros y pagos en términos brutos;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método indirecto, según el cual se comienza presentando la ganancia o pérdida en términos netos, cifra que se corrige luego por los efectos de las transacciones no </w:t>
      </w:r>
      <w:r w:rsidRPr="00401DFF">
        <w:rPr>
          <w:rFonts w:ascii="Times New Roman" w:eastAsia="Times New Roman" w:hAnsi="Times New Roman" w:cs="Times New Roman"/>
          <w:b/>
          <w:bCs/>
          <w:sz w:val="24"/>
          <w:szCs w:val="24"/>
          <w:lang w:eastAsia="es-CO"/>
        </w:rPr>
        <w:lastRenderedPageBreak/>
        <w:t>monetarias, por todo tipo de partidas de pago diferido y acumulaciones (o devengos) que son la causa de cobros y pagos en el pasado o en el futuro, así como de las partidas de pérdidas o ganancias asociadas con flujos de efectivo de operaciones clasificadas como de inversión o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Se aconseja a las entidades que presenten los flujos de efectivo utilizando el método directo. Este método suministra información que puede ser útil en la estimación de los flujos de efectivo futuros, la cual no está disponible utilizando el método indirecto. En este método directo, la información acerca de las principales categorías de cobros o pagos en términos brutos puede ser obtenida por uno de los siguientes procedimientos: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utilizando los registros contables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ajustando las ventas y el costo de las ventas (para el caso de las entidades financieras, los intereses recibidos e ingresos asimilables y los gastos por intereses y otros gastos asimilables), así como otras partidas en el estado del resultado integral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cambios habidos durante el periodo en los inventarios y en las partidas por cobrar y por pagar derivadas de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otras partidas sin reflejo en el efectivo;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otras partidas cuyos efectos monetarios se consideran flujos de efectivo de inversión o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En el método indirecto, el flujo neto por actividades de operación se determina corrigiendo la ganancia o la pérdida, en términos netos, por los efectos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cambios habidos durante el periodo en los inventarios y en las partidas por cobrar y por pagar derivadas de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partidas sin reflejo en el efectivo, tales como depreciación, provisiones, impuestos diferidos, pérdidas y ganancias de cambio no realizadas y participación en ganancias no distribuidas de asociadas;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cualquier otra partida cuyos efectos monetarios se consideren flujos de efectivo de inversión o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Alternativamente, el flujo de efectivo neto de las actividades de operación puede presentarse, utilizando el método indirecto, mostrando las partidas de ingresos de actividades ordinarias y gastos reveladas en el estado del resultado integral, junto con los cambios habidos durante el periodo en los inventarios y en las cuentas por cobrar y por pagar derivadas de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flujos de efectivo de las actividades de inversión y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21 La entidad debe informar por separado sobre las principales categorías de cobros y pagos brutos procedentes de actividades de inversión y financiación, excepto por lo que se refiere a los flujos de efectivo descritos en los párrafos 22 y 24, que pueden ser incluidos en términos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flujos de efectivo en términos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Los flujos de efectivo que proceden de los siguientes tipos de actividades de operación, de inversión y de financiación, pueden presentarse en términos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cobros y pagos por cuenta de clientes, siempre y cuando los flujos de efectivo reflejen la actividad del cliente más que la correspondiente a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cobros y pagos procedentes de partidas en las que la rotación es elevada, los importes grandes y el vencimiento próximo.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Ejemplos de cobros y pagos a los que se ha hecho referencia en el párrafo 22(a)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aceptación y reembolso de depósitos a la vista por parte de un banco;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fondos de clientes que posee una entidad dedicada a la inversión financiera;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alquileres cobrados por cuenta y pagados a los poseedores de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23A Ejemplos de cobros y pagos a los que se ha hecho referencia en el párrafo 22(b) son los anticipos y reembolsos hechos por causa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saldos relativos a tarjetas de crédito de clientes (parte correspondiente al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compra y venta de inversiones financieras;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otros préstamos tomados a corto plazo, por ejemplo los convenidos con periodos de vencimiento de tres meses o menos.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Los siguientes flujos de efectivo, procedentes de las actividades de una entidad financiera, pueden presentarse en términos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pagos y cobros por la aceptación y reembolso de depósitos con una fecha fija de vencimiento;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colocación y recuperación de depósitos en otras instituciones financieras;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anticipos y préstamos hechos a clientes, así como el reembolso de tales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Flujos de efectivo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Los flujos de efectivo procedentes de transacciones en moneda extranjera se convertirán a la moneda funcional de la entidad aplicando al importe en moneda extranjera la tasa de cambio entre ambas monedas en la fecha en que se produjo cada flujo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Los flujos de efectivo de una subsidiaria extranjera se convertirán utilizando la tasa de cambio entre la moneda funcional y la moneda extranjera, en la fecha en que se produjo cada flujo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27 Los flujos de efectivo en moneda extranjera se presentarán de acuerdo con la NIC 21 </w:t>
      </w:r>
      <w:r w:rsidRPr="00401DFF">
        <w:rPr>
          <w:rFonts w:ascii="Times New Roman" w:eastAsia="Times New Roman" w:hAnsi="Times New Roman" w:cs="Times New Roman"/>
          <w:i/>
          <w:iCs/>
          <w:sz w:val="24"/>
          <w:szCs w:val="24"/>
          <w:lang w:eastAsia="es-CO"/>
        </w:rPr>
        <w:t>Efectos de las Variaciones en las Tasas de Cambio de la Moneda Extranjera</w:t>
      </w:r>
      <w:r w:rsidRPr="00401DFF">
        <w:rPr>
          <w:rFonts w:ascii="Times New Roman" w:eastAsia="Times New Roman" w:hAnsi="Times New Roman" w:cs="Times New Roman"/>
          <w:sz w:val="24"/>
          <w:szCs w:val="24"/>
          <w:lang w:eastAsia="es-CO"/>
        </w:rPr>
        <w:t>. En ella se permite utilizar una tasa de cambio que se aproxime al cambio efectivo de los conjuntos de transacciones. Por ejemplo, esto supone que puede utilizarse un promedio ponderado de las tasas de cambio de un periodo para contabilizar las transacciones en moneda extranjera o la conversión de los flujos de efectivo de una entidad subsidiaria. Sin embargo, la NIC 21 no permite utilizar la tasa de cambio al final del periodo sobre el que se informa cuando se convierte los flujos de efectivo de una subsidiaria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Las pérdidas o ganancias no realizadas, por diferencias de cambio en moneda extranjera, no producen flujos de efectivo. Sin embargo, el efecto que la variación en las tasas de cambio tiene sobre el efectivo y los equivalentes al efectivo, mantenidos o debidos en moneda extranjera, será objeto de presentación en el estado de flujos de efectivo para permitir la conciliación entre las existencias de efectivo y equivalentes al efectivo al principio y al final del periodo. Este importe se presentará por separado de los flujos procedentes de las actividades de operación, de inversión y de financiación, y en el mismo se incluirán las diferencias que, en su caso, hubieran resultado de haber presentado esos flujos al cambio de cierre.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29</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Intereses y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Los flujos de efectivo correspondientes tanto a los intereses recibidos y pagados, como a los dividendos percibidos y satisfechos, deben ser revelados por separado. Cada una de las anteriores partidas debe ser clasificada de forma coherente, periodo a periodo, como perteneciente a actividades de operación, de inversión 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El importe total de intereses pagados durante un periodo se revelará, en el estado de flujos de efectivo, tanto si ha sido reconocido como gasto en el resultado del periodo como si ha sido capitalizado, de acuerdo con la NIC 23 </w:t>
      </w:r>
      <w:r w:rsidRPr="00401DFF">
        <w:rPr>
          <w:rFonts w:ascii="Times New Roman" w:eastAsia="Times New Roman" w:hAnsi="Times New Roman" w:cs="Times New Roman"/>
          <w:i/>
          <w:iCs/>
          <w:sz w:val="24"/>
          <w:szCs w:val="24"/>
          <w:lang w:eastAsia="es-CO"/>
        </w:rPr>
        <w:t>Costos por Préstamos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33 Los intereses pagados, así como los intereses y dividendos percibidos se clasificarán usualmente, en las entidades financieras, como flujos de efectivo por actividades de operación. Sin embargo, no existe consenso para la clasificación de este tipo de flujos en el resto de las entidades. Los intereses pagados, así como los intereses y dividendos percibidos, pueden ser clasificados como procedentes de actividades de operación, porque entran en la determinación de la ganancia o pérdida. De forma alternativa, los intereses pagados pueden clasificarse entre las actividades de financiación, así como los intereses y dividendos percibidos pueden pertenecer a las actividades de inversión, puesto que los primeros son los costos de obtener recursos financieros y los segundos representan el rendimiento de las inversiones financieras.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Los dividendos pagados pueden clasificarse como flujos de efectivo de actividades financieras, puesto que representan el costo de obtener recursos financieros. Alternativamente, pueden ser clasificados como componentes de los flujos procedentes de las actividades de operación, a fin de ayudar a los usuarios a determinar la capacidad de la entidad para atender los dividendos con flujos de efectivo procedentes de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Los flujos de efectivo procedentes de pagos relacionados con el impuesto a las ganancias deben revelarse por separado, y deben ser clasificados como flujos de efectivo procedentes de actividades de operación, a menos que puedan ser específicamente asociados con actividades de inversión 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Los impuestos sobre las ganancias que surgen de transacciones que dan lugar a flujos de efectivo que se clasifican como actividades de operación, de inversión o de financiación en el estado de flujos de efectivo. Aún cuando el gasto acumulado (o devengado) por impuestos sobre las ganancias pueda ser fácilmente asociable con determinadas actividades de inversión o financiación, los flujos de efectivo asociados al mismo son, a menudo, imposibles de identificar y pueden surgir en un periodo diferente del que corresponda a la transacción subyacente. Por eso, los impuestos pagados se clasifican normalmente como flujos de efectivo de actividades de operación. No obstante, cuando sea posible identificar el flujo impositivo con operaciones individuales, que den lugar a cobros y pagos clasificados como actividades de inversión o financiación, se clasificará igual que la transacción a la que se refiere. En caso de distribuir el pago por impuestos entre más de un tipo de actividad, se informará también del importe total de impuestos pagados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Inversiones en subsidiarias,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Cuando se contabilice una inversión en una asociada, un negocio conjunto o subsidiaria usando el método del costo o el de la participación, un inversor limitará su información, en el estado de flujos de efectivo, a los flujos de efectivo habidos entre él mismo y la entidad participada, por ejemplo, los dividendos y anticipos.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38 Una entidad que informe sobre su participación en una asociada o negocio conjunto utilizando el método de la participación, incluirá en su estado de flujos de efectivo los flujos de efectivo habidos por inversiones en la mencionada asociada o negocio conjunto, así como las distribuciones y otros pagos y cobros entre ambas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participaciones de propiedad en subsidiarias y otros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Los flujos de efectivo agregados procedentes de la obtención o pérdida del control de subsidiarias u otros negocios deberán presentarse por separado, y clasificarse como actividades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Una entidad revelará, de forma agregada, respecto de cada obtención y pérdida del control de subsidiarias y otros negocios habidos durante el periodo, todos y cada uno de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contraprestación total pagada o recibida;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porción de la contraprestación en efectivo y equivalentes al efectivo equivalentes</w:t>
      </w:r>
      <w:r w:rsidRPr="00401DFF">
        <w:rPr>
          <w:rFonts w:ascii="Times New Roman" w:eastAsia="Times New Roman" w:hAnsi="Times New Roman" w:cs="Times New Roman"/>
          <w:sz w:val="24"/>
          <w:szCs w:val="24"/>
          <w:lang w:eastAsia="es-CO"/>
        </w:rPr>
        <w:t>(sic)</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efectivo y equivalentes al efectivo en las subsidiarias u otros negocios sobre los que se obtiene o pierde el control;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de los activos y pasivos, distintos de efectivo y equivalentes al efectivo en subsidiarias u otros negocios sobre los que se obtiene o pierde el control, agrupados por cada categoría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 presentación por separado en una sola partida de las consecuencias sobre el efectivo de la obtención o pérdida del control de subsidiarias u otros negocios, junto con la información a revelar por separado sobre los importes de activos y pasivos adquiridos o dispuestos, ayudará a distinguir estos flujos de efectivo de aquéllos que surgen de otras actividades de operación, de inversión o de financiación. Las consecuencias sobre el flujo de efectivo de la pérdida del control no se deducirán de las resultantes de la obtención del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El importe agregado del efectivo pagado o recibido como contraprestación por la obtención o pérdida del control de subsidiarias u otros negocios se incluirá en el estado de flujos de efectivo neto del efectivo y equivalentes al efectivo adquiridos o dispuestos como parte de estas transacciones, sucesos o cambios en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42A Los flujos de efectivo que surgen de cambios en las participaciones en la propiedad de una subsidiaria que no dan lugar a una pérdida del control deberán clasificarse como flujos de efectivos de actividades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42B Los cambios en las participaciones en la propiedad de una subsidiaria que no den lugar a una pérdida del control, tales como la compra posterior o venta por la controladora de </w:t>
      </w:r>
      <w:r w:rsidRPr="00401DFF">
        <w:rPr>
          <w:rFonts w:ascii="Times New Roman" w:eastAsia="Times New Roman" w:hAnsi="Times New Roman" w:cs="Times New Roman"/>
          <w:sz w:val="24"/>
          <w:szCs w:val="24"/>
          <w:lang w:eastAsia="es-CO"/>
        </w:rPr>
        <w:lastRenderedPageBreak/>
        <w:t xml:space="preserve">instrumentos de patrimonio de una subsidiaria, se contabilizarán como transacciones de patrimonio (véase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xml:space="preserve"> Por consiguiente, los flujos de efectivos resultantes se clasificarán de la misma forma que otras transacciones con los propietarios descritas en el párrafo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no monetarias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Las transacciones de inversión o financiación, que no han requerido el uso de efectivo o equivalentes al efectivo, se excluirán del estado de flujos de efectivo. Estas transacciones deben ser objeto de información, en cualquier otra parte dentro de los estados financieros, de manera que suministren toda la información relevante acerca de tales actividades de inversión o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Muchas actividades de inversión o financiación no tienen un impacto directo en los flujos de efectivo del periodo, a pesar de que afectan a la estructura de los activos y del capital utilizado por la entidad. La exclusión de esas transacciones no monetarias del estado de flujos de efectivo resulta coherente con el objetivo de un estado de flujos de efectivo, puesto que tales partidas no producen flujos de efectivo en el periodo corriente. Ejemplos de transacciones no monetarias de este tipo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adquisición de activos, ya sea asumiendo directamente los pasivos por su financiación, o entrando en operaciones de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compra de una entidad mediante una ampliación de capital;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conversión de deuda en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 la partida 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 Una entidad revelará los componentes del efectivo y equivalentes al efectivo, y presentará una conciliación de los importes de su estado de flujos de efectivo con las partidas equivalentes sobre las que se informa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46 Las entidades revelarán los criterios adoptados, para determinar la composición de la partida efectivo y equivalentes al efectivo, por causa de la variedad de prácticas de gestión de efectivo y de servicios bancarios relacionados con ella en todos los países del mundo, y además para dar cumplimiento a lo previsto en la 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47 El resultado de cualquier cambio en las políticas de determinación del efectivo y equivalentes al efectivo, por ejemplo un cambio en la clasificación de instrumentos financieros que antes se consideraban parte de la cartera de inversión, se presentará, en los estados financieros de la entidad,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48 La entidad debe revelar en sus estados financieros, acompañado de un comentario por parte de la gerencia, cualquier importe significativo de sus saldos de efectivo y equivalentes al efectivo que no esté disponible para ser utilizado por ella misma o por el grupo al que pertenece.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Existen diversas circunstancias en las que los saldos de efectivo y equivalentes al efectivo, mantenidos por la entidad, no están disponibles para su uso por parte del grupo. Un ejemplo de tal situación son los saldos de efectivo y equivalentes al efectivo de una subsidiaria que opera en un país donde existen controles de cambio u otras restricciones legales, de manera que los citados saldos no están disponibles para uso de la controladora o de las demás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Puede ser relevante, para los usuarios, conocer determinadas informaciones adicionales, sobre la entidad, que les ayuden a comprender su posición financiera y liquidez. Por tanto, se aconseja a las entidades que publiquen, junto con un comentario de la gerencia, informaciones tales como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 los préstamos no dispuestos, que pueden estar disponibles para actividades de operación o para el pago de operaciones de inversión o financiación, indicando las restricciones sobre el uso de tales medios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acumulado de flujos de efectivo que representen incrementos en la capacidad de operación, separado de aquéllos otros que se requieran para mantener la capacidad de operación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el importe de los flujos de efectivo por actividades de operación, de inversión y de financiación, que procedan de cada uno de los segmentos sobre los que debe informarse (véase la NIIF 8 </w:t>
      </w:r>
      <w:r w:rsidRPr="00401DFF">
        <w:rPr>
          <w:rFonts w:ascii="Times New Roman" w:eastAsia="Times New Roman" w:hAnsi="Times New Roman" w:cs="Times New Roman"/>
          <w:i/>
          <w:iCs/>
          <w:sz w:val="24"/>
          <w:szCs w:val="24"/>
          <w:lang w:eastAsia="es-CO"/>
        </w:rPr>
        <w:t>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La información, por separado, de los flujos de efectivo que incrementan la capacidad operativa, distinguiéndolos de aquellos otros que sirven para mantenerla, es útil por permitir a los usuarios juzgar acerca de si la entidad está invirtiendo adecuadamente para mantener su capacidad operativa. Toda entidad que no esté invirtiendo adecuadamente en el mantenimiento de su capacidad operativa, puede estar perjudicando su rendimiento futuro a cambio de mejorar la liquidez presente y las distribuciones de ganancias a los propietarios.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La presentación de flujos de efectivo por segmentos, permitirá a los usuarios obtener una mejor comprensión de las relaciones entre los flujos de efectivo de la entidad en su conjunto y los de cada una de sus partes integrantes, así como de la variabilidad y disponibilidad de los flujos de los segmentos considerados.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53 Esta Norma Internacional de Contabilidad tendrá vigencia para los estados financieros que cubran periodos que comiencen a partir del 1 de enero de 1994.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La NIC 27 (modificada en 2008) modificó los párrafos 39 a 42 y añadió los párrafos 42A y 42B. Una entidad aplicará esas modificaciones a periodos anuales que comiencen a partir del 1 de julio de 2009. Si la entidad aplicase la NIC 27 (modificada en 2008) a periodos anteriores, las modificaciones deberán aplicarse también a esos periodos. Las modificaciones deberán aplicarse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El párrafo 14 fue modificado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 modificación para los periodos anuales que comiencen a partir del 1 de enero de 2009. Se permite su aplicación anticipada. Si una entidad aplicase esta modificación en periodos anteriores revelará este hecho y aplicará el párrafo 68A de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56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el párrafo 16. Una entidad aplicará esa modificación para los periodos anuales que comiencen a partir del 1 de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57 Las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emitidas en mayo de 2011, modificaron los párrafos 37, 38 y 42B y eliminaron el párrafo 50(b).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En septiembre de 2007 el IASB modificó el título de la NIC 7 de </w:t>
      </w:r>
      <w:r w:rsidRPr="00401DFF">
        <w:rPr>
          <w:rFonts w:ascii="Times New Roman" w:eastAsia="Times New Roman" w:hAnsi="Times New Roman" w:cs="Times New Roman"/>
          <w:i/>
          <w:iCs/>
          <w:sz w:val="24"/>
          <w:szCs w:val="24"/>
          <w:lang w:eastAsia="es-CO"/>
        </w:rPr>
        <w:t>Estados de Flujo de Efectivo</w:t>
      </w:r>
      <w:r w:rsidRPr="00401DFF">
        <w:rPr>
          <w:rFonts w:ascii="Times New Roman" w:eastAsia="Times New Roman" w:hAnsi="Times New Roman" w:cs="Times New Roman"/>
          <w:sz w:val="24"/>
          <w:szCs w:val="24"/>
          <w:lang w:eastAsia="es-CO"/>
        </w:rPr>
        <w:t xml:space="preserve"> a </w:t>
      </w:r>
      <w:r w:rsidRPr="00401DFF">
        <w:rPr>
          <w:rFonts w:ascii="Times New Roman" w:eastAsia="Times New Roman" w:hAnsi="Times New Roman" w:cs="Times New Roman"/>
          <w:i/>
          <w:iCs/>
          <w:sz w:val="24"/>
          <w:szCs w:val="24"/>
          <w:lang w:eastAsia="es-CO"/>
        </w:rPr>
        <w:t>Estado de Flujos de Efectivo</w:t>
      </w:r>
      <w:r w:rsidRPr="00401DFF">
        <w:rPr>
          <w:rFonts w:ascii="Times New Roman" w:eastAsia="Times New Roman" w:hAnsi="Times New Roman" w:cs="Times New Roman"/>
          <w:sz w:val="24"/>
          <w:szCs w:val="24"/>
          <w:lang w:eastAsia="es-CO"/>
        </w:rPr>
        <w:t xml:space="preserve"> como consecuencia de la revisión de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los criterios para seleccionar y modificar las políticas contables, así como el tratamiento contable y la información a revelar acerca de los cambios en las políticas contables, de los cambios en las estimaciones contables y de la corrección de errores. La Norma trata de realzar la relevancia y fiabilidad de los estados financieros de una entidad, así como la comparabilidad con los estados financieros emitidos por ésta en periodos anteriores, y con los elaborados por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Los requerimientos de información a revelar relativos a políticas contables, excepto los referentes a cambios en las políticas contables, han sido establecidos en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 Esta Norma se aplicará en la selección y aplicación de políticas contables, así como en la contabilización de los cambios en éstas y en las estimaciones contables, y en la corrección de errores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El efecto impositivo de la corrección de los errores de periodos anteriores, así como de los ajustes retroactivos efectuados al realizar cambios en las políticas contables, se contabilizará de acuerdo con la NIC 12 </w:t>
      </w:r>
      <w:r w:rsidRPr="00401DFF">
        <w:rPr>
          <w:rFonts w:ascii="Times New Roman" w:eastAsia="Times New Roman" w:hAnsi="Times New Roman" w:cs="Times New Roman"/>
          <w:i/>
          <w:iCs/>
          <w:sz w:val="24"/>
          <w:szCs w:val="24"/>
          <w:lang w:eastAsia="es-CO"/>
        </w:rPr>
        <w:t>Impuesto a las Ganancias,</w:t>
      </w:r>
      <w:r w:rsidRPr="00401DFF">
        <w:rPr>
          <w:rFonts w:ascii="Times New Roman" w:eastAsia="Times New Roman" w:hAnsi="Times New Roman" w:cs="Times New Roman"/>
          <w:sz w:val="24"/>
          <w:szCs w:val="24"/>
          <w:lang w:eastAsia="es-CO"/>
        </w:rPr>
        <w:t xml:space="preserve"> y se revelará la información requerida por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Políticas contables</w:t>
      </w:r>
      <w:r w:rsidRPr="00401DFF">
        <w:rPr>
          <w:rFonts w:ascii="Times New Roman" w:eastAsia="Times New Roman" w:hAnsi="Times New Roman" w:cs="Times New Roman"/>
          <w:b/>
          <w:bCs/>
          <w:sz w:val="24"/>
          <w:szCs w:val="24"/>
          <w:lang w:eastAsia="es-CO"/>
        </w:rPr>
        <w:t xml:space="preserve"> son los principios, bases, acuerdos reglas y procedimientos específicos adoptados por la entidad en la elaboración y presentación de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cambio en una estimación contable</w:t>
      </w:r>
      <w:r w:rsidRPr="00401DFF">
        <w:rPr>
          <w:rFonts w:ascii="Times New Roman" w:eastAsia="Times New Roman" w:hAnsi="Times New Roman" w:cs="Times New Roman"/>
          <w:b/>
          <w:bCs/>
          <w:sz w:val="24"/>
          <w:szCs w:val="24"/>
          <w:lang w:eastAsia="es-CO"/>
        </w:rPr>
        <w:t xml:space="preserve"> es un ajuste en el importe en libros de un activo o de un pasivo, o en el importe del consumo periódico de un activo, que se produce tras la evaluación de la situación actual del elemento, así como de los beneficios futuros esperados y de las obligaciones asociadas con los activos y pasivos correspondientes. Los cambios en las estimaciones contables son el resultado de nueva información o nuevos acontecimientos y, en consecuencia, no son correcciones de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Las Normas Internacionales de Información Financiera (NIIF)</w:t>
      </w:r>
      <w:r w:rsidRPr="00401DFF">
        <w:rPr>
          <w:rFonts w:ascii="Times New Roman" w:eastAsia="Times New Roman" w:hAnsi="Times New Roman" w:cs="Times New Roman"/>
          <w:b/>
          <w:bCs/>
          <w:sz w:val="24"/>
          <w:szCs w:val="24"/>
          <w:lang w:eastAsia="es-CO"/>
        </w:rPr>
        <w:t xml:space="preserve"> son las Normas e Interpretaciones emitidas por el Consejo de Normas Internacionales de Contabilidad (IASB). Esas Normas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Normas Internacionales de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Normas Internacionales de Contabilidad;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Interpretaciones CINIIF;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Interpretaciones SIC</w:t>
      </w:r>
      <w:hyperlink r:id="rId16" w:anchor="bf160ffcb6687904a17936c9fc78a84dcfcnf9" w:tgtFrame="_self" w:history="1">
        <w:r w:rsidRPr="00401DFF">
          <w:rPr>
            <w:rFonts w:ascii="Times New Roman" w:eastAsia="Times New Roman" w:hAnsi="Times New Roman" w:cs="Times New Roman"/>
            <w:color w:val="0000FF"/>
            <w:sz w:val="20"/>
            <w:szCs w:val="20"/>
            <w:u w:val="single"/>
            <w:vertAlign w:val="superscript"/>
            <w:lang w:eastAsia="es-CO"/>
          </w:rPr>
          <w:t>(1)</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Materialidad (o importancia relativa).</w:t>
      </w:r>
      <w:r w:rsidRPr="00401DFF">
        <w:rPr>
          <w:rFonts w:ascii="Times New Roman" w:eastAsia="Times New Roman" w:hAnsi="Times New Roman" w:cs="Times New Roman"/>
          <w:b/>
          <w:bCs/>
          <w:sz w:val="24"/>
          <w:szCs w:val="24"/>
          <w:lang w:eastAsia="es-CO"/>
        </w:rPr>
        <w:t xml:space="preserve"> Las omisiones o inexactitudes de partidas son materiales o tienen importancia relativa si pueden, individualmente o en su conjunto, influir en las decisiones económicas tomadas por los usuarios sobre la base de los estados financieros. La materialidad (o importancia relativa) depende de la magnitud y la naturaleza de la omisión o inexactitud, enjuiciada en función de las circunstancias particulares en que se hayan producido. La magnitud o la naturaleza de la partida, o una combinación de ambas, podría ser el factor determinante.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 xml:space="preserve">Errores de periodos anteriores </w:t>
      </w:r>
      <w:r w:rsidRPr="00401DFF">
        <w:rPr>
          <w:rFonts w:ascii="Times New Roman" w:eastAsia="Times New Roman" w:hAnsi="Times New Roman" w:cs="Times New Roman"/>
          <w:b/>
          <w:bCs/>
          <w:sz w:val="24"/>
          <w:szCs w:val="24"/>
          <w:lang w:eastAsia="es-CO"/>
        </w:rPr>
        <w:t>son las omisiones e inexactitudes en los estados financieros de una entidad, para uno o más periodos anteriores, resultantes de un fallo al emplear o de un error al utilizar información fiable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estaba disponible cuando los estados financieros para tales periodos fueron formulados;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podría esperarse razonablemente que se hubiera conseguido y tenido en cuenta en la elaboración y presentación de aquellos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Dentro de estos errores se incluyen los efectos de errores aritméticos, errores en la aplicación de políticas contables, la inadvertencia o mala interpretación de hechos, así como los fraudes.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w:t>
      </w:r>
      <w:r w:rsidRPr="00401DFF">
        <w:rPr>
          <w:rFonts w:ascii="Times New Roman" w:eastAsia="Times New Roman" w:hAnsi="Times New Roman" w:cs="Times New Roman"/>
          <w:b/>
          <w:bCs/>
          <w:i/>
          <w:iCs/>
          <w:sz w:val="24"/>
          <w:szCs w:val="24"/>
          <w:lang w:eastAsia="es-CO"/>
        </w:rPr>
        <w:t xml:space="preserve">aplicación retroactiva </w:t>
      </w:r>
      <w:r w:rsidRPr="00401DFF">
        <w:rPr>
          <w:rFonts w:ascii="Times New Roman" w:eastAsia="Times New Roman" w:hAnsi="Times New Roman" w:cs="Times New Roman"/>
          <w:b/>
          <w:bCs/>
          <w:sz w:val="24"/>
          <w:szCs w:val="24"/>
          <w:lang w:eastAsia="es-CO"/>
        </w:rPr>
        <w:t>consiste en aplicar una nueva política contable a transacciones, otros sucesos y condiciones, como si ésta se hubiera aplicado siempre.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w:t>
      </w:r>
      <w:r w:rsidRPr="00401DFF">
        <w:rPr>
          <w:rFonts w:ascii="Times New Roman" w:eastAsia="Times New Roman" w:hAnsi="Times New Roman" w:cs="Times New Roman"/>
          <w:b/>
          <w:bCs/>
          <w:i/>
          <w:iCs/>
          <w:sz w:val="24"/>
          <w:szCs w:val="24"/>
          <w:lang w:eastAsia="es-CO"/>
        </w:rPr>
        <w:t>reexpresión retroactiva</w:t>
      </w:r>
      <w:r w:rsidRPr="00401DFF">
        <w:rPr>
          <w:rFonts w:ascii="Times New Roman" w:eastAsia="Times New Roman" w:hAnsi="Times New Roman" w:cs="Times New Roman"/>
          <w:b/>
          <w:bCs/>
          <w:sz w:val="24"/>
          <w:szCs w:val="24"/>
          <w:lang w:eastAsia="es-CO"/>
        </w:rPr>
        <w:t xml:space="preserve"> consiste en corregir el reconocimiento, medición e información a revelar de los importes de los elementos de los estados financieros, como si el error cometido en periodos anteriores no se hubiera cometido nunca.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aplicación de un requisito será </w:t>
      </w:r>
      <w:r w:rsidRPr="00401DFF">
        <w:rPr>
          <w:rFonts w:ascii="Times New Roman" w:eastAsia="Times New Roman" w:hAnsi="Times New Roman" w:cs="Times New Roman"/>
          <w:b/>
          <w:bCs/>
          <w:i/>
          <w:iCs/>
          <w:sz w:val="24"/>
          <w:szCs w:val="24"/>
          <w:lang w:eastAsia="es-CO"/>
        </w:rPr>
        <w:t>impracticable</w:t>
      </w:r>
      <w:r w:rsidRPr="00401DFF">
        <w:rPr>
          <w:rFonts w:ascii="Times New Roman" w:eastAsia="Times New Roman" w:hAnsi="Times New Roman" w:cs="Times New Roman"/>
          <w:b/>
          <w:bCs/>
          <w:sz w:val="24"/>
          <w:szCs w:val="24"/>
          <w:lang w:eastAsia="es-CO"/>
        </w:rPr>
        <w:t xml:space="preserve"> cuando la entidad no pueda aplicarlo tras efectuar todos los esfuerzos razonables para hacerlo. Para un periodo anterior en particular, es impracticable aplicar un cambio en una política contable retroactivamente o realizar una reexpresión retroactiva para corregir un error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efectos de la aplicación o de la reexpresión retroactiva no son determinables;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aplicación o la reexpresión retroactivas implican establecer suposiciones acerca de cuáles hubieran podido ser las intenciones de la gerencia en ese periodo;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aplicación o la reexpresión retroactivas requieren estimaciones de importes significativos, y que sea imposible distinguir objetivamente información de tales estimaciones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suministre evidencia de las circunstancias que existían en la fecha o fechas en que tales importes fueron reconocidos, medidos o fue revelada la correspondiente información;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hubiera estado disponible cuando los estados financieros de los periodos anteriores fueron formulados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 otro tipo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aplicación prospectiva de un cambio en una política contable y del reconocimiento del efecto de un cambio en una estimación contable consiste, respectivamente,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la aplicación de la nueva política contable a las transacciones, otros sucesos y condiciones ocurridos tras la fecha en que se cambió la política;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reconocimiento del efecto del cambio en la estimación contable para el periodo corriente y los periodos futuros afectados por dicho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evaluación acerca de si una omisión o inexactitud puede influir en las decisiones económicas de los usuarios, considerándose así material o con importancia relativa, requiere tener en cuenta las características de tales usuarios. El </w:t>
      </w:r>
      <w:r w:rsidRPr="00401DFF">
        <w:rPr>
          <w:rFonts w:ascii="Times New Roman" w:eastAsia="Times New Roman" w:hAnsi="Times New Roman" w:cs="Times New Roman"/>
          <w:i/>
          <w:iCs/>
          <w:sz w:val="24"/>
          <w:szCs w:val="24"/>
          <w:lang w:eastAsia="es-CO"/>
        </w:rPr>
        <w:t>Marco Conceptual para la Preparación y Presentación de la Información Financiera</w:t>
      </w:r>
      <w:r w:rsidRPr="00401DFF">
        <w:rPr>
          <w:rFonts w:ascii="Times New Roman" w:eastAsia="Times New Roman" w:hAnsi="Times New Roman" w:cs="Times New Roman"/>
          <w:sz w:val="24"/>
          <w:szCs w:val="24"/>
          <w:lang w:eastAsia="es-CO"/>
        </w:rPr>
        <w:t xml:space="preserve"> establece, en el párrafo 25</w:t>
      </w:r>
      <w:hyperlink r:id="rId17" w:anchor="bf189628778d09a42b59865e4785de685efnf9" w:tgtFrame="_self" w:history="1">
        <w:r w:rsidRPr="00401DFF">
          <w:rPr>
            <w:rFonts w:ascii="Times New Roman" w:eastAsia="Times New Roman" w:hAnsi="Times New Roman" w:cs="Times New Roman"/>
            <w:color w:val="0000FF"/>
            <w:sz w:val="20"/>
            <w:szCs w:val="20"/>
            <w:u w:val="single"/>
            <w:vertAlign w:val="superscript"/>
            <w:lang w:eastAsia="es-CO"/>
          </w:rPr>
          <w:t>(12)</w:t>
        </w:r>
      </w:hyperlink>
      <w:r w:rsidRPr="00401DFF">
        <w:rPr>
          <w:rFonts w:ascii="Times New Roman" w:eastAsia="Times New Roman" w:hAnsi="Times New Roman" w:cs="Times New Roman"/>
          <w:sz w:val="24"/>
          <w:szCs w:val="24"/>
          <w:lang w:eastAsia="es-CO"/>
        </w:rPr>
        <w:t>, que: “se supone que los usuarios tienen un conocimiento razonable de las actividades económicas y del mundo de los negocios, así como de su contabilidad, y también la voluntad de estudiar la información con razonable diligencia”. En consecuencia, la evaluación necesita tener en cuenta cómo puede esperarse que, en términos razonables, usuarios con las características descritas se vean influidos, al tomar decisiones económicas.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Selección y aplicación de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Cuando una NIIF sea específicamente aplicable a una transacción, otro evento o condición, la política o políticas contables aplicadas a esa partida se determinarán aplicando la NIIF concreta.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En las NIIF se establecen políticas contables sobre las que el IASB ha llegado a la conclusión de que dan lugar a estados financieros que contienen información relevante y fiable sobre las transacciones, otros eventos y condiciones a las que son aplicables. Estas políticas no necesitan ser aplicadas cuando el efecto de su utilización no sea significativo. Sin embargo, no es adecuado dejar de aplicar las NIIF, o dejar de corregir errores, apoyándose en que el efecto no es significativo, con el fin de alcanzar una presentación particular de la posición financiera, rendimiento financiero o flujos de efectivo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Las NIIF se acompañan de guías que ayudan a las entidades a aplicar sus requerimientos. Todas estas guías señalan si son parte integrante de las NIIF. Las guías que sean parte integrante de las NIIF serán de cumplimiento obligatorio. Las guías que no sean parte integrante de las NIIF no contienen requerimientos aplicables a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En ausencia de una NIIF que sea aplicable específicamente a una transacción o a otros hechos o condiciones, la gerencia deberá usar su juicio en el desarrollo y aplicación de una política contable, a fin de suministrar información que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relevante para las necesidades de toma de decisiones económicas de los usuarios;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fiable, en el sentido de que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 presenten de forma fidedigna la situación financiera, el rendimiento financiero y los flujos de efectivo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reflejen la esencia económica de las transacciones, otros eventos y condiciones, y no simplemente su forma legal;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sean neutrales, es decir, libres de prejuicios o sesgos;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sean prudentes;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estén completos en todos sus extremos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Al realizar los juicios descritos en el párrafo 10, la gerencia se referirá, en orden descendente, a las siguientes fuentes a la hora de considerar su aplicabilidad: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requerimientos de las NIIF que traten temas similares y relacionados;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las definiciones, criterios de reconocimiento y medición establecidos para los activos, pasivos, ingresos y gastos en el </w:t>
      </w:r>
      <w:r w:rsidRPr="00401DFF">
        <w:rPr>
          <w:rFonts w:ascii="Times New Roman" w:eastAsia="Times New Roman" w:hAnsi="Times New Roman" w:cs="Times New Roman"/>
          <w:b/>
          <w:bCs/>
          <w:i/>
          <w:iCs/>
          <w:sz w:val="24"/>
          <w:szCs w:val="24"/>
          <w:lang w:eastAsia="es-CO"/>
        </w:rPr>
        <w:t>Marco Conceptual</w:t>
      </w:r>
      <w:hyperlink r:id="rId18" w:anchor="bf1989df554dec447129f88a2a21f130a7cnf9" w:tgtFrame="_self" w:history="1">
        <w:r w:rsidRPr="00401DFF">
          <w:rPr>
            <w:rFonts w:ascii="Times New Roman" w:eastAsia="Times New Roman" w:hAnsi="Times New Roman" w:cs="Times New Roman"/>
            <w:color w:val="0000FF"/>
            <w:sz w:val="20"/>
            <w:szCs w:val="20"/>
            <w:u w:val="single"/>
            <w:vertAlign w:val="superscript"/>
            <w:lang w:eastAsia="es-CO"/>
          </w:rPr>
          <w:t>(13)</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Al realizar los juicios descritos en el párrafo 10, la gerencia podrá considerar también los pronunciamientos más recientes de otras instituciones emisoras de normas, que empleen un marco conceptual similar al emitir normas contables, así como otra literatura contable y las prácticas aceptadas en los diferentes sectores de actividad, en la medida que no entren en conflicto con las fuentes señaladas en el párrafo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Uniformidad de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Una entidad seleccionará y aplicará sus políticas contables de manera uniforme para transacciones, otros eventos y condiciones que sean similares, a menos que una NIIF requiera o permita establecer categorías de partidas para las cuales podría ser apropiado aplicar diferentes políticas. Si una NIIF requiere o permite establecer esas categorías, se seleccionará una política contable adecuada, y se aplicará de manera uniforme a cada categoría.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La entidad cambiará una política contable sólo si tal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 requiere por una NIIF;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lleva a que los estados financieros suministren información más fiable y relevante sobre los efectos de las transacciones, otros eventos o condiciones que afecten a la situación financiera, el rendimiento financiero o los flujos de efectivo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15 Los usuarios de los estados financieros tienen la necesidad de poder comparar los estados financieros de una entidad a lo largo del tiempo, a fin de identificar tendencias en su situación financiera, rendimiento financiero y flujos de efectivo. En consecuencia, se aplicarán las mismas políticas contables dentro de cada periodo, así como de un periodo a otro, excepto si se presentase algún cambio en una política contable que cumpliera alguno de los criterios del párrafo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Las siguientes situaciones no constituyen cambios en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aplicación de una política contable para transacciones, otros eventos o condiciones que difieren sustancialmente de aquéllos que han ocurrido previamente;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aplicación de una nueva política contable para transacciones, otros eventos o condiciones que no han ocurrido anteriormente, o que, de ocurrir, carecieron de materialidad.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17 La aplicación por primera vez de una política que consista en la revaluación de activos, de acuerdo con la NIC 16 </w:t>
      </w:r>
      <w:r w:rsidRPr="00401DFF">
        <w:rPr>
          <w:rFonts w:ascii="Times New Roman" w:eastAsia="Times New Roman" w:hAnsi="Times New Roman" w:cs="Times New Roman"/>
          <w:b/>
          <w:bCs/>
          <w:i/>
          <w:iCs/>
          <w:sz w:val="24"/>
          <w:szCs w:val="24"/>
          <w:lang w:eastAsia="es-CO"/>
        </w:rPr>
        <w:t>Propiedades, Planta y Equipo,</w:t>
      </w:r>
      <w:r w:rsidRPr="00401DFF">
        <w:rPr>
          <w:rFonts w:ascii="Times New Roman" w:eastAsia="Times New Roman" w:hAnsi="Times New Roman" w:cs="Times New Roman"/>
          <w:b/>
          <w:bCs/>
          <w:sz w:val="24"/>
          <w:szCs w:val="24"/>
          <w:lang w:eastAsia="es-CO"/>
        </w:rPr>
        <w:t xml:space="preserve"> o con la NIC 38 </w:t>
      </w:r>
      <w:r w:rsidRPr="00401DFF">
        <w:rPr>
          <w:rFonts w:ascii="Times New Roman" w:eastAsia="Times New Roman" w:hAnsi="Times New Roman" w:cs="Times New Roman"/>
          <w:b/>
          <w:bCs/>
          <w:i/>
          <w:iCs/>
          <w:sz w:val="24"/>
          <w:szCs w:val="24"/>
          <w:lang w:eastAsia="es-CO"/>
        </w:rPr>
        <w:t xml:space="preserve">Activos Intangibles, </w:t>
      </w:r>
      <w:r w:rsidRPr="00401DFF">
        <w:rPr>
          <w:rFonts w:ascii="Times New Roman" w:eastAsia="Times New Roman" w:hAnsi="Times New Roman" w:cs="Times New Roman"/>
          <w:b/>
          <w:bCs/>
          <w:sz w:val="24"/>
          <w:szCs w:val="24"/>
          <w:lang w:eastAsia="es-CO"/>
        </w:rPr>
        <w:t>es un cambio de política contable que ha de ser tratado como una revaluación, de acuerdo con la NIC 16 o con la NIC 38, en lugar de aplicar las disposiciones contenidas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Los párrafos 19 a 31 no serán de aplicación a los cambios en las políticas contables descritos en el párrafo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los cambios en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Con sujeción al párrafo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contabilizará un cambio en una política contable derivado de la aplicación inicial de una NIIF, de acuerdo con las disposiciones transitorias específicas de tales NIIF, si las hubiera;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cuando la entidad cambie una política contable, ya sea por la aplicación inicial de una NIIF que no incluya una disposición transitoria específica aplicable a tal cambio, o porque haya decidido cambiarla de forma voluntaria, aplicará dicho cambio retroactivamente.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Para los propósitos de esta Norma, la aplicación anticipada de una NIIF no se considerará un cambio voluntario en una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21 En ausencia de una NIIF específicamente aplicable a una transacción u otros eventos o condiciones, la gerencia podrá, de acuerdo con el párrafo 12, aplicar una política contable considerando los pronunciamientos más recientes de otras instituciones emisoras de normas que empleen un marco conceptual similar al emitir normas contables. Si, debido a una modificación de tal pronunciamiento, la entidad optase por el cambio de una política </w:t>
      </w:r>
      <w:r w:rsidRPr="00401DFF">
        <w:rPr>
          <w:rFonts w:ascii="Times New Roman" w:eastAsia="Times New Roman" w:hAnsi="Times New Roman" w:cs="Times New Roman"/>
          <w:sz w:val="24"/>
          <w:szCs w:val="24"/>
          <w:lang w:eastAsia="es-CO"/>
        </w:rPr>
        <w:lastRenderedPageBreak/>
        <w:t>contable, ese cambio se contabilizará, y se revelará como un cambio voluntario de una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Aplicación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Con sujeción a la limitación establecida en el párrafo 23, cuando un cambio en una política contable se aplique retroactivamente de acuerdo con los apartados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o (b) del párrafo 19, la entidad ajustará los saldos iniciales de cada componente afectado del patrimonio para el periodo anterior más antiguo que se presente, revelando información acerca de los demás importes comparativos para cada periodo anterior presentado, como si la nueva política contable se hubiese estado aplicando siempre.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Limitaciones a la aplicación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Cuando sea obligatoria la aplicación retroactiva en función de lo establecido en los apartados (a) y (b) del párrafo 19, el cambio en la política contable se aplicará retroactivamente, salvo y en la medida en que fuera impracticable determinar los efectos del cambio en cada periodo específico o el efecto acumulado.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Cuando sea impracticable determinar los efectos que se derivan, en cada periodo específico, del cambio de una política contable sobre la información comparativa en uno o más periodos anteriores para los que se presente información, la entidad aplicará la nueva política contable a los saldos iniciales de los activos y pasivos al principio del periodo más antiguo para el que la aplicación retroactiva sea practicable —que podría ser el propio periodo corriente— y efectuará el correspondiente ajuste a los saldos iniciales de cada componente del patrimonio que se vea afectado para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Cuando sea impracticable determinar el efecto acumulado, al principio del periodo corriente, por la aplicación de una nueva política contable a todos los periodos anteriores, la entidad ajustará la información comparativa aplicando la nueva política contable de forma prospectiva, desde la fecha más antigua en que sea practicable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Cuando la entidad aplique una nueva política contable retroactivamente, la aplicará a la información comparativa de periodos anteriores, retrotrayéndose en el tiempo tanto como sea practicable. La aplicación retroactiva a un periodo anterior no será practicable a menos que sea posible determinar el efecto acumulado tanto sobre los importes de apertura y de cierre del estado de situación financiera correspondiente a ese periodo. El importe del ajuste resultante, referido a los periodos previos a los presentados en los estados financieros, se llevará contra los saldos iniciales de cada componente afectado del patrimonio del periodo previo más antiguo sobre el que se presente información. Normalmente, el ajuste se hace contra las ganancias acumuladas. Sin embargo, los ajustes pueden hacerse contra otro componente del patrimonio (por ejemplo, para cumplir con una NIIF). Cualquier otro tipo de información que se incluya respecto a periodos anteriores, tal como resúmenes históricos </w:t>
      </w:r>
      <w:r w:rsidRPr="00401DFF">
        <w:rPr>
          <w:rFonts w:ascii="Times New Roman" w:eastAsia="Times New Roman" w:hAnsi="Times New Roman" w:cs="Times New Roman"/>
          <w:sz w:val="24"/>
          <w:szCs w:val="24"/>
          <w:lang w:eastAsia="es-CO"/>
        </w:rPr>
        <w:lastRenderedPageBreak/>
        <w:t>de datos financieros, será asimismo objeto de ajuste, retrotrayéndose en el tiempo tanto como sea 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Cuando sea impracticable para la entidad aplicar una nueva política contable retroactivamente, debido a que no pueda determinar el efecto acumulado de la aplicación de la política para todos los periodos anteriores, la entidad, de acuerdo con el párrafo 25, aplicará la nueva política contable de forma prospectiva desde el inicio del periodo más antiguo que sea practicable. En consecuencia, se ignorará la porción del ajuste acumulado de los activos, pasivos y patrimonio surgido antes de esa fecha. Se permitirán los cambios de políticas contables, incluso si fuera impracticable la aplicación de dicha política de forma prospectiva a algún periodo anterior. Los párrafos 50 a 53 suministran guías sobre cuándo resulta impracticable aplicar una nueva política contable a uno o más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Cuando la aplicación por primera vez de una NIIF tenga efecto en el periodo corriente o en alguno anterior —salvo que fuera impracticable determinar el importe del ajuste— o bien pudiera tener efecto sobre periodos futuros,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título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su caso, que el cambio en la política contable se ha efectuado de acuerdo con su disposición transitoria;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naturaleza del cambio en la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en su caso, una descripción de la disposición transitoria;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en su caso, la disposición transitoria que podría tener efectos sobre periodos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para el periodo corriente y para cada periodo anterior presentado, en la medida en que sea practicable, el importe del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para cada partida del estado financiero que se vea afectada;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 si la NIC 33 </w:t>
      </w:r>
      <w:r w:rsidRPr="00401DFF">
        <w:rPr>
          <w:rFonts w:ascii="Times New Roman" w:eastAsia="Times New Roman" w:hAnsi="Times New Roman" w:cs="Times New Roman"/>
          <w:b/>
          <w:bCs/>
          <w:i/>
          <w:iCs/>
          <w:sz w:val="24"/>
          <w:szCs w:val="24"/>
          <w:lang w:eastAsia="es-CO"/>
        </w:rPr>
        <w:t>Ganancias por Acción</w:t>
      </w:r>
      <w:r w:rsidRPr="00401DFF">
        <w:rPr>
          <w:rFonts w:ascii="Times New Roman" w:eastAsia="Times New Roman" w:hAnsi="Times New Roman" w:cs="Times New Roman"/>
          <w:b/>
          <w:bCs/>
          <w:sz w:val="24"/>
          <w:szCs w:val="24"/>
          <w:lang w:eastAsia="es-CO"/>
        </w:rPr>
        <w:t xml:space="preserve"> es aplicable a la entidad, para las ganancias por acción tanto básicas como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el importe del ajuste relativo a periodos anteriores presentados, en la medida en que sea practicable;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(h) si la aplicación retroactiva, exigida por los apartados (a) o (b) del párrafo 19, fuera impracticable para un periodo previo en concreto, o para periodos anteriores sobre los que se presente información, las circunstancias que conducen a la existencia de esa </w:t>
      </w:r>
      <w:r w:rsidRPr="00401DFF">
        <w:rPr>
          <w:rFonts w:ascii="Times New Roman" w:eastAsia="Times New Roman" w:hAnsi="Times New Roman" w:cs="Times New Roman"/>
          <w:b/>
          <w:bCs/>
          <w:sz w:val="24"/>
          <w:szCs w:val="24"/>
          <w:lang w:eastAsia="es-CO"/>
        </w:rPr>
        <w:lastRenderedPageBreak/>
        <w:t>situación y una descripción de cómo y desde cuándo se ha aplicado el cambio en la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 información a revelar podrá omitirse en los estados financieros de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29 Cuando un cambio voluntario en una política contable tenga efecto en el periodo corriente o en algún periodo anterior, o bien tendría efecto en ese periodo si no fuera impracticable determinar el importe del ajuste, o bien podría tener efecto sobre periodos futuros,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del cambio en la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razones por las que la aplicación de la nueva política contable suministra información más fiable y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para el periodo corriente y para cada periodo anterior presentado, en la medida en que sea practicable, el importe del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para cada partida del estado financiero que se vea afectada;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para el importe de la ganancia por acción tanto básica como diluida, si la NIC 33 fuera aplicable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del ajuste relativo a periodos anteriores presentados, en la medida en que sea practicable;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si la aplicación retroactiva fuera impracticable para un periodo anterior en particular, o para periodos anteriores presentados, las circunstancias que conducen a esa situación, junto con una descripción de cómo y desde cuándo se ha aplicado el cambio en la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 información a revelar podrá omitirse en los estados financieros de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Cuando una entidad no haya aplicado una nueva NIIF que habiendo sido emitida todavía no ha entrado en vigor, la entidad deberá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este hecho;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información relevante, conocida o razonablemente estimada, para evaluar el posible impacto que la aplicación de la nueva NIIF tendrá sobre los estados financieros de la entidad en el periodo en que se aplique por primera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Para cumplir con el párrafo 30,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El título de la nueva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naturaleza del cambio o cambios inminentes en la 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fecha en la cual es obligatoria la aplicación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fecha a partir de la que está previsto aplicar la NIIF por primera vez;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u otra de las siguientes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explicación del impacto esperado, derivado de la aplicación inicial de la NIIF, sobre los estados financieros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el impacto fuera desconocido o no pudiera ser estimado razonablemente, una declaración al efecto.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estimaciones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Como resultado de las incertidumbres inherentes al mundo de los negocios, muchas partidas de los estados financieros no pueden ser medidas con precisión, sino sólo estimadas. El proceso de estimación implica la utilización de juicios basados en la información fiable disponible más reciente. Por ejemplo, podría requerirse estimaciones para: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cuentas por cobrar de dudosa recuperación;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obsolescencia de los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razonable de activos o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vida útil o las pautas de consumo esperadas de los beneficios económicos futuros incorporados en los activos depreciables;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obligaciones por garantías concedidas.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La utilización de estimaciones razonables es una parte esencial de la elaboración de los estados financieros, y no menoscaba su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Si se produjesen cambios en las circunstancias en que se basa la estimación, es posible que ésta pueda necesitar ser revisada, como consecuencia de nueva información obtenida o de poseer más experiencia. La revisión de la estimación, por su propia naturaleza, no está relacionada con periodos anteriores ni tampoco es una corrección de un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35 Un cambio en los criterios de medición aplicados es un cambio en una política contable, y no un cambio en una estimación contable. Cuando sea difícil distinguir entre un cambio </w:t>
      </w:r>
      <w:r w:rsidRPr="00401DFF">
        <w:rPr>
          <w:rFonts w:ascii="Times New Roman" w:eastAsia="Times New Roman" w:hAnsi="Times New Roman" w:cs="Times New Roman"/>
          <w:sz w:val="24"/>
          <w:szCs w:val="24"/>
          <w:lang w:eastAsia="es-CO"/>
        </w:rPr>
        <w:lastRenderedPageBreak/>
        <w:t>de política contable y un cambio en una estimación contable, el cambio se tratará como si fuera un cambio en una estimación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El efecto de un cambio en una estimación contable, diferente de aquellos cambios a los que se aplique el párrafo 37, se reconocerá de forma prospectiva, incluyéndolo en el resultado del: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periodo en que tiene lugar el cambio, si éste afecta solo a ese periodo;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periodo del cambio y periodos futuros, si el cambio afectase a todos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37 En la medida que un cambio en una estimación contable de lugar a cambios en activos y pasivos, o se refiera a una partida de patrimonio, deberá ser reconocido ajustando el valor en libros de la correspondiente partida de activo, pasivo o patrimonio en el periodo en que tiene lugar el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El reconocimiento prospectivo del efecto del cambio en una estimación contable significa que el cambio se aplica a las transacciones, otros eventos y condiciones, desde la fecha del cambio en la estimación. Un cambio en una estimación contable podría afectar al resultado del periodo corriente, o bien al de éste y al de periodos futuros. Por ejemplo, un cambio en las estimaciones del importe de los clientes de dudoso cobro afectará sólo al resultado del periodo corriente y, por tanto, se reconocerá en este periodo. Sin embargo, un cambio en la vida útil estimada, o en los patrones de consumo de los beneficios económicos futuros incorporados a un activo depreciable, afectará al gasto por depreciación del periodo corriente y de cada uno de los periodos de vida útil restante del activo. En ambos casos, el efecto del cambio relacionado con el periodo corriente se reconoce como ingreso o gasto del periodo corriente. El efecto, si existiese, en periodos futuros se reconoce como ingreso o gasto de dichos periodos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La entidad revelará la naturaleza e importe de cualquier cambio en una estimación contable que haya producido efectos en el periodo corriente, o que se espere vaya a producirlos en periodos futuros, exceptuándose de lo anterior la revelación de información del efecto sobre periodos futuros, en el caso de que fuera impracticable estimar ese efecto.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Si no se revela el importe del efecto en periodos futuros debido a que la estimación es impracticable, la entidad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 Los errores pueden surgir al reconocer, valorar, presentar o revelar la información de los elementos de los estados financieros. Los estados financieros no cumplen con las NIIF si contienen errores, tanto materiales como inmateriales, cuando han sido cometidos intencionadamente para conseguir, respecto de una entidad, una determinada presentación </w:t>
      </w:r>
      <w:r w:rsidRPr="00401DFF">
        <w:rPr>
          <w:rFonts w:ascii="Times New Roman" w:eastAsia="Times New Roman" w:hAnsi="Times New Roman" w:cs="Times New Roman"/>
          <w:sz w:val="24"/>
          <w:szCs w:val="24"/>
          <w:lang w:eastAsia="es-CO"/>
        </w:rPr>
        <w:lastRenderedPageBreak/>
        <w:t>de su situación financiera, de su rendimiento financiero o de sus flujos de efectivo. Los errores potenciales del periodo corriente, descubiertos en este mismo periodo, se corregirán antes de que los estados financieros sean formulados. Sin embargo, los errores materiales en ocasiones no se descubren hasta un periodo posterior, de forma que tales errores de periodos anteriores se corregirán en la información comparativa presentada en los estados financieros de los periodos siguientes (véanse los párrafos 42 a 47).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Con sujeción a lo establecido en párrafo 43, la entidad corregirá los errores materiales de periodos anteriores, de forma retroactiva, en los primeros estados financieros formulados después de haberlos descubierto: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reexpresando la información comparativa para el periodo o periodos anteriores en los que se originó el error;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el error ocurrió con anterioridad al periodo más antiguo para el que se presenta información, reexpresando los saldos iniciales de activos, pasivos y patrimonio para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Limitaciones a la reexpresión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El error correspondiente a un periodo anterior se corregirá mediante reexpresión retroactiva, salvo que sea impracticable determinar los efectos en cada periodo específico o el efecto acumulado del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 Cuando sea impracticable determinar los efectos que se derivan, en cada periodo específico, de un error sobre la información comparativa de uno o más periodos anteriores para los que se presente información, la entidad reexpresará los saldos iniciales de los activos, pasivos y patrimonio para los periodos más antiguos en los cuales tal reexpresión retroactiva sea practicable (que podría también ser el propio periodo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 Cuando sea impracticable determinar el efecto acumulado, al principio del periodo corriente, de un error sobre todos los periodos anteriores, la entidad reexpresará la información comparativa corrigiendo el error de forma prospectiva, desde la fecha más remota en que sea posible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El efecto de la corrección de un error de periodos anteriores no se incluirá en el resultado del periodo en el que se descubra el error. Cualquier otro tipo de información que se incluya respecto a periodos anteriores, tales como resúmenes históricos de datos financieros, será objeto de reexpresión, yendo tan atrás como sea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47 Cuando sea impracticable determinar el importe de un error para todos los periodos previos (por ejemplo, una equivocación al aplicar una política contable), la entidad, de acuerdo con el párrafo 45, reexpresará la información comparativa de forma prospectiva desde la fecha más remota posible. En consecuencia, se ignorará la porción del ajuste acumulado de activos, pasivos y patrimonio que haya surgido antes de esa fecha. En los </w:t>
      </w:r>
      <w:r w:rsidRPr="00401DFF">
        <w:rPr>
          <w:rFonts w:ascii="Times New Roman" w:eastAsia="Times New Roman" w:hAnsi="Times New Roman" w:cs="Times New Roman"/>
          <w:sz w:val="24"/>
          <w:szCs w:val="24"/>
          <w:lang w:eastAsia="es-CO"/>
        </w:rPr>
        <w:lastRenderedPageBreak/>
        <w:t>párrafos 50 a 53 se suministran guías sobre cuándo resulta impracticable corregir un error para uno o más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La corrección de errores puede distinguirse con facilidad de los cambios en las estimaciones contables. Las estimaciones contables son, por su naturaleza, aproximaciones que pueden necesitar revisión cuando se tenga conocimiento de información adicional. Por ejemplo, las pérdidas o ganancias reconocidas como resultado del desenlace de una contingencia, no constituye corrección de un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errores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49 En aplicación del párrafo 42, una entidad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del error del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para cada periodo anterior presentado, en la medida que sea practicable, el importe del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para cada partida del estado financiero que se vea afectada;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para el importe de la ganancia por acción tanto básica como diluida, si la NIC 33 fuera aplicable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del ajuste al principio del periodo anterior más antiguo sobre el que se presente información;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si fuera impracticable la reexpresión retroactiva para un periodo anterior en particular, las circunstancias que conducen a esa situación, junto con una descripción de cómo y desde cuándo se ha corregido el error.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 información a revelar podrá omitirse en los estados financieros de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Impracticabilidad de la aplicación y de la reexpresión retroactivas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En algunas circunstancias, cuando se desea conseguir la comparabilidad con el periodo corriente, el ajuste de la información comparativa de uno o más periodos anteriores es impracticable. Por ejemplo, los datos podrían no haberse obtenido, en el periodo o periodos anteriores, de forma que permitan la aplicación retroactiva de una nueva política contable (incluyendo, para el propósito de los párrafos 51 a 53, su aplicación prospectiva a periodos anteriores), o la reexpresión retroactiva para corregir un error de un periodo anterior, como consecuencia de lo cual la reconstrucción de la información es impracticable.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51 Con frecuencia es necesario efectuar estimaciones al aplicar una política contable a los elementos de los estados financieros reconocidos o revelados que hacen referencia a determinadas transacciones, otros sucesos y condiciones. La estimación es subjetiva en sí </w:t>
      </w:r>
      <w:r w:rsidRPr="00401DFF">
        <w:rPr>
          <w:rFonts w:ascii="Times New Roman" w:eastAsia="Times New Roman" w:hAnsi="Times New Roman" w:cs="Times New Roman"/>
          <w:sz w:val="24"/>
          <w:szCs w:val="24"/>
          <w:lang w:eastAsia="es-CO"/>
        </w:rPr>
        <w:lastRenderedPageBreak/>
        <w:t>misma, y podría haberse realizado después del periodo sobre el que se informa. El desarrollo de estimaciones puede ser todavía más difícil cuando se aplica retroactivamente una política contable, o cuando se efectúa una reexpresión retroactiva para corregir un error de periodos anteriores, debido al dilatado periodo de tiempo que podría haber transcurrido desde que se produjo la transacción afectada u ocurrió el otro suceso o condición objeto de la reexpresión. Sin embargo, el objetivo de una estimación, que se refiere a periodos anteriores, es el mismo que para las estimaciones realizadas en el periodo corriente, esto es, una y otra han de reflejar las circunstancias existentes cuando la transacción, suceso o condición haya ocurrido.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En consecuencia, la aplicación retroactiva de una nueva política contable o la corrección de un error de un periodo anterior, exige diferenciar la información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suministra evidencia de las circunstancias existentes en la fecha o fechas en la que la transacción, otro suceso o condición haya ocurrido,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hubiera estado disponible cuando los estados financieros de los periodos anteriores fueron formulados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 otro tipo de información. Para algunos tipos de estimaciones (por ejemplo una medición del valor razonable que utiliza datos de entrada no observables significativos), es impracticable distinguir estos tipos de información. Cuando la aplicación o la reexpresión retroactivas exijan efectuar estimaciones significativas, para las que sea imposible distinguir aquellos dos tipos de información, resultará impracticable aplicar la nueva política contable o corregir el error del periodo previo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53 Cuando se esté aplicando una nueva política contable o se corrijan importes de un periodo anterior, no debe utilizarse la retrospectiva, ya consista en suposiciones acerca de las intenciones de la gerencia en un periodo previo o en estimaciones de los importes que se hubieran reconocido, medido o revelado en tal periodo anterior. Por ejemplo, cuando una entidad corrija un error de un periodo anterior en el cálculo de sus pasivos acumulados por ausencias retribuidas en caso de enfermedad de acuerdo con la NIC 19 </w:t>
      </w:r>
      <w:r w:rsidRPr="00401DFF">
        <w:rPr>
          <w:rFonts w:ascii="Times New Roman" w:eastAsia="Times New Roman" w:hAnsi="Times New Roman" w:cs="Times New Roman"/>
          <w:i/>
          <w:iCs/>
          <w:sz w:val="24"/>
          <w:szCs w:val="24"/>
          <w:lang w:eastAsia="es-CO"/>
        </w:rPr>
        <w:t xml:space="preserve">Beneficios a los Empleados, </w:t>
      </w:r>
      <w:r w:rsidRPr="00401DFF">
        <w:rPr>
          <w:rFonts w:ascii="Times New Roman" w:eastAsia="Times New Roman" w:hAnsi="Times New Roman" w:cs="Times New Roman"/>
          <w:sz w:val="24"/>
          <w:szCs w:val="24"/>
          <w:lang w:eastAsia="es-CO"/>
        </w:rPr>
        <w:t>ignorará la información sobre una severa epidemia de gripe estacional que haya aparecido en el siguiente periodo, si este dato ha estado disponible después de que los estados financieros para el periodo anterior fueran autorizados para su emisión. El hecho de que frecuentemente se exija efectuar estimaciones significativas cuando se modifica la información comparativa presentada para periodos anteriores, no impide ajustar o corregir dicha 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54B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 modificó el párrafo 53 y eliminó el párrafo 54A.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54C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modificó el párrafo 52.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Esta Norma sustituye a la NIC 8 </w:t>
      </w:r>
      <w:r w:rsidRPr="00401DFF">
        <w:rPr>
          <w:rFonts w:ascii="Times New Roman" w:eastAsia="Times New Roman" w:hAnsi="Times New Roman" w:cs="Times New Roman"/>
          <w:i/>
          <w:iCs/>
          <w:sz w:val="24"/>
          <w:szCs w:val="24"/>
          <w:lang w:eastAsia="es-CO"/>
        </w:rPr>
        <w:t>Ganancia o Pérdida Neta del Periodo, Errores Fundamentales y Cambios en las Políticas Contables,</w:t>
      </w:r>
      <w:r w:rsidRPr="00401DFF">
        <w:rPr>
          <w:rFonts w:ascii="Times New Roman" w:eastAsia="Times New Roman" w:hAnsi="Times New Roman" w:cs="Times New Roman"/>
          <w:sz w:val="24"/>
          <w:szCs w:val="24"/>
          <w:lang w:eastAsia="es-CO"/>
        </w:rPr>
        <w:t xml:space="preserve"> revisada en 1993.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Esta Norma sustituye a las siguientes Interpretaciones: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SIC-2 </w:t>
      </w:r>
      <w:r w:rsidRPr="00401DFF">
        <w:rPr>
          <w:rFonts w:ascii="Times New Roman" w:eastAsia="Times New Roman" w:hAnsi="Times New Roman" w:cs="Times New Roman"/>
          <w:i/>
          <w:iCs/>
          <w:sz w:val="24"/>
          <w:szCs w:val="24"/>
          <w:lang w:eastAsia="es-CO"/>
        </w:rPr>
        <w:t>Uniformidad</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 xml:space="preserve">Capitalización de los Costos por Préstamos; </w:t>
      </w:r>
      <w:r w:rsidRPr="00401DFF">
        <w:rPr>
          <w:rFonts w:ascii="Times New Roman" w:eastAsia="Times New Roman" w:hAnsi="Times New Roman" w:cs="Times New Roman"/>
          <w:sz w:val="24"/>
          <w:szCs w:val="24"/>
          <w:lang w:eastAsia="es-CO"/>
        </w:rPr>
        <w:t>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SIC-18 </w:t>
      </w:r>
      <w:r w:rsidRPr="00401DFF">
        <w:rPr>
          <w:rFonts w:ascii="Times New Roman" w:eastAsia="Times New Roman" w:hAnsi="Times New Roman" w:cs="Times New Roman"/>
          <w:i/>
          <w:iCs/>
          <w:sz w:val="24"/>
          <w:szCs w:val="24"/>
          <w:lang w:eastAsia="es-CO"/>
        </w:rPr>
        <w:t>Uniformidad</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Métodos Alternativos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Definición de las NIIF modificada después de los cambios de nombre introducidos mediante la Constitución revisada de la Fundación IFRS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del IASC se adoptó por el IASB en 2001.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 xml:space="preserve">. El párrafo 25 fue derogado por el Capítulo 3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En septiembre de 2010 el IASB sustituyó el Marco Conceptual por el Marco Conceptual para la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Hechos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cuándo una entidad debería ajustar sus estados financieros por hechos ocurridos después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información a revelar que una entidad debería efectuar respecto a la fecha en que los estados financieros fueron autorizados para su publicación, así como respecto a los hechos ocurridos después del periodo sobre el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La Norma requiere también que una entidad no debería elaborar sus estados financieros bajo la hipótesis de negocio en marcha, si los hechos ocurridos después del periodo sobre el que informa indican que dicha hipótesis no resulta apropiada.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será aplicable en la contabilización y en la información a revelar correspondiente a los hechos ocurridos después del periodo sobre el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hechos ocurridos después del periodo sobre el que informa</w:t>
      </w:r>
      <w:r w:rsidRPr="00401DFF">
        <w:rPr>
          <w:rFonts w:ascii="Times New Roman" w:eastAsia="Times New Roman" w:hAnsi="Times New Roman" w:cs="Times New Roman"/>
          <w:b/>
          <w:bCs/>
          <w:sz w:val="24"/>
          <w:szCs w:val="24"/>
          <w:lang w:eastAsia="es-CO"/>
        </w:rPr>
        <w:t xml:space="preserve"> son todos aquellos eventos, ya sean favorables o desfavorables, que se han producido entre el final del periodo sobre el que informa y la fecha de autorización de los estados financieros para su publicación. Pueden identificarse dos tipos de eventos: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aquellos que proporcionan evidencia de las condiciones que existían al final del periodo sobre el que informa (hechos ocurridos después del periodo sobre el que se informa que implican ajuste)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aquéllos que indican condiciones que surgieron después del periodo sobre el que se informa </w:t>
      </w:r>
      <w:r w:rsidRPr="00401DFF">
        <w:rPr>
          <w:rFonts w:ascii="Times New Roman" w:eastAsia="Times New Roman" w:hAnsi="Times New Roman" w:cs="Times New Roman"/>
          <w:b/>
          <w:bCs/>
          <w:i/>
          <w:iCs/>
          <w:sz w:val="24"/>
          <w:szCs w:val="24"/>
          <w:lang w:eastAsia="es-CO"/>
        </w:rPr>
        <w:t>(hechos ocurridos después del periodo sobre el que se informa que no implican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El proceso seguido para la formulación o autorización con vistas a su divulgación, de los estados financieros, variará dependiendo de la estructura organizativa de la entidad, de los requerimientos legales y estatutarios y de los procedimientos seguidos para la elaboración y finalización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En algunos casos, la entidad está obligada a presentar sus estados financieros a sus propietarios para que éstos los aprueben antes de que se emitan. En estos casos, los estados financieros se consideran autorizados para su publicación en la fecha de su emisión y no en la fecha en que los propietarios los aprueben.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9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gerencia de una entidad completa el día 28 de febrero de 20X2 el borrador de estados financieros para el periodo que termina el 31 de diciembre de 20X1. El consejo de administración u órgano de gobierno equivalente revisa estos estados financieros el 18 de marzo de 20X2, autorizando su publicación. La entidad procede a anunciar el resultado del periodo, junto con otra información financiera seleccionada, el 19 de marzo de 20X2. Los estados financieros quedan a disposición de los propietarios y otros interesados el día 1 de abril de 20X2. La junta anual de propietarios aprueba los anteriores estados financieros el 15 de mayo de 20X2, y se procede a registrarlos en el órgano competente el día 17 de mayo </w:t>
            </w:r>
            <w:r w:rsidRPr="00401DFF">
              <w:rPr>
                <w:rFonts w:ascii="Times New Roman" w:eastAsia="Times New Roman" w:hAnsi="Times New Roman" w:cs="Times New Roman"/>
                <w:sz w:val="24"/>
                <w:szCs w:val="24"/>
                <w:lang w:eastAsia="es-CO"/>
              </w:rPr>
              <w:lastRenderedPageBreak/>
              <w:t xml:space="preserve">de 20X2. </w:t>
            </w:r>
            <w:r w:rsidRPr="00401DFF">
              <w:rPr>
                <w:rFonts w:ascii="Times New Roman" w:eastAsia="Times New Roman" w:hAnsi="Times New Roman" w:cs="Times New Roman"/>
                <w:i/>
                <w:iCs/>
                <w:sz w:val="24"/>
                <w:szCs w:val="24"/>
                <w:lang w:eastAsia="es-CO"/>
              </w:rPr>
              <w:t xml:space="preserve">Los estados financieros se autorizaron para su publicación el 18 de marzo de 20X2 (fecha en que el consejo de administración autorizó su divulgación).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En algunos casos, la gerencia de la entidad está obligada a presentar sus estados financieros a un consejo de supervisión dentro de la misma (compuesto únicamente por miembros no ejecutivos) para que proceda a su aprobación. En esos casos, los estados financieros quedan autorizados para su publicación cuando la gerencia los autoriza para su presentación al consejo de supervisión.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25"/>
      </w:tblGrid>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18 de marzo de 20X2, la gerencia de una entidad autoriza los estados financieros para que sean presentados a su consejo de supervisión. Este consejo supervisor está compuesto exclusivamente por miembros no ejecutivos, si bien puede incluir representantes de empleados y otros partícipes externos. El consejo de supervisión aprueba los estados financieros el 26 de marzo de 20X2. Los estados financieros quedan a disposición de los propietarios y otros interesados el día 1 de abril de 20X2. Los accionistas aprueban los anteriores estados financieros el 15 de mayo de 20X2 y éstos se registran en el órgano competente el 17 de mayo de 20X2. </w:t>
            </w:r>
            <w:r w:rsidRPr="00401DFF">
              <w:rPr>
                <w:rFonts w:ascii="Times New Roman" w:eastAsia="Times New Roman" w:hAnsi="Times New Roman" w:cs="Times New Roman"/>
                <w:i/>
                <w:iCs/>
                <w:sz w:val="24"/>
                <w:szCs w:val="24"/>
                <w:lang w:eastAsia="es-CO"/>
              </w:rPr>
              <w:t xml:space="preserve">Los estados financieros se autorizaron para su publicación el 18 de marzo de 20X2 (fecha de la autorización de la gerencia para su presentación al consejo de supervisión).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En los hechos ocurridos después del periodo sobre el que se informa se incluirán todos los eventos hasta la fecha en que los estados financieros queden autorizados para su publicación, aunque dichos eventos se produzcan después del anuncio público del resultado o de otra información financiera específica.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Hechos ocurridos después del periodo sobre el que se informa que implican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Una entidad ajustará los importes reconocidos en sus estados financieros, para reflejar la incidencia de los hechos ocurridos después del periodo sobre el que se informa que impliquen ajustes.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Los siguientes son ejemplos de hechos ocurridos después del periodo sobre el que se informa que implican ajuste, que requieren que una entidad ajuste los importes reconocidos en sus estados financieros, o bien que reconozca partidas no reconocidas con anterioridad: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 resolución de un litigio judicial, posterior al periodo sobre el que se informa, que confirma que la entidad tenía una obligación presente al final del periodo sobre el que se informa. La entidad ajustará el importe de cualquier provisión reconocida previamente respecto a ese litigio judicial,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o bien reconocerá una nueva provisión. La entidad no se limitará a revelar una obligación contingente, puesto que la resolución del litigio proporciona evidencia adicional que ha de tenerse en cuenta, de acuerdo con el párrafo 16 de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recepción de información, después del periodo sobre el que se informa, que indique el deterioro del valor de un activo al final del periodo sobre el que se informa, o de que el importe de un deterioro de valor anteriormente reconocido para ese activo necesita ajustarse.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situación de quiebra de un cliente, ocurrida después del periodo sobre el que se informa, generalmente confirma que al final del periodo sobre el que se informa existía una pérdida sobre la cuenta comercial por cobrar, y que la entidad necesita ajustar el importe en libros de dicha cuenta;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venta de inventarios después periodo sobre el que se informa puede proporcionar evidencia sobre su valor neto realizable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determinación, después del periodo sobre el que se informa, del costo de activos adquiridos o del importe de ingresos por activos vendidos antes del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La determinación, después del periodo sobre el que se informa del importe de la participación en las ganancias netas o de los pagos por incentivos, si al final del periodo sobre el que se informa la entidad tiene la obligación, ya sea de carácter legal o implícita, de efectuar estos pagos, como resultado de hechos anteriores a esa fecha (véase la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descubrimiento de fraudes o errores que demuestren que los estados financieros eran incorrectos.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Hechos ocurridos después del periodo sobre el que se informa que no implican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Una entidad no ajustará los importes reconocidos en sus estados financieros, para reflejar hechos ocurridos después del periodo sobre el que se informa que no impliquen ajustes.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Un ejemplo de hecho ocurrido después del periodo sobre el que se informa que no implica ajuste, es la reducción en el valor de mercado de las inversiones, ocurrida entre el final del periodo sobre el que se informa y la fecha de autorización de los estados financieros para su publicación. La caída del valor razonable no está, normalmente, relacionada con las condiciones de las inversiones al final del periodo sobre el que se informa sino que refleja circunstancias acaecidas en el periodo siguiente. Por tanto, la entidad no ajustará los importes previamente reconocidos en sus estados financieros para estas inversiones. De forma similar, la entidad no actualizará los importes revelados sobre las inversiones hasta el final del periodo sobre el que se informa, aunque pudiera ser necesario revelar información adicional en función de lo establecido en 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12 Si, después del periodo sobre el que se informa, una entidad acuerda distribuir dividendos a los poseedores de instrumentos de patrimonio (según se han definido en la NIC 32 </w:t>
      </w:r>
      <w:r w:rsidRPr="00401DFF">
        <w:rPr>
          <w:rFonts w:ascii="Times New Roman" w:eastAsia="Times New Roman" w:hAnsi="Times New Roman" w:cs="Times New Roman"/>
          <w:b/>
          <w:bCs/>
          <w:i/>
          <w:iCs/>
          <w:sz w:val="24"/>
          <w:szCs w:val="24"/>
          <w:lang w:eastAsia="es-CO"/>
        </w:rPr>
        <w:t>Instrumentos Financieros: Presentación),</w:t>
      </w:r>
      <w:r w:rsidRPr="00401DFF">
        <w:rPr>
          <w:rFonts w:ascii="Times New Roman" w:eastAsia="Times New Roman" w:hAnsi="Times New Roman" w:cs="Times New Roman"/>
          <w:b/>
          <w:bCs/>
          <w:sz w:val="24"/>
          <w:szCs w:val="24"/>
          <w:lang w:eastAsia="es-CO"/>
        </w:rPr>
        <w:t xml:space="preserve"> no reconocerá esos dividendos como un pasivo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Si se acordase la distribución de dividendos después del periodo sobre el que se informa, pero antes de que los estados financieros sean autorizados para su emisión, los dividendos no se reconocerán como un pasivo al final del periodo sobre el que se informa, porque no existe obligación en ese momento. Estos dividendos se revelarán en las notas a los estados financieros, de acuerdo con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Hipótesis de negocio en marcha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Una entidad no elaborará sus estados financieros sobre la hipótesis de negocio en marcha si la gerencia determina, después del periodo sobre el que se informa, tiene la intención de liquidar la entidad o cesar en sus actividades, o bien que no existe otra alternativa más realista que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El deterioro de los resultados de operación y de la situación financiera de la entidad, después del periodo sobre el que se informa, puede indicar la necesidad de considerar si la hipótesis de negocio en marcha resulta todavía apropiada. Si no lo fuera, el efecto de este hecho es tan decisivo que la Norma exige un cambio fundamental en la base de contabilización, y no simplemente un ajuste en los importes que se hayan reconocido utilizando la base de contabilización original.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exige la revelación de información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estados financieros no se han elaborado sobre la hipótesis de negocio en marcha;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gerencia es consciente de la existencia de incertidumbres importantes, relacionadas con eventos o condiciones que puedan suscitar dudas significativas sobre la capacidad de la entidad para continuar como un negocio en marcha. Estos eventos o circunstancias que exigen revelar información, pueden aparecer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autorización para la publicación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17 La entidad revelará la fecha en que los estados financieros han sido autorizados para su publicación, así como quién ha dado esta autorización. En el caso de que los propietarios de la entidad u otros tengan poder para modificar los estados financieros tras la publicación, la entidad revelará también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Es importante para los usuarios saber en qué momento los estados financieros han sido autorizados para su publicación, puesto que no reflejarán eventos que hayan ocurrido después de esta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Actualización de la información a revelar sobre condiciones existentes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Si, después del periodo sobre el que se informa, una entidad recibiese información acerca de condiciones que existían al final del periodo sobre el que se informa, actualizará la información a revelar relacionada con esas en función de la información recibida.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En algunos casos, una entidad necesita actualizar la información a revelar en sus estados financieros para reflejar la información recibida después del periodo sobre el que se informa, incluso cuando dicha información no afecte a los importes que la entidad haya reconocido en los estados financieros. Un ejemplo de esta necesidad de actualizar la información a revelar ocurre cuando, después del periodo sobre el que se informa, se tenga evidencia acerca de un pasivo contingente que ya existía al final del periodo sobre el que se informa. Aparte de considerar si, con la nueva información, la entidad ha de reconocer o modificar una provisión con arreglo a lo establecido en la NIC 37</w:t>
      </w:r>
      <w:r w:rsidRPr="00401DFF">
        <w:rPr>
          <w:rFonts w:ascii="Times New Roman" w:eastAsia="Times New Roman" w:hAnsi="Times New Roman" w:cs="Times New Roman"/>
          <w:i/>
          <w:iCs/>
          <w:sz w:val="24"/>
          <w:szCs w:val="24"/>
          <w:lang w:eastAsia="es-CO"/>
        </w:rPr>
        <w:t>,</w:t>
      </w:r>
      <w:r w:rsidRPr="00401DFF">
        <w:rPr>
          <w:rFonts w:ascii="Times New Roman" w:eastAsia="Times New Roman" w:hAnsi="Times New Roman" w:cs="Times New Roman"/>
          <w:sz w:val="24"/>
          <w:szCs w:val="24"/>
          <w:lang w:eastAsia="es-CO"/>
        </w:rPr>
        <w:t xml:space="preserve"> en función de la nueva evidencia, la entidad procederá a actualizar la información revelada acerca del pasivo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Hechos ocurridos después del periodo sobre el que se informa que no implican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21 Si hechos ocurridos después del periodo sobre el que se informa que no implican ajuste son materiales, no revelar esta información puede influir en las decisiones económicas que los usuarios puedan tomar sobre la base de los estados financieros. Por consiguiente, una entidad revelará la siguiente información sobre cada categoría significativa de hechos ocurridos después del periodo sobre el que se informa que no implican ajuste: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del evento;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estimación de sus efectos financieros, o un pronunciamiento sobre la imposibilidad de realizar tal estimación.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Los siguientes son ejemplos de hechos ocurridos después del periodo sobre el que se informa que no implican ajuste, que por lo general daría lugar a revelar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una combinación de negocios importante, que haya tenido lugar después del periodo sobre el que se informa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requiere revelar información específica en tales casos), o bien la disposición de una subsidiaria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anuncio de un plan para discontinuar definitivamente una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las compras de activos significativas, la clasificación de activos como mantenidos para la venta de acuerdo con la NIIF 5 </w:t>
      </w:r>
      <w:r w:rsidRPr="00401DFF">
        <w:rPr>
          <w:rFonts w:ascii="Times New Roman" w:eastAsia="Times New Roman" w:hAnsi="Times New Roman" w:cs="Times New Roman"/>
          <w:i/>
          <w:iCs/>
          <w:sz w:val="24"/>
          <w:szCs w:val="24"/>
          <w:lang w:eastAsia="es-CO"/>
        </w:rPr>
        <w:t xml:space="preserve">Activos no Corrientes Mantenidos para la Venta y </w:t>
      </w:r>
      <w:r w:rsidRPr="00401DFF">
        <w:rPr>
          <w:rFonts w:ascii="Times New Roman" w:eastAsia="Times New Roman" w:hAnsi="Times New Roman" w:cs="Times New Roman"/>
          <w:i/>
          <w:iCs/>
          <w:sz w:val="24"/>
          <w:szCs w:val="24"/>
          <w:lang w:eastAsia="es-CO"/>
        </w:rPr>
        <w:lastRenderedPageBreak/>
        <w:t>Operaciones Discontinuadas,</w:t>
      </w:r>
      <w:r w:rsidRPr="00401DFF">
        <w:rPr>
          <w:rFonts w:ascii="Times New Roman" w:eastAsia="Times New Roman" w:hAnsi="Times New Roman" w:cs="Times New Roman"/>
          <w:sz w:val="24"/>
          <w:szCs w:val="24"/>
          <w:lang w:eastAsia="es-CO"/>
        </w:rPr>
        <w:t xml:space="preserve"> otras disposiciones de activos, o bien la expropiación de activos significativos por parte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destrucción por incendio de una planta importante de producción,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anuncio, o el comienzo de la ejecución de una reestructuración importante (véase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transacciones importantes realizadas o potenciales con acciones ordinarias, después del periodo sobre el que se informa (la NIC 33 </w:t>
      </w:r>
      <w:r w:rsidRPr="00401DFF">
        <w:rPr>
          <w:rFonts w:ascii="Times New Roman" w:eastAsia="Times New Roman" w:hAnsi="Times New Roman" w:cs="Times New Roman"/>
          <w:i/>
          <w:iCs/>
          <w:sz w:val="24"/>
          <w:szCs w:val="24"/>
          <w:lang w:eastAsia="es-CO"/>
        </w:rPr>
        <w:t>Ganancias por Acción</w:t>
      </w:r>
      <w:r w:rsidRPr="00401DFF">
        <w:rPr>
          <w:rFonts w:ascii="Times New Roman" w:eastAsia="Times New Roman" w:hAnsi="Times New Roman" w:cs="Times New Roman"/>
          <w:sz w:val="24"/>
          <w:szCs w:val="24"/>
          <w:lang w:eastAsia="es-CO"/>
        </w:rPr>
        <w:t>, requiere que una entidad describa estas transacciones, aparte de las emisiones de capital o bonos y de los desdoblamientos o agrupaciones de acciones, todas las cuales obligan a realizar ajustes según la NIC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las variaciones anormalmente grandes, después del periodo sobre el que se informa, en los precios de los activos o en las tasas de cambio de alguna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(h) las variaciones en las tasas impositivas o en las leyes fiscales, aprobadas o anunciadas después del periodo sobre el que se informa, que tengan o vayan a tener un efecto significativo en los activos y pasivos por impuestos corrientes o diferidos (véase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aceptación de compromisos o pasivos contingentes de cierta importancia, por ejemplo, al otorgar garantías por importe significativo;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el inicio de litigios importantes, surgidos exclusivamente como consecuencia de eventos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23A La NIIF 13, emitida en mayo de 2011, modificó el párrafo 11.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10 (revisada en 1999)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Esta Norma deroga la NIC 10 </w:t>
      </w:r>
      <w:r w:rsidRPr="00401DFF">
        <w:rPr>
          <w:rFonts w:ascii="Times New Roman" w:eastAsia="Times New Roman" w:hAnsi="Times New Roman" w:cs="Times New Roman"/>
          <w:i/>
          <w:iCs/>
          <w:sz w:val="24"/>
          <w:szCs w:val="24"/>
          <w:lang w:eastAsia="es-CO"/>
        </w:rPr>
        <w:t>Hechos Ocurridos después de la Fecha del Balance,</w:t>
      </w:r>
      <w:r w:rsidRPr="00401DFF">
        <w:rPr>
          <w:rFonts w:ascii="Times New Roman" w:eastAsia="Times New Roman" w:hAnsi="Times New Roman" w:cs="Times New Roman"/>
          <w:sz w:val="24"/>
          <w:szCs w:val="24"/>
          <w:lang w:eastAsia="es-CO"/>
        </w:rPr>
        <w:t xml:space="preserve"> (revisada en 1999).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objetivo de esta Norma es prescribir el tratamiento contable de los ingresos de actividades ordinarias y los costos relacionados con los contratos de construcción. Debido a la naturaleza propia de la actividad llevada a cabo en los contratos de construcción, la fecha en que la actividad del contrato comienza y la fecha en la que termina el mismo caen, normalmente, en diferentes periodos contables, Por tanto, la cuestión fundamental al contabilizar los contratos de construcción es la distribución de los ingresos de actividades ordinarias y los costos que cada uno de ellos genere, entre los periodos contables a lo largo de los cuales se ejecuta. Esta Norma utiliza los criterios de reconocimiento establecidos en el </w:t>
      </w:r>
      <w:r w:rsidRPr="00401DFF">
        <w:rPr>
          <w:rFonts w:ascii="Times New Roman" w:eastAsia="Times New Roman" w:hAnsi="Times New Roman" w:cs="Times New Roman"/>
          <w:i/>
          <w:iCs/>
          <w:sz w:val="24"/>
          <w:szCs w:val="24"/>
          <w:lang w:eastAsia="es-CO"/>
        </w:rPr>
        <w:t>Marco Conceptual para la Preparación y Presentación de los Estados Financieros</w:t>
      </w:r>
      <w:hyperlink r:id="rId19" w:anchor="bf14e748bc6751c461aad913860e152f178nf9" w:tgtFrame="_self" w:history="1">
        <w:r w:rsidRPr="00401DFF">
          <w:rPr>
            <w:rFonts w:ascii="Times New Roman" w:eastAsia="Times New Roman" w:hAnsi="Times New Roman" w:cs="Times New Roman"/>
            <w:color w:val="0000FF"/>
            <w:sz w:val="20"/>
            <w:szCs w:val="20"/>
            <w:u w:val="single"/>
            <w:vertAlign w:val="superscript"/>
            <w:lang w:eastAsia="es-CO"/>
          </w:rPr>
          <w:t>(14)</w:t>
        </w:r>
      </w:hyperlink>
      <w:r w:rsidRPr="00401DFF">
        <w:rPr>
          <w:rFonts w:ascii="Times New Roman" w:eastAsia="Times New Roman" w:hAnsi="Times New Roman" w:cs="Times New Roman"/>
          <w:sz w:val="24"/>
          <w:szCs w:val="24"/>
          <w:lang w:eastAsia="es-CO"/>
        </w:rPr>
        <w:t>, con el fin de determinar cuándo se reconocen, los ingresos de actividades ordinarias y costos de los contratos como ingresos de actividades ordinarias y gastos en el estado del resultado integral. También suministra una guía práctica sobre la aplicación de tales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debe ser aplicada para la contabilización de los contratos de construcción, en los estados financieros de los contratistas.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La presente norma sustituye a la NIC 11 </w:t>
      </w:r>
      <w:r w:rsidRPr="00401DFF">
        <w:rPr>
          <w:rFonts w:ascii="Times New Roman" w:eastAsia="Times New Roman" w:hAnsi="Times New Roman" w:cs="Times New Roman"/>
          <w:i/>
          <w:iCs/>
          <w:sz w:val="24"/>
          <w:szCs w:val="24"/>
          <w:lang w:eastAsia="es-CO"/>
        </w:rPr>
        <w:t>Contabilización de los Contratos de Construcción,</w:t>
      </w:r>
      <w:r w:rsidRPr="00401DFF">
        <w:rPr>
          <w:rFonts w:ascii="Times New Roman" w:eastAsia="Times New Roman" w:hAnsi="Times New Roman" w:cs="Times New Roman"/>
          <w:sz w:val="24"/>
          <w:szCs w:val="24"/>
          <w:lang w:eastAsia="es-CO"/>
        </w:rPr>
        <w:t xml:space="preserve"> aprobada en 1978.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contrato de construcción</w:t>
      </w:r>
      <w:r w:rsidRPr="00401DFF">
        <w:rPr>
          <w:rFonts w:ascii="Times New Roman" w:eastAsia="Times New Roman" w:hAnsi="Times New Roman" w:cs="Times New Roman"/>
          <w:b/>
          <w:bCs/>
          <w:sz w:val="24"/>
          <w:szCs w:val="24"/>
          <w:lang w:eastAsia="es-CO"/>
        </w:rPr>
        <w:t xml:space="preserve"> es un contrato, específicamente negociado, para la fabricación de un activo o un conjunto de activos, que están íntimamente relacionados entre sí o son interdependientes en términos de su diseño, tecnología y función, o bien en relación con su último destino o utilización.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contrato de precio fijo </w:t>
      </w:r>
      <w:r w:rsidRPr="00401DFF">
        <w:rPr>
          <w:rFonts w:ascii="Times New Roman" w:eastAsia="Times New Roman" w:hAnsi="Times New Roman" w:cs="Times New Roman"/>
          <w:b/>
          <w:bCs/>
          <w:sz w:val="24"/>
          <w:szCs w:val="24"/>
          <w:lang w:eastAsia="es-CO"/>
        </w:rPr>
        <w:t>es un contrato de construcción en el que el contratista acuerda un precio fijo, o una cantidad fija por unidad de producto, y en algunos casos tales precios están sujetos a cláusulas de revisión si aumentan los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contrato de margen sobre el costo</w:t>
      </w:r>
      <w:r w:rsidRPr="00401DFF">
        <w:rPr>
          <w:rFonts w:ascii="Times New Roman" w:eastAsia="Times New Roman" w:hAnsi="Times New Roman" w:cs="Times New Roman"/>
          <w:b/>
          <w:bCs/>
          <w:sz w:val="24"/>
          <w:szCs w:val="24"/>
          <w:lang w:eastAsia="es-CO"/>
        </w:rPr>
        <w:t xml:space="preserve"> es un contrato de construcción en el que se reembolsan al contratista los costos satisfechos por él y definidos previamente en el contrato, más un porcentaje de esos costos o una cantidad fija.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Un contrato de construcción puede acordarse para la fabricación de un solo activo, tal como un puente, un edificio, un dique, un oleoducto, una carretera, un barco o un túnel. Un contrato de construcción puede, asimismo, referirse a la construcción de varios activos que estén íntimamente relacionados entre sí o sean interdependientes en términos de su diseño, </w:t>
      </w:r>
      <w:r w:rsidRPr="00401DFF">
        <w:rPr>
          <w:rFonts w:ascii="Times New Roman" w:eastAsia="Times New Roman" w:hAnsi="Times New Roman" w:cs="Times New Roman"/>
          <w:sz w:val="24"/>
          <w:szCs w:val="24"/>
          <w:lang w:eastAsia="es-CO"/>
        </w:rPr>
        <w:lastRenderedPageBreak/>
        <w:t>tecnología y función, o bien en relación con su último destino o utilización; ejemplos de tales contratos son los de construcción de refinerías u otras instalaciones complejas especializadas.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Para los propósitos de esta Norma, el término contratos de construcción incluye: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contratos de prestación de servicios que estén directamente relacionados con la construcción del activo, por ejemplo, los relativos a servicios de gestión del proyecto y arquitectos, así como;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contratos para la demolición o rehabilitación de activos, y la restauración del entorno que puede seguir a la demolición de algunos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Las fórmulas que se utilizan en los contratos de construcción son variadas, pero para los propósitos de esta Norma se clasifican en contratos de precio fijo y contratos de margen sobre el costo. Algunos contratos de construcción pueden contener características de una y otra modalidad, por ejemplo en el caso de un contrato de margen sobre el costo con un precio máximo concertado. En tales circunstancias, el contratista necesita considerar todas las condiciones expuestas en los párrafos 23 y 24, para determinar cómo y cuándo reconocer los ingresos de actividades ordinarias y los gastos correspondientes al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Agrupación y segmentación de los 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Los requisitos contables de esta Norma se aplican, generalmente, por separado para cada contrato de construcción. No obstante, en ciertas circunstancias y a fin de reflejar mejor la esencia económica de la operación, es necesario aplicar la Norma independientemente a los componentes identificables de un contrato único, o juntar un grupo de contratos a efectos de su tratamiento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Si un contrato cubre varios activos, la construcción de cada uno de ellos debe tratarse como un elemento separado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 han presentado propuestas económicas diferentes para cada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cada activo ha estado sujeto a negociación separada, y el constructor y el cliente han tenido la posibilidad de aceptar o rechazar la parte del contrato relativa a cada uno de los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pueden identificarse los ingresos de actividades ordinarias y los costos de cada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Un grupo de contratos, con uno o más clientes, debe ser tratado como un único contrato de construcción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grupo de contratos se negocia como un único paquete;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los contratos están tan íntimamente relacionados que son, efectivamente, parte de un único proyecto con un margen de beneficios global;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contratos se ejecutan simultáneamente, o bien en una secuencia continua.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Un contrato puede contemplar, a voluntad del cliente, la construcción de un activo adicional a lo pactado originalmente, o puede ser modificado para incluir la construcción de tal activo. La construcción de este activo adicional debe tratarse como un contrato separado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activo difiere significativamente en términos de diseño, tecnología o función del activo o activos cubiertos por el contrato original;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precio del activo se negocia sin tener como referencia el precio fijado en el contrato original.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Ingresos de actividades ordinarias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Los ingresos de actividades ordinarias del contrato deben comprender: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inicial del ingreso de actividades ordinarias acordado en 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modificaciones en el trabajo contratado, así como reclamaciones o 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en la medida que sea probable que de los mismos resulte un ingreso de actividades ordinarias;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sean susceptibles de medición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Los ingresos de actividades ordinarias del contrato se miden por el valor razonable de la contraprestación recibida o por recibir. La medición de los ingresos de actividades ordinarias procedentes del contrato estará afectada por diversas incertidumbres, que dependen del desenlace de hechos futuros. Las estimaciones necesitan, a menudo, ser revisadas a medida que tales hechos ocurren o se resuelven las incertidumbres. Por tanto, la cuantía de los ingresos de actividades ordinarias del contrato puede aumentar o disminuir de un periodo a otro.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contratista y el cliente pueden acordar modificaciones o reclamaciones, que aumenten o disminuyan los ingresos de actividades ordinarias del contrato, en un periodo posterior a aquél en que el contrato fue inicialmente pactado;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 ingresos de actividades ordinarias acordado en un contrato de precio fijo puede aumentar como resultado de las cláusulas de revisión de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la cuantía de los ingresos de actividades ordinarias procedentes de un contrato puede disminuir a consecuencia de las penalizaciones por demoras, causadas por el contratista, en la terminación de la obra;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un contrato de precio fijo supone una cantidad constante por unidad de obra, los ingresos de actividades ordinarias del contrato aumentan si el número de unidades de obra se modifica al alza.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modificación es una instrucción del cliente para cambiar el alcance del trabajo que se va a ejecutar bajo las condiciones del contrato. Una modificación puede llevar a aumentar o disminuir los ingresos procedentes del contrato. Ejemplos de modificaciones son los cambios en la especificación o diseño del activo, así como los cambios en la duración del contrato. La modificación se incluye en los ingresos de actividades ordinarias del contrato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 probable que el cliente apruebe el plan modificado, así como la cuantía de los ingresos de actividades ordinarias que surgen de la modificación;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cuantía, que la modificación supone, puede ser medida con suficiente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reclamación es una cantidad que el contratista espera cobrar del cliente, o de un tercero, como reembolso de costos no incluidos en el precio del contrato. La reclamación puede, por ejemplo, surgir por causa de que el cliente haya causado demoras, errores en las especificaciones o el diseño, o bien por causa de disputas referentes al trabajo incluido en el contrato. La medición de las cantidades de ingresos de actividades ordinarias, que surgen de las reclamaciones, está sujeta a un alto nivel de incertidumbre y, frecuentemente, depende del resultado de las pertinentes negociaciones. Por tanto, las reclamaciones se incluirán entre los ingresos de actividades ordinarias del contrato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negociaciones han alcanzado un avanzado estado de maduración, de tal manera que es probable que el cliente acepte la reclamación;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que es probable que acepte el cliente puede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Los pagos por incentivos son cantidades adicionales reconocidas al contratista siempre que cumpla o sobrepase determinados niveles de ejecución en el contrato. Por ejemplo, un contrato puede estipular el reconocimiento de un incentivo al contratista si termina la obra en menos plazo del previsto. Los pagos por incentivos se incluirán entre los ingresos de actividades ordinarias procedentes del contrato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contrato está suficientemente avanzado, de manera que es probable que los niveles de ejecución se cumplan o se sobrepasen;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derivado del pago por incentivos puede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16 Los costos del contrato deben comprender: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costos que se relacionen directamente con el contrato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costos que se relacionen con la actividad de contratación en general, y pueden ser imputados al contrato específico;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cualesquiera otros costos que se puedan cargar al cliente, bajo los términos pactados en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Los costos que se relacionan directamente con cada contrato específico incluirán: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de mano de obra en el lugar de la construcción, comprendiendo también la supervisión que allí se lleve a cabo;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costos de los materiales usados en la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depreciación de las propiedades, planta y equipo usados en la ejecución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costos de desplazamiento de los elementos que componen las propiedades, planta y equipo desde y hasta la localización de la obra;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costos de alquiler de las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costos de diseño y asistencia técnica que estén directamente relacionados con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costos estimados de los trabajos de rectificación y garantía, incluyendo los costos esperados de las garantías;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reclamaciones de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anteriores costos pueden disminuirse por cualquier ingreso eventual que no se haya incluido entre los ingresos de actividades ordinarias del contrato, por ejemplo los ingresos por venta de materiales sobrantes o la liquidación de las propiedades, planta y equipo, una vez acabado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Los costos que pueden ser atribuibles a la actividad de contratación en general, y pueden ser imputados a cada contrato específico,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seguros;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costos de diseño y asistencia técnica no relacionados directamente con ningún contrato específico;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costos indirectos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Tales costos se distribuyen utilizando métodos sistemáticos y racionales, que se aplican de manera uniforme a todos los costos que tienen similares características. La distribución se basa en el nivel normal de actividad de construcción. Los costos indirectos de construcción comprenden costos tales como los de preparación y procesamiento de la nómina del personal dedicado a la construcción. Los costos que pueden ser atribuibles a la actividad de contratación en general, y pueden ser imputados a contratos específicos, también incluyen 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Entre los costos que son específicamente atribuibles al cliente, bajo los términos pactados en el contrato de construcción, se pueden encontrar algunos costos generales de administración, así como costos de desarrollo, siempre que el reembolso de los mismos esté especificado en el acuerdo convenido por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Los costos que no puedan ser atribuidos a la actividad de contratación, o no puedan ser distribuidos a los contratos específicos, se excluirán de los costos del contrato de construcción. Entre tales costos a excluir se encuentran: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generales de administración, para los que no se haya especificado ningún tipo de reembolso en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de investigación y desarrollo para los que, en el contrato, no se especifica reembolso alguno;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depreciación que corresponde a infrautilización, porque las propiedades, planta y equipo no han sido utilizados en ningún contrato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Los costos del contrato comprenden todos los costos atribuibles al mismo desde la fecha en que éste se convierte en firme, hasta el final de la ejecución de la obra correspondiente. No obstante, los costos que se relacionan directamente con un contrato, porque se han incurrido en el trámite de negociación del mismo, pueden ser incluidos como parte de los costos del contrato siempre que puedan ser identificados por separado y medidos con fiabilidad, si es probable que el contrato llegue a obtenerse. Cuando los costos, incurridos al obtener un contrato, se reconozcan como un gasto del periodo en que han sido incurridos, no podrán ser ya incluidos en el costo del contrato cuando éste se llegue a obtener, en un periodo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ingresos de actividades ordinarias y gastos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22 Cuando el resultado de un contrato de construcción puede ser estimado con suficiente fiabilidad, los ingresos de actividades ordinarias y los costos asociados con el mismo deben ser reconocidos como ingreso de actividades ordinarias y gastos respectivamente, con referencia al estado de realización de la actividad producida por el contrato al final del periodo sobre el que se informa. Cualquier pérdida esperada </w:t>
      </w:r>
      <w:r w:rsidRPr="00401DFF">
        <w:rPr>
          <w:rFonts w:ascii="Times New Roman" w:eastAsia="Times New Roman" w:hAnsi="Times New Roman" w:cs="Times New Roman"/>
          <w:b/>
          <w:bCs/>
          <w:sz w:val="24"/>
          <w:szCs w:val="24"/>
          <w:lang w:eastAsia="es-CO"/>
        </w:rPr>
        <w:lastRenderedPageBreak/>
        <w:t>por causa del contrato de construcción debe ser reconocida inmediatamente como un gasto, de acuerdo con 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En el caso de contratos a precio fijo, el desenlace del contrato de construcción puede ser estimado con suficiente fiabilidad, siempre que se den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ingresos de actividades ordinarias totales del contrato pueden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 probable que la entidad obtenga los beneficios económicos derivados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tanto los costos que faltan para la terminación del contrato como el grado de realización, al final del periodo sobre el que se informa, pueden ser medidos con fiabilidad;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los costos atribuibles al contrato pueden ser claramente identificados y medidos con fiabilidad, de manera que los costos reales del contrato pueden ser comparados con las estimaciones previas de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En el caso de un contrato de margen sobre el costo, el desenlace del contrato de construcción puede ser estimado con fiabilidad cuando se cumplen todas y cada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 probable que la entidad obtenga los beneficios económicos derivados del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costos atribuibles al contrato, sean o no específicamente reembolsables, pueden ser claramente identificados y medidos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El reconocimiento de ingresos de actividades ordinarias y gastos con referencia al grado de realización del contrato es, a menudo, denominado método del porcentaje de terminación. Bajo este método, los ingresos derivados del contrato se comparan con los costos del mismo incurridos en la consecución del grado de realización en que se encuentre, con lo que se revelará el importe de los ingresos de actividades ordinarias, de los gastos y de las ganancias que pueden ser atribuidas a la porción del contrato ya ejecutado. Este método suministra información útil sobre la evolución de la actividad del contrato y el rendimiento derivado del mismo en cada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Bajo el método del porcentaje de realización, los ingresos de actividades ordinarias del contrato se reconocen como tales, en el resultado del periodo, a lo largo de los periodos contables en los que se lleve a cabo la ejecución del contrato. Los costos del contrato se reconocerán habitualmente como gastos en el resultado del periodo en el que se ejecute el trabajo con el que están relacionados. No obstante, todo exceso esperado de los costos del </w:t>
      </w:r>
      <w:r w:rsidRPr="00401DFF">
        <w:rPr>
          <w:rFonts w:ascii="Times New Roman" w:eastAsia="Times New Roman" w:hAnsi="Times New Roman" w:cs="Times New Roman"/>
          <w:sz w:val="24"/>
          <w:szCs w:val="24"/>
          <w:lang w:eastAsia="es-CO"/>
        </w:rPr>
        <w:lastRenderedPageBreak/>
        <w:t>contrato, sobre los ingresos de actividades ordinarias totales derivados del mismo, se reconocerá como un gasto inmediatamente, de acuerdo con 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El contratista puede haber incurrido en costos que se relacionen con la actividad futura del contrato. Estos costos se registran como activos, siempre que sea probable que los mismos sean recuperables en el futuro. Estos costos representan cantidades debidas por el cliente, y son a menudo clasificados como obra en curso bajo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El desenlace de un contrato de construcción podrá únicamente estimarse con fiabilidad si es probable que la entidad obtenga los beneficios económicos asociados con el mismo. No obstante, cuando surgiese incertidumbre respecto a la cobrabilidad de un importe ya incluido en los ingresos de actividades ordinarias procedentes del contrato, y también reconocido en el resultado del periodo, el importe incobrable o el importe cuya recuperabilidad haya dejado de ser probable, se reconocerá como un gasto, en lugar de ser tratado como un ajuste del importe de los ingresos de actividades ordinarias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Una entidad es, generalmente, capaz de hacer estimaciones fiables tras negociar un contrato en el que se establecen: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derechos de disposición de cada una de las partes contratantes sobre el activo a construir;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contrapartida del intercambio;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forma y plazos de pago.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Normalmente, es también necesario para la entidad disponer de un sistema presupuestario financiero y un sistema de información que sean efectivos. La entidad revisa y, si es necesario, corrige las estimaciones de los ingresos de actividades ordinarias y costos del contrato, a medida que éste se va ejecutando. La necesidad de que tales revisiones se lleven a cabo no indica necesariamente que el desenlace del contrato no pueda estimarse fiablemente.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El grado de realización de un contrato puede determinarse de muchas formas. La entidad utilizará el método que mida con mayor fiabilidad el trabajo ejecutado. Dependiendo de la naturaleza del contrato, los métodos pueden incluir: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proporción de los costos del contrato incurridos en el trabajo ya realizado hasta la fecha, en relación con los costos totales estimados para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 inspección de los trabajos ejecutados;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proporción física del contrato total ejecutada ya.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anticipos y los pagos recibidos del cliente no reflejan, necesariamente, la proporción del trabajo ejecutado.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31 Cuando se determina el grado de realización por referencia a los costos incurridos hasta la fecha, sólo se incluyen los costos del contrato que reflejan el trabajo efectivamente ejecutado hasta dicho momento. Ejemplos de costos del contrato que se excluyen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que se relacionen con la actividad futura derivada del contrato, tales como los costos de materiales que se hayan entregado en la obra o se hayan dejado en sus proximidades para ser usados en la misma, que sin embargo no se han instalado, usado o aplicado todavía en la ejecución, salvo si tales materiales se han fabricado especialmente para 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pagos anticipados a los subcontratistas, por causa de los trabajos que éstos ejecutarán bajo el contrato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Cuando el desenlace de un contrato de construcción no pueda ser estimado con suficiente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ingresos de actividades ordinarias deben ser reconocidos sólo en la medida en que sea probable recuperar los costos incurridos por causa del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costos del contrato deben reconocerse como gastos del periodo en que se incurren.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Cualquier pérdida esperada por causa del contrato de construcción debe ser reconocida inmediatamente como un gasto, de acuerdo con 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A menudo, durante los primeros estadios de ejecución de un contrato, no puede estimarse con suficiente fiabilidad el desenlace final del mismo. No obstante, puede ser probable que la entidad llegue a recuperar los costos incurridos en esta etapa. Por tanto, los ingresos de actividades ordinarias del contrato serán reconocidos sólo en la proporción a los costos incurridos que se esperen recuperar. Cuando el desenlace final del contrato no se pueda estimar con fiabilidad, la entidad se abstendrá de reconocer ganancia alguna. No obstante, incluso cuando el desenlace final no pueda ser conocido con fiabilidad, puede ser probable que los costos totales del contrato vayan a exceder a los ingresos de actividades ordinarias totales. En estos casos, cualquier exceso de los costos totales sobre los ingresos de actividades ordinarias totales del contrato, se llevará inmediatamente como un gasto, de acuerdo con 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Los costos del contrato que no sean de probable recuperación, se reconocerán como un gasto inmediatamente. Ejemplos de circunstancias en las que la recuperabilidad de los costos del contrato incurridos puede no ser probable y en los que los costos del contrato pueden requerir reconocerse de inmediato como un gasto, se dan en aquellos contratos donde: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se puede forzar plenamente su cumplimiento, esto es, que su validez está seriamente cuestionada;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terminación está sujeta al desenlace de una sentencia o un acto legislativo 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están implicadas propiedades que serán probablemente anulados o expropiados;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cliente es incapaz de asumir sus obligaciones;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contratista es incapaz de cumplir el contrato, o las obligaciones que se derivan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Cuando desaparezcan las incertidumbres, que impedían estimar con fiabilidad el desenlace del contrato, los ingresos de actividades ordinarias y los gastos asociados con el contrato de construcción se reconocerán de acuerdo con el párrafo 22, en lugar de hacerlo según lo establecido en el párrafo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las pérdidas esperadas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Cuando sea probable que los costos totales del contrato vayan a exceder de los ingresos de actividades ordinarias totales derivados del mismo, las pérdidas esperadas deben reconocerse inmediatamente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cuantía de tales pérdidas se determina con independencia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los trabajos del contrato han comenzado o 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grado de realización de la actividad del contrato;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cantidad de ganancias que se espera obtener en otros contratos, siempre que aquéllos y éste no sean tratados como uno sólo a efectos contables, de acuerdo con el párrafo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38 El método del porcentaje de realización se aplicará acumulativamente, en cada periodo contable, a las estimaciones de ingresos de actividades ordinarias y costos totales hasta la fecha. Por tanto, el efecto de un cambio en las estimaciones de los ingresos o costos del contrato en cuestión, o el efecto de un cambio en el desenlace esperado del contrato, serán tratados como cambios en las estimaciones contables (véase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Las estimaciones revisadas se usarán en la determinación de los importes de ingresos de actividades ordinarias y gastos reconocidos en el resultado, tanto en el periodo en que tiene lugar el cambio como en los periodos subsiguientes.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el importe de los ingresos de actividades ordinarias del contrato reconocidos como tales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métodos utilizados para determinar la porción de ingreso de actividades ordinarias del contrato reconocido como tal en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métodos usados para determinar el grado de realización del contrato en curso.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Una entidad revelará, para cada uno de los contratos en al</w:t>
      </w:r>
      <w:r w:rsidRPr="00401DFF">
        <w:rPr>
          <w:rFonts w:ascii="Times New Roman" w:eastAsia="Times New Roman" w:hAnsi="Times New Roman" w:cs="Times New Roman"/>
          <w:sz w:val="24"/>
          <w:szCs w:val="24"/>
          <w:lang w:eastAsia="es-CO"/>
        </w:rPr>
        <w:t>(sic)</w:t>
      </w:r>
      <w:r w:rsidRPr="00401DFF">
        <w:rPr>
          <w:rFonts w:ascii="Times New Roman" w:eastAsia="Times New Roman" w:hAnsi="Times New Roman" w:cs="Times New Roman"/>
          <w:b/>
          <w:bCs/>
          <w:sz w:val="24"/>
          <w:szCs w:val="24"/>
          <w:lang w:eastAsia="es-CO"/>
        </w:rPr>
        <w:t>final del periodo sobre el que se informa, cada una de las siguientes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cantidad acumulada de costos incurridos, y de ganancias reconocidas (menos las correspondientes pérdidas reconocidas) hasta la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cuantía de los anticipos recibidos;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cuantía de las retenciones en los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Las retenciones son cantidades, procedentes de las certificaciones hechas a los clientes, que no se recuperan hasta la satisfacción de las condiciones especificadas en el contrato para su cobro, o bien hasta que los defectos de la obra han sido rectificados. Las certificaciones son las cantidades facturadas por el trabajo ejecutado bajo el contrato, hayan sido o pagadas por el cliente o no. Los anticipos son las cantidades recibidas por el contratista antes de que el trabajo haya sido ejecutado.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La entidad debe informar, en los estados financieros,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activos que representen cantidades, en términos brutos, debidas por los clientes por causa de contratos de construcción;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pasivos que representen cantidades, en términos brutos, debidas a los clientes por causa de estos mismos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La cantidad bruta debida por los clientes, por causa de los contratos, es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incurridos más las ganancias reconocidas;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suma de las pérdidas reconocidas y las certificaciones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todos los contratos en curso, en los cuales los costos incurridos más las ganancias reconocidas (menos las pérdidas reconocidas) excedan a los importes de las certificaciones de obra realizadas y facturadas.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La cantidad bruta debida a los clientes, por causa de los contratos, es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los costos incurridos más las ganancias reconocidas;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suma de las pérdidas reconocidas y las certificaciones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todos los contratos en curso, en los cuales las certificaciones de obra realizadas y facturadas excedan a los costos incurridos más las ganancias reconocidas (menos las correspondientes pérdidas reconocidas).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La entidad revelará cualquier tipo de pasivos contingentes y activos contingentes,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Los activos y pasivos de tipo contingente pueden surgir de circunstancias tales como los costos derivados de garantías, reclamaciones, multas u otras pérdidas eventuales.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Esta Norma Internacional de Contabilidad tendrá vigencia para los estados financieros que cubran periodos que comiencen a partir del 1 de enero de 1995.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del IASC se adoptó por el IASB en 2001.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esta norma es prescribir el tratamiento contable del impuesto a las ganancias. El principal problema al contabilizar el impuesto a las ganancias es cómo tratar las consecuencias actuales y futuras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recuperación (liquidación) en el futuro del importe en libros de los activos (pasivos) que se han reconocido en el estado de situación financiera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transacciones y otros sucesos del periodo corriente que han sido objeto de reconocimiento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Tras el reconocimiento, por parte de la entidad que informa, de cualquier activo o pasivo, está inherente la expectativa de que recuperará el primero o liquidará el segundo, por los valores en libros que figuran en las correspondientes partidas. Cuando sea probable que la recuperación o liquidación de los valores contabilizados vaya a dar lugar a pagos fiscales futuros mayores (menores) de los que se tendrían si tal recuperación o liquidación no tuviera consecuencias fiscales, la presente Norma exige que la entidad reconozca un pasivo (activo) por el impuesto diferido, con algunas excepciones muy limitadas.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Esta Norma exige que las entidades contabilicen las consecuencias fiscales de las transacciones y otros sucesos de la misma manera que contabilizan esas mismas transacciones o sucesos económicos. Así, los efectos fiscales de transacciones y otros sucesos que se reconocen en el resultado del periodo se registran también en los resultados. Para las transacciones y otros sucesos reconocidos fuera del resultado (ya sea en otro resultado integral o directamente en el patrimonio), cualquier efecto impositivo relacionado también se reconoce fuera del resultado (ya sea en otro resultado integral o directamente en el patrimonio). De forma similar, el reconocimiento de los activos por impuestos diferidos y pasivos en una combinación de negocios afectará al importe de la plusvalía que surge en esa combinación de negocios o al importe reconocido de una compra en condiciones muy ventajosas.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Norma también aborda el reconocimiento de activos por impuestos diferidos que aparecen ligados a pérdidas y créditos fiscales no utilizados, así como la presentación del impuesto a las ganancias en los estados financieros, incluyendo la información a revelar sobre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se aplicará en la contabilización del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Para los propósitos de esta Norma, el término impuesto a las ganancias incluye todos los impuestos, ya sean nacionales o extranjeros, que se relacionan con las ganancias sujetas a imposición. El impuesto a las ganancias incluye también otros tributos, tales como las retenciones sobre dividendos, que se pagan por parte de una entidad subsidiaria, asociada o acuerdo conjunto, cuando proceden a distribuir ganancias 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Esta Norma no aborda los métodos de contabilización de las subvenciones del gobierno (véase la NIC 20 </w:t>
      </w:r>
      <w:r w:rsidRPr="00401DFF">
        <w:rPr>
          <w:rFonts w:ascii="Times New Roman" w:eastAsia="Times New Roman" w:hAnsi="Times New Roman" w:cs="Times New Roman"/>
          <w:i/>
          <w:iCs/>
          <w:sz w:val="24"/>
          <w:szCs w:val="24"/>
          <w:lang w:eastAsia="es-CO"/>
        </w:rPr>
        <w:t>Contabilización de las Subvenciones del Gobierno e Información a Revelar sobre Ayudas Gubernamentales),</w:t>
      </w:r>
      <w:r w:rsidRPr="00401DFF">
        <w:rPr>
          <w:rFonts w:ascii="Times New Roman" w:eastAsia="Times New Roman" w:hAnsi="Times New Roman" w:cs="Times New Roman"/>
          <w:sz w:val="24"/>
          <w:szCs w:val="24"/>
          <w:lang w:eastAsia="es-CO"/>
        </w:rPr>
        <w:t xml:space="preserve"> ni de los créditos fiscales por inversiones. Sin embargo, la Norma se ocupa de la contabilización de las diferencias temporarias que pueden derivarse de tales subvenciones o deducciones fiscales.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Ganancia contable</w:t>
      </w:r>
      <w:r w:rsidRPr="00401DFF">
        <w:rPr>
          <w:rFonts w:ascii="Times New Roman" w:eastAsia="Times New Roman" w:hAnsi="Times New Roman" w:cs="Times New Roman"/>
          <w:b/>
          <w:bCs/>
          <w:sz w:val="24"/>
          <w:szCs w:val="24"/>
          <w:lang w:eastAsia="es-CO"/>
        </w:rPr>
        <w:t xml:space="preserve"> es la ganancia neta o la pérdida neta del periodo antes de deducir el gasto por 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Ganancia (pérdida) fiscal</w:t>
      </w:r>
      <w:r w:rsidRPr="00401DFF">
        <w:rPr>
          <w:rFonts w:ascii="Times New Roman" w:eastAsia="Times New Roman" w:hAnsi="Times New Roman" w:cs="Times New Roman"/>
          <w:b/>
          <w:bCs/>
          <w:sz w:val="24"/>
          <w:szCs w:val="24"/>
          <w:lang w:eastAsia="es-CO"/>
        </w:rPr>
        <w:t xml:space="preserve"> es la ganancia (pérdida) de un periodo, calculada de acuerdo con las reglas establecidas por la autoridad fiscal, sobre la que se calculan los impuestos a pagar (recuperar).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Gasto (ingreso) por el impuesto a las ganancias</w:t>
      </w:r>
      <w:r w:rsidRPr="00401DFF">
        <w:rPr>
          <w:rFonts w:ascii="Times New Roman" w:eastAsia="Times New Roman" w:hAnsi="Times New Roman" w:cs="Times New Roman"/>
          <w:b/>
          <w:bCs/>
          <w:sz w:val="24"/>
          <w:szCs w:val="24"/>
          <w:lang w:eastAsia="es-CO"/>
        </w:rPr>
        <w:t xml:space="preserve"> es el importe total que, por este concepto, se incluye al determinar la ganancia o pérdida neta del periodo, conteniendo tanto el impuesto corriente como el diferido.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Impuesto corriente</w:t>
      </w:r>
      <w:r w:rsidRPr="00401DFF">
        <w:rPr>
          <w:rFonts w:ascii="Times New Roman" w:eastAsia="Times New Roman" w:hAnsi="Times New Roman" w:cs="Times New Roman"/>
          <w:b/>
          <w:bCs/>
          <w:sz w:val="24"/>
          <w:szCs w:val="24"/>
          <w:lang w:eastAsia="es-CO"/>
        </w:rPr>
        <w:t xml:space="preserve"> es la cantidad a pagar (recuperar) por el impuesto a las ganancias relativo a la ganancia (pérdida) fiscal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Pasivos por impuestos diferidos</w:t>
      </w:r>
      <w:r w:rsidRPr="00401DFF">
        <w:rPr>
          <w:rFonts w:ascii="Times New Roman" w:eastAsia="Times New Roman" w:hAnsi="Times New Roman" w:cs="Times New Roman"/>
          <w:b/>
          <w:bCs/>
          <w:sz w:val="24"/>
          <w:szCs w:val="24"/>
          <w:lang w:eastAsia="es-CO"/>
        </w:rPr>
        <w:t xml:space="preserve"> son las cantidades de impuestos sobre las ganancias a pagar en periodos futuros, relacionadas con las diferencias temporarias imponibles.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por impuestos diferidos</w:t>
      </w:r>
      <w:r w:rsidRPr="00401DFF">
        <w:rPr>
          <w:rFonts w:ascii="Times New Roman" w:eastAsia="Times New Roman" w:hAnsi="Times New Roman" w:cs="Times New Roman"/>
          <w:b/>
          <w:bCs/>
          <w:sz w:val="24"/>
          <w:szCs w:val="24"/>
          <w:lang w:eastAsia="es-CO"/>
        </w:rPr>
        <w:t xml:space="preserve"> son las cantidades de impuestos sobre las ganancias a recuperar en periodos futuros, relacionadas con: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diferencias temporarias deducibles;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compensación de pérdidas obtenidas en periodos anteriores, que todavía no hayan sido objeto de deducción fiscal;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compensación de créditos no utilizados procedentes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Las </w:t>
      </w:r>
      <w:r w:rsidRPr="00401DFF">
        <w:rPr>
          <w:rFonts w:ascii="Times New Roman" w:eastAsia="Times New Roman" w:hAnsi="Times New Roman" w:cs="Times New Roman"/>
          <w:b/>
          <w:bCs/>
          <w:i/>
          <w:iCs/>
          <w:sz w:val="24"/>
          <w:szCs w:val="24"/>
          <w:lang w:eastAsia="es-CO"/>
        </w:rPr>
        <w:t>diferencias temporarias</w:t>
      </w:r>
      <w:r w:rsidRPr="00401DFF">
        <w:rPr>
          <w:rFonts w:ascii="Times New Roman" w:eastAsia="Times New Roman" w:hAnsi="Times New Roman" w:cs="Times New Roman"/>
          <w:b/>
          <w:bCs/>
          <w:sz w:val="24"/>
          <w:szCs w:val="24"/>
          <w:lang w:eastAsia="es-CO"/>
        </w:rPr>
        <w:t xml:space="preserve"> son las que existen entre el importe en libros de un activo o pasivo en el estado de situación financiera y su base fiscal. Las diferencias temporarias pueden ser: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w:t>
      </w:r>
      <w:r w:rsidRPr="00401DFF">
        <w:rPr>
          <w:rFonts w:ascii="Times New Roman" w:eastAsia="Times New Roman" w:hAnsi="Times New Roman" w:cs="Times New Roman"/>
          <w:b/>
          <w:bCs/>
          <w:i/>
          <w:iCs/>
          <w:sz w:val="24"/>
          <w:szCs w:val="24"/>
          <w:lang w:eastAsia="es-CO"/>
        </w:rPr>
        <w:t>diferencias temporarias imponibles,</w:t>
      </w:r>
      <w:r w:rsidRPr="00401DFF">
        <w:rPr>
          <w:rFonts w:ascii="Times New Roman" w:eastAsia="Times New Roman" w:hAnsi="Times New Roman" w:cs="Times New Roman"/>
          <w:b/>
          <w:bCs/>
          <w:sz w:val="24"/>
          <w:szCs w:val="24"/>
          <w:lang w:eastAsia="es-CO"/>
        </w:rPr>
        <w:t xml:space="preserve"> que son aquellas diferencias temporarias que dan lugar a cantidades imponibles al determinar la ganancia (pérdida) fiscal correspondiente a periodos futuros, cuando el importe en libros del activo sea recuperado o el del pasivo sea liquidado;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w:t>
      </w:r>
      <w:r w:rsidRPr="00401DFF">
        <w:rPr>
          <w:rFonts w:ascii="Times New Roman" w:eastAsia="Times New Roman" w:hAnsi="Times New Roman" w:cs="Times New Roman"/>
          <w:b/>
          <w:bCs/>
          <w:i/>
          <w:iCs/>
          <w:sz w:val="24"/>
          <w:szCs w:val="24"/>
          <w:lang w:eastAsia="es-CO"/>
        </w:rPr>
        <w:t>diferencias temporarias deducibles,</w:t>
      </w:r>
      <w:r w:rsidRPr="00401DFF">
        <w:rPr>
          <w:rFonts w:ascii="Times New Roman" w:eastAsia="Times New Roman" w:hAnsi="Times New Roman" w:cs="Times New Roman"/>
          <w:b/>
          <w:bCs/>
          <w:sz w:val="24"/>
          <w:szCs w:val="24"/>
          <w:lang w:eastAsia="es-CO"/>
        </w:rPr>
        <w:t xml:space="preserve"> que son aquellas diferencias temporarias que dan lugar a cantidades que son deducibles al determinar la ganancia (pérdida) fiscal correspondiente a periodos futuros, cuando el importe en libros del activo sea recuperado o el del pasivo sea liquidado.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w:t>
      </w:r>
      <w:r w:rsidRPr="00401DFF">
        <w:rPr>
          <w:rFonts w:ascii="Times New Roman" w:eastAsia="Times New Roman" w:hAnsi="Times New Roman" w:cs="Times New Roman"/>
          <w:b/>
          <w:bCs/>
          <w:i/>
          <w:iCs/>
          <w:sz w:val="24"/>
          <w:szCs w:val="24"/>
          <w:lang w:eastAsia="es-CO"/>
        </w:rPr>
        <w:t>base fiscal</w:t>
      </w:r>
      <w:r w:rsidRPr="00401DFF">
        <w:rPr>
          <w:rFonts w:ascii="Times New Roman" w:eastAsia="Times New Roman" w:hAnsi="Times New Roman" w:cs="Times New Roman"/>
          <w:b/>
          <w:bCs/>
          <w:sz w:val="24"/>
          <w:szCs w:val="24"/>
          <w:lang w:eastAsia="es-CO"/>
        </w:rPr>
        <w:t xml:space="preserve"> de un activo o pasivo es el importe atribuido, para fines fiscales, a dicho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El gasto (ingreso) por el impuesto a las ganancias comprende tanto la parte relativa al gasto (ingreso) por el impuesto corriente como la correspondiente al gasto (ingreso) por el impuesto diferido.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Base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La base fiscal de un activo es el importe que será deducible de los beneficios económicos que, para efectos fiscales, obtenga la entidad en el futuro, cuando recupere el importe en </w:t>
      </w:r>
      <w:r w:rsidRPr="00401DFF">
        <w:rPr>
          <w:rFonts w:ascii="Times New Roman" w:eastAsia="Times New Roman" w:hAnsi="Times New Roman" w:cs="Times New Roman"/>
          <w:sz w:val="24"/>
          <w:szCs w:val="24"/>
          <w:lang w:eastAsia="es-CO"/>
        </w:rPr>
        <w:lastRenderedPageBreak/>
        <w:t>libros de dicho activo. Si tales beneficios económicos no tributan, la base fiscal del activo será igual a su importe en libros.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12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w:t>
            </w:r>
          </w:p>
        </w:tc>
      </w:tr>
      <w:tr w:rsidR="00401DFF" w:rsidRPr="00401DFF" w:rsidTr="00401DFF">
        <w:trPr>
          <w:tblCellSpacing w:w="15" w:type="dxa"/>
          <w:jc w:val="center"/>
        </w:trPr>
        <w:tc>
          <w:tcPr>
            <w:tcW w:w="912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El costo de una máquina es de 100. De los mismos, ya ha sido deducida una depreciación acumulada de 30, en el periodo corriente y en los anteriores, y el resto del costo será deducible en futuros periodos, ya sea como depreciación o como un importe deducible en caso de disposición del activo en cuestión. Los ingresos de actividades ordinarias generados por el uso de la máquina tributan, las eventuales ganancias obtenidas por su disposición son también objeto de tributación y las eventuales pérdidas por la disposición son fiscalmente deducibles. </w:t>
            </w:r>
            <w:r w:rsidRPr="00401DFF">
              <w:rPr>
                <w:rFonts w:ascii="Times New Roman" w:eastAsia="Times New Roman" w:hAnsi="Times New Roman" w:cs="Times New Roman"/>
                <w:i/>
                <w:iCs/>
                <w:sz w:val="24"/>
                <w:szCs w:val="24"/>
                <w:lang w:eastAsia="es-CO"/>
              </w:rPr>
              <w:t>La base fiscal de la máquina es, por tanto, de 70</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2 Los intereses por cobrar tienen un importe en libros de 100. Fiscalmente, estos ingresos por intereses serán objeto de tributación cuando se cobren. </w:t>
            </w:r>
            <w:r w:rsidRPr="00401DFF">
              <w:rPr>
                <w:rFonts w:ascii="Times New Roman" w:eastAsia="Times New Roman" w:hAnsi="Times New Roman" w:cs="Times New Roman"/>
                <w:i/>
                <w:iCs/>
                <w:sz w:val="24"/>
                <w:szCs w:val="24"/>
                <w:lang w:eastAsia="es-CO"/>
              </w:rPr>
              <w:t>La base fiscal de los intereses por cobrar es cero</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3 Los deudores comerciales de una entidad tienen un importe en libros de 100. Los ingresos de actividades ordinarias correspondientes a los mismos han sido ya incluidos para la determinación de la ganancia (pérdida) fiscal. </w:t>
            </w:r>
            <w:r w:rsidRPr="00401DFF">
              <w:rPr>
                <w:rFonts w:ascii="Times New Roman" w:eastAsia="Times New Roman" w:hAnsi="Times New Roman" w:cs="Times New Roman"/>
                <w:i/>
                <w:iCs/>
                <w:sz w:val="24"/>
                <w:szCs w:val="24"/>
                <w:lang w:eastAsia="es-CO"/>
              </w:rPr>
              <w:t>La base fiscal de los deudores comerciales es de 100</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4 Los dividendos a cobrar de una subsidiaria tienen un importe en libros de 100. Tales dividendos no tributan. </w:t>
            </w:r>
            <w:r w:rsidRPr="00401DFF">
              <w:rPr>
                <w:rFonts w:ascii="Times New Roman" w:eastAsia="Times New Roman" w:hAnsi="Times New Roman" w:cs="Times New Roman"/>
                <w:i/>
                <w:iCs/>
                <w:sz w:val="24"/>
                <w:szCs w:val="24"/>
                <w:lang w:eastAsia="es-CO"/>
              </w:rPr>
              <w:t>En esencia, la totalidad del importe en libros del activo es deducible de los beneficios económicos. En consecuencia, la base fiscal de los dividendos por cobrar es de 100</w:t>
            </w:r>
            <w:hyperlink r:id="rId20" w:anchor="bf1b3d86c266c5a41bba1d69c53649cbafanf9" w:tgtFrame="_self" w:history="1">
              <w:r w:rsidRPr="00401DFF">
                <w:rPr>
                  <w:rFonts w:ascii="Times New Roman" w:eastAsia="Times New Roman" w:hAnsi="Times New Roman" w:cs="Times New Roman"/>
                  <w:color w:val="0000FF"/>
                  <w:sz w:val="20"/>
                  <w:szCs w:val="20"/>
                  <w:u w:val="single"/>
                  <w:vertAlign w:val="superscript"/>
                  <w:lang w:eastAsia="es-CO"/>
                </w:rPr>
                <w:t>(15)</w:t>
              </w:r>
            </w:hyperlink>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5 Un préstamo concedido por la entidad tiene un importe en libros de 100. El reembolso del préstamo no tiene ninguna consecuencia fiscal. </w:t>
            </w:r>
            <w:r w:rsidRPr="00401DFF">
              <w:rPr>
                <w:rFonts w:ascii="Times New Roman" w:eastAsia="Times New Roman" w:hAnsi="Times New Roman" w:cs="Times New Roman"/>
                <w:i/>
                <w:iCs/>
                <w:sz w:val="24"/>
                <w:szCs w:val="24"/>
                <w:lang w:eastAsia="es-CO"/>
              </w:rPr>
              <w:t>La base fiscal del préstamo concedido es de 100</w:t>
            </w:r>
            <w:r w:rsidRPr="00401DFF">
              <w:rPr>
                <w:rFonts w:ascii="Times New Roman" w:eastAsia="Times New Roman" w:hAnsi="Times New Roman" w:cs="Times New Roman"/>
                <w:sz w:val="24"/>
                <w:szCs w:val="24"/>
                <w:lang w:eastAsia="es-CO"/>
              </w:rPr>
              <w:t>.</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La base fiscal de un pasivo es igual a su importe en libros menos cualquier importe que, eventualmente, sea deducible fiscalmente respecto de tal partida en periodos futuros. En el caso de ingresos de actividades ordinarias que se reciben de forma anticipada, la base fiscal del pasivo correspondiente es su importe en libros, menos cualquier eventual importe de ingresos de actividades ordinarias que no resulte imponible en periodos futuros.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w:t>
            </w:r>
          </w:p>
        </w:tc>
      </w:tr>
      <w:tr w:rsidR="00401DFF" w:rsidRPr="00401DFF" w:rsidTr="00401DFF">
        <w:trPr>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Entre los pasivos corrientes se encuentran deudas provenientes de gastos acumulados (o devengados), con un importe en libros de 100. El gasto correspondiente será deducible fiscalmente cuando se pague. </w:t>
            </w:r>
            <w:r w:rsidRPr="00401DFF">
              <w:rPr>
                <w:rFonts w:ascii="Times New Roman" w:eastAsia="Times New Roman" w:hAnsi="Times New Roman" w:cs="Times New Roman"/>
                <w:i/>
                <w:iCs/>
                <w:sz w:val="24"/>
                <w:szCs w:val="24"/>
                <w:lang w:eastAsia="es-CO"/>
              </w:rPr>
              <w:t>La base fiscal de las deudas por esos gastos acumulados (devengados) es cero</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2 Entre los pasivos corrientes se encuentran ingresos por intereses cobrados por anticipado, con un importe en libros de 100. El correspondiente ingreso de actividades ordinarias tributa precisamente cuando se cobra. </w:t>
            </w:r>
            <w:r w:rsidRPr="00401DFF">
              <w:rPr>
                <w:rFonts w:ascii="Times New Roman" w:eastAsia="Times New Roman" w:hAnsi="Times New Roman" w:cs="Times New Roman"/>
                <w:i/>
                <w:iCs/>
                <w:sz w:val="24"/>
                <w:szCs w:val="24"/>
                <w:lang w:eastAsia="es-CO"/>
              </w:rPr>
              <w:t>La base fiscal de los intereses cobrados por anticipado es cero</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3 Entre los pasivos corrientes se encuentran deudas provenientes de gastos acumulados (o devengados), con un importe en libros de 100. El gasto correspondiente ya ha sido objeto de deducción fiscal. </w:t>
            </w:r>
            <w:r w:rsidRPr="00401DFF">
              <w:rPr>
                <w:rFonts w:ascii="Times New Roman" w:eastAsia="Times New Roman" w:hAnsi="Times New Roman" w:cs="Times New Roman"/>
                <w:i/>
                <w:iCs/>
                <w:sz w:val="24"/>
                <w:szCs w:val="24"/>
                <w:lang w:eastAsia="es-CO"/>
              </w:rPr>
              <w:t>La base fiscal de las deudas por gastos acumulados (o devengados) es de 100</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sz w:val="24"/>
                <w:szCs w:val="24"/>
                <w:lang w:eastAsia="es-CO"/>
              </w:rPr>
              <w:lastRenderedPageBreak/>
              <w:t xml:space="preserve">4 Entre los pasivos financieros corrientes se encuentran sanciones y multas con un importe en libros de 100. Ni las sanciones ni las multas son deducibles fiscalmente. </w:t>
            </w:r>
            <w:r w:rsidRPr="00401DFF">
              <w:rPr>
                <w:rFonts w:ascii="Times New Roman" w:eastAsia="Times New Roman" w:hAnsi="Times New Roman" w:cs="Times New Roman"/>
                <w:i/>
                <w:iCs/>
                <w:sz w:val="24"/>
                <w:szCs w:val="24"/>
                <w:lang w:eastAsia="es-CO"/>
              </w:rPr>
              <w:t>La base fiscal de las sanciones y multas es de 100</w:t>
            </w:r>
            <w:hyperlink r:id="rId21" w:anchor="bf12782e129fbd34ec9a760b9339ee02283nf9" w:tgtFrame="_self" w:history="1">
              <w:r w:rsidRPr="00401DFF">
                <w:rPr>
                  <w:rFonts w:ascii="Times New Roman" w:eastAsia="Times New Roman" w:hAnsi="Times New Roman" w:cs="Times New Roman"/>
                  <w:color w:val="0000FF"/>
                  <w:sz w:val="20"/>
                  <w:szCs w:val="20"/>
                  <w:u w:val="single"/>
                  <w:vertAlign w:val="superscript"/>
                  <w:lang w:eastAsia="es-CO"/>
                </w:rPr>
                <w:t>(16)</w:t>
              </w:r>
            </w:hyperlink>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sz w:val="24"/>
                <w:szCs w:val="24"/>
                <w:lang w:eastAsia="es-CO"/>
              </w:rPr>
              <w:br/>
              <w:t xml:space="preserve">5 Un préstamo recibido tiene un importe en libros de 100. El reembolso del préstamo no tiene ninguna consecuencia fiscal. </w:t>
            </w:r>
            <w:r w:rsidRPr="00401DFF">
              <w:rPr>
                <w:rFonts w:ascii="Times New Roman" w:eastAsia="Times New Roman" w:hAnsi="Times New Roman" w:cs="Times New Roman"/>
                <w:i/>
                <w:iCs/>
                <w:sz w:val="24"/>
                <w:szCs w:val="24"/>
                <w:lang w:eastAsia="es-CO"/>
              </w:rPr>
              <w:t>La base fiscal del préstamo concedido es de 100</w:t>
            </w:r>
            <w:r w:rsidRPr="00401DFF">
              <w:rPr>
                <w:rFonts w:ascii="Times New Roman" w:eastAsia="Times New Roman" w:hAnsi="Times New Roman" w:cs="Times New Roman"/>
                <w:sz w:val="24"/>
                <w:szCs w:val="24"/>
                <w:lang w:eastAsia="es-CO"/>
              </w:rPr>
              <w:t>.</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 Algunas partidas tienen base fiscal aunque no figuren reconocidas como activos ni pasivos en el estado de situación financiera. Es el caso, por ejemplo, de los costos de investigación contabilizados como un gasto, al determinar la ganancia bruta contable en el periodo en que se incurren, que no son gastos deducibles para la determinación de la ganancia (pérdida) fiscal hasta un periodo posterior. La diferencia entre la base fiscal de los costos de investigación, esto es el importe que la autoridad fiscal permitirá deducir en periodos futuros, y el importe en libros nulo es una diferencia temporaria deducible que produce un activo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Cuando la base fiscal de un activo o un pasivo no resulte obvia inmediatamente, es útil considerar el principio fundamental sobre el que se basa esta Norma, esto es, que la entidad debe, con ciertas excepciones muy limitadas, reconocer un pasivo (activo) por impuestos diferidos, siempre que la recuperación o el pago del importe en libros de un activo o pasivo vaya a producir pagos fiscales mayores (menores) que los que resultarían si tales recuperaciones o pagos no tuvieran consecuencias fiscales. El ejemplo C que sigue al párrafo 51A ilustra las circunstancias en las que puede ser útil considerar este principio fundamental; por ejemplo cuando la base fiscal de un activo o un pasivo dependen de la forma en que se espera recuperar o pagar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En los estados financieros consolidados, las diferencias temporarias se determinarán comparando el importe en libros de los activos y pasivos, incluidos en ellos, con la base fiscal que resulte apropiada para los mismos. La base fiscal se calculará tomando como referencia la declaración fiscal consolidada en aquellas jurisdicciones, o países en su caso, en las que tal declaración se presenta. En otras jurisdicciones, la base fiscal se determinará tomando como referencia las declaraciones fiscales de cada entidad del grupo en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pasivos y activos por impuestos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El impuesto corriente, correspondiente al periodo presente y a los anteriores, debe ser reconocido como un pasivo en la medida en que no haya sido liquidado. Si la cantidad ya pagada, que corresponda al periodo presente y a los anteriores, excede el importe a pagar por esos periodos, el exceso debe ser reconocido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El importe a cobrar que corresponda a una pérdida fiscal, si ésta puede ser retrotraída para recuperar las cuotas corrientes satisfechas en periodos anteriores, debe ser reconocido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Cuando una pérdida fiscal se utilice para recuperar el impuesto corriente pagado en periodos anteriores, la entidad reconocerá tal derecho como un activo, en el mismo periodo en el que se produce la citada pérdida fiscal, puesto que es probable que la entidad obtenga </w:t>
      </w:r>
      <w:r w:rsidRPr="00401DFF">
        <w:rPr>
          <w:rFonts w:ascii="Times New Roman" w:eastAsia="Times New Roman" w:hAnsi="Times New Roman" w:cs="Times New Roman"/>
          <w:sz w:val="24"/>
          <w:szCs w:val="24"/>
          <w:lang w:eastAsia="es-CO"/>
        </w:rPr>
        <w:lastRenderedPageBreak/>
        <w:t>el beneficio económico derivado de tal derecho, y además este beneficio puede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pasivos y activos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Diferencias temporarias imponibles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Se reconocerá un pasivo de naturaleza fiscal por causa de cualquier diferencia temporaria imponible, a menos que la diferencia haya surgido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reconocimiento inicial de una plusvalía;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reconocimiento inicial de un activo o pasivo en una transacción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no es una combinación de negocios;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en el momento en que fue realizada no afectó ni a la ganancia contable ni a la ganancia (pérdida)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Sin embargo, debe ser reconocido un pasivo diferido de carácter fiscal, con las precauciones establecidas en el párrafo 39, por diferencias temporarias imponibles asociadas con inversiones en entidades subsidiarias, sucursales y asociadas, o con participaciones en 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Todo reconocimiento de un activo lleva inherente la suposición de que su importe en libros se recuperará, en forma de beneficios económicos, que la entidad recibirá en periodos futuros. Cuando el importe en libros del activo exceda a su base fiscal, el importe de los beneficios económicos imponibles excederá al importe fiscalmente deducible de ese activo. Esta diferencia será una diferencia temporaria imponible, y la obligación de pagar los correspondientes impuestos en futuros periodos será un pasivo por impuestos diferidos. A medida que la entidad recupere el importe en libros del activo, la diferencia temporaria deducible irá revirtiendo y, por tanto, la entidad tendrá una ganancia imponible. Esto hace probable que los beneficios económicos salgan de la entidad en forma de pagos de impuestos. Por lo anterior, esta Norma exige el reconocimiento de todos los pasivos por impuestos diferidos, salvo en determinadas circunstancias que se describen en los párrafos 15 y 39.</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activo cuyo costo histórico fue de 150, tiene un importe en libros de 100. La depreciación acumulada, a efectos fiscales, es de 90, y la tasa impositiva es el 25%.</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La base fiscal del activo es de 60 (costo de 150 menos depreciación fiscal acumulada de 90). Para recuperar el importe en libros de 100, la entidad debe obtener ganancias fiscales por importe de 100, aunque sólo podrá deducir una depreciación fiscal de 60. A consecuencia de lo anterior, la entidad deberá pagar impuestos sobre las ganancias por valor de 10 (el 25% de 40), a medida que vaya recuperando el importe en libros del activo. La diferencia entre el importe en libros de 100 y la base fiscal de 60, es una diferencia </w:t>
            </w:r>
            <w:r w:rsidRPr="00401DFF">
              <w:rPr>
                <w:rFonts w:ascii="Times New Roman" w:eastAsia="Times New Roman" w:hAnsi="Times New Roman" w:cs="Times New Roman"/>
                <w:i/>
                <w:iCs/>
                <w:sz w:val="24"/>
                <w:szCs w:val="24"/>
                <w:lang w:eastAsia="es-CO"/>
              </w:rPr>
              <w:lastRenderedPageBreak/>
              <w:t xml:space="preserve">temporaria imponible de 40. Por tanto la entidad reconocerá un pasivo por impuestos diferidos por importe de 10 (el 25% de 40) que representa los impuestos a satisfacer, a medida que vaya recuperando el importe en libros del activo.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17 Ciertas diferencias temporarias surgen cuando los gastos o los ingresos se registran contablemente en un periodo, mientras que se computan fiscalmente en otro. Tales diferencias temporarias son conocidas también con el nombre de diferencias temporales. Los que siguen son ejemplos de diferencias temporarias de esta naturaleza, que constituyen diferencias temporarias imponibles y que por tanto dan lugar a pasivos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ingresos por actividades ordinarias por intereses, que se incluyen en la ganancia contable en proporción al tiempo transcurrido, pero pueden, en algunos regímenes fiscales, ser computados fiscalmente en el momento en que se cobran. La base fiscal de cualquier cuenta por cobrar reconocido en el estado de situación financiera procedente de tales ingresos de actividades ordinarias es cero, puesto que los ingresos por actividades ordinarias correspondientes no afectarán a la ganancia fiscal hasta que sean cobrados;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depreciación utilizadas para determinar la ganancia (pérdida) fiscal, pueden ser diferentes que las calculadas para efectos contables. La diferencia temporaria es la diferencia entre el importe en libros del activo y su base fiscal, que será igual al costo original menos todas las deducciones respecto del citado activo que hayan sido permitidas por las normas fiscales, para determinar la ganancia fiscal del periodo actual y de los anteriores. En estas condiciones surgirá una diferencia temporaria imponible, que producirá un pasivo por impuestos diferidos, cuando la depreciación a efectos fiscales sea acelerada (si la depreciación fiscal es menor que la registrada contablemente, surgirá una diferencia temporaria deducible, que producirá un activo por impuestos diferidos);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de desarrollo pueden ser objeto de capitalización y amortización en periodos posteriores, a efectos de determinar la ganancia contable, pero deducidos fiscalmente en el periodo en que se hayan producido. Estos costos de desarrollo capitalizados tienen una base fiscal igual a cero, puesto que ya han sido completamente deducidos de la ganancia fiscal. La diferencia temporaria es la que resulta de restar el importe en libros de los costos de desarrollo y su base fiscal nula.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Las diferencias temporarias surgen también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activos identificables adquiridos y los pasivos asumidos en una combinación de negocios se reconocen por sus valores razonables de acuerdo con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pero no se realizan ajustes equivalentes a efectos fiscales (véase el párrafo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revalúan los activos, pero no se realiza un ajuste similar a efectos fiscales (véase el párrafo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surge una plusvalía en una combinación de negocios (véase 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la base fiscal de un activo o un pasivo, en el momento de ser reconocido por primera vez, difiere de su importe en libros inicial, por ejemplo cuando una entidad se beneficia de subvenciones gubernamentales no imponibles relativas a activos (véanse los párrafos 22 y 33);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en libros de las inversiones en subsidiarias, sucursales y asociadas, o el de la participación en acuerdos conjuntos, difiere de la base fiscal de estas mismas partidas (véanse los párrafos 38 a 45).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Con limitadas excepciones, los activos identificables adquiridos y pasivos asumidos en una combinación de negocios se reconocerán según sus valores razonables en la fecha de la adquisición. Las diferencias temporarias aparecerán cuando las bases fiscales de los activos identificables adquiridos y los pasivos identificables asumidos no se modifiquen por la combinación de negocios o lo hagan de forma diferente. Por ejemplo, surgirá una diferencia temporaria imponible, que dará lugar a un pasivo por impuestos diferidos, en el caso de que el importe en libros de un determinado activo se incremente hasta su valor razonable tras la combinación, pero la base fiscal del activo sea el costo del propietario anterior. El pasivo por impuestos diferidos resultante afectará, a la plusvalía (véase el párrafo 66).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contabilizados por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Las NIIF permiten o requieren que ciertos activos se contabilicen a su valor razonable, o bien que sean objeto de revaluación (véanse, por ejemplo,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la NIC 40 </w:t>
      </w:r>
      <w:r w:rsidRPr="00401DFF">
        <w:rPr>
          <w:rFonts w:ascii="Times New Roman" w:eastAsia="Times New Roman" w:hAnsi="Times New Roman" w:cs="Times New Roman"/>
          <w:i/>
          <w:iCs/>
          <w:sz w:val="24"/>
          <w:szCs w:val="24"/>
          <w:lang w:eastAsia="es-CO"/>
        </w:rPr>
        <w:t xml:space="preserve">Propiedades de Inversión </w:t>
      </w:r>
      <w:r w:rsidRPr="00401DFF">
        <w:rPr>
          <w:rFonts w:ascii="Times New Roman" w:eastAsia="Times New Roman" w:hAnsi="Times New Roman" w:cs="Times New Roman"/>
          <w:sz w:val="24"/>
          <w:szCs w:val="24"/>
          <w:lang w:eastAsia="es-CO"/>
        </w:rPr>
        <w:t xml:space="preserve">y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En algunas jurisdicciones, la revaluación o cualquier otra reexpresión del valor del activo a valor razonable afecta a la ganancia (pérdida) fiscal del periodo corriente. Como resultado de esto, se puede ajustar igualmente la base fiscal del activo, y no surge ninguna diferencia temporaria. En otras jurisdicciones, sin embargo, la revaluación o reexpresión de un activo no afecta a la ganancia fiscal del periodo en que una u otra se llevan a efecto, y por tanto no ha de procederse al ajuste de la base fiscal. No obstante, la recuperación futura del importe en libros producirá un flujo de beneficios económicos imponibles para la entidad, puesto que los importes deducibles a efectos fiscales serán diferentes de las cuantías de esos beneficios económicos. La diferencia entre el importe en libros de un activo revaluado y su base fiscal, es una diferencia temporaria, y da lugar por tanto a un activo o pasivo por impuestos diferidos. Esto se cumple incluso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no desea disponer del activo. En estos casos, el importe en libros del activo se recuperará mediante el uso, lo que generará beneficios fiscales por encima de la depreciación deducible fiscalmente en periodos futuros;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difiera el pago de impuestos sobre las ganancias, a condición de que el importe de la disposición de los activos se reinvierta en otros similares. En estos casos el impuesto se acabará pagando cuando se vendan los nuevos activos, o bien a medida que vayan siendo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La plusvalía que surja en una combinación de negocios se medirá como el exceso del apartado (a) sobre el (b)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contraprestación transferida medida de acuerdo con la NIIF 3, que, generalmente, se requiere que sea el valor razonable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de cualquier participación no controladora en la adquirida reconocida de acuerdo con la NIIF 3;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en una combinación de negocios llevada a cabo por etapas, el valor razonable en la fecha de adquisición de la participación previa de la adquirente en el patrimonio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neto de los importes en la fecha de la adquisición de los activos identificables adquiridos y de los pasivos asumidos medidos de acuerdo con la NIIF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Muchas autoridades fiscales no permiten reducciones en el importe en libros de la plusvalía como gasto deducible al determinar la ganancia fiscal. Además, en estos países, el costo de la plusvalía no suele ser deducible, cuando la entidad subsidiaria dispone de los negocios de los cuales procede. En estas jurisdicciones, la plusvalía tiene una base fiscal igual a cero. Cualquier diferencia entre el importe en libros de la plusvalía y su base fiscal nula, será una diferencia temporaria imponible. No obstante, esta Norma no permite el reconocimiento del pasivo por impuestos diferidos correspondiente, puesto que la plusvalía se mide de forma residual, y el reconocimiento de un pasivo de esta naturaleza podría incrementar el importe en libros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21A Las reducciones posteriores de un pasivo por impuestos diferidos, que no se ha reconocido porque surge del reconocimiento inicial de una plusvalía, se considerarán que proceden del reconocimiento inicial de la plusvalía y, por tanto, no se reconocerán, según el párrafo 15(a). Por ejemplo, si en una combinación de negocios una entidad reconoce una plusvalía de 100 u.m. que tiene una base fiscal nula, el párrafo 15(a) prohíbe que la entidad reconozca el pasivo por impuestos diferidos resultante. Si la entidad reconociera posteriormente una pérdida por deterioro del valor de esa plusvalía de 20 u.m., el importe de la diferencia temporaria imponible relacionada con la plusvalía, se reducirá desde 100 u.m. hasta 80 u.m., con el correspondiente decremento en el valor del pasivo por impuestos diferidos no reconocido. Ese decremento no reconocido en el valor del pasivo por impuestos diferidos también se lo considera relacionado con el reconocimiento inicial de la plusvalía y, por tanto, el párrafo 15(a) prohíbe su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21B Los pasivos por impuestos diferidos por diferencias temporarias imponibles relacionados con la plusvalía se reconocerán, sin embargo, en la medida en que no hayan surgido del reconocimiento inicial de esa plusvalía. Por ejemplo, si en una combinación de </w:t>
      </w:r>
      <w:r w:rsidRPr="00401DFF">
        <w:rPr>
          <w:rFonts w:ascii="Times New Roman" w:eastAsia="Times New Roman" w:hAnsi="Times New Roman" w:cs="Times New Roman"/>
          <w:sz w:val="24"/>
          <w:szCs w:val="24"/>
          <w:lang w:eastAsia="es-CO"/>
        </w:rPr>
        <w:lastRenderedPageBreak/>
        <w:t>negocios una entidad reconoce una plusvalía de 100 u.m., que es deducible a efectos fiscales a una tasa del 20 por ciento anual, comenzando desde el año de la adquisición, la base fiscal de la plusvalía es de 100 u.m. en el momento del reconocimiento inicial, y de 80 u.m. al final del año de adquisición. Si el importe en libros de la plusvalía al final del año de la adquisición permanece constante en 100 u.m., surgirá al final de ese año una diferencia temporaria imponible por 20 u.m. Puesto que esa diferencia temporaria imponible no se relaciona con el reconocimiento inicial de la plusvalía se reconocerá el correspondiente pasivo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 de un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En el reconocimiento inicial de un activo o de un pasivo puede surgir una diferencia temporaria, si, por ejemplo, una parte o la totalidad del costo de un activo no es deducible a efectos fiscales. El método de contabilización de esta diferencia temporaria dependerá de la naturaleza de la transacción que haya llevado al reconocimiento inicial del activo o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una combinación de negocios, una entidad reconocerá cualquier pasivo o activo por impuestos diferidos y esto afecta al importe con que se reconoce la plusvalía o la ganancia por una compra en condiciones muy ventajosas (véase el párrafo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transacción afecta a la ganancia contable o a la ganancia fiscal, una entidad reconocerá cualquier pasivo o activo por impuestos diferidos, y reconocerá el correspondiente ingreso o gasto por impuesto diferido, en el resultado del periodo (véase el párrafo 59);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transacción no es una combinación de negocios, y no afecta ni a la ganancia contable ni a la fiscal, la entidad podría reconocer el correspondiente activo o pasivo por impuestos diferidos, siempre que no se diese la exención a la que se refieren los párrafos 15 y 24, y ajustar por tanto el importe en libros del activo o del pasivo por el mismo importe. Tales ajustes podrían volver menos transparentes los estados financieros. Por lo tanto, esta Norma no permite a las entidades reconocer el mencionado activo o pasivo por impuestos diferidos, ya sea en el momento del registro inicial o posteriormente (véase el ejemplo que ilustra este párrafo). Además, las entidades no reconocerán tampoco, a medida que el activo se deprecie, los cambios subsiguientes en el activo o el pasivo por impuestos diferidos que no se haya registrado inicialmente.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65"/>
      </w:tblGrid>
      <w:tr w:rsidR="00401DFF" w:rsidRPr="00401DFF" w:rsidTr="00401DFF">
        <w:trPr>
          <w:tblCellSpacing w:w="15" w:type="dxa"/>
          <w:jc w:val="center"/>
        </w:trPr>
        <w:tc>
          <w:tcPr>
            <w:tcW w:w="85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22(c)</w:t>
            </w:r>
          </w:p>
        </w:tc>
      </w:tr>
      <w:tr w:rsidR="00401DFF" w:rsidRPr="00401DFF" w:rsidTr="00401DFF">
        <w:trPr>
          <w:tblCellSpacing w:w="15" w:type="dxa"/>
          <w:jc w:val="center"/>
        </w:trPr>
        <w:tc>
          <w:tcPr>
            <w:tcW w:w="85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entidad planea utilizar un activo, cuyo costo ha sido de 1.000, a lo largo de su vida útil de cinco años, y luego venderlo a un valor residual de cero. La tasa impositiva vigente es del 40%. La depreciación del activo no es deducible fiscalmente. Al proceder a su venta, cualquier ganancia de capital obtenida no tributa, y si se produjeran pérdidas no serían deducibles. </w:t>
            </w:r>
            <w:r w:rsidRPr="00401DFF">
              <w:rPr>
                <w:rFonts w:ascii="Times New Roman" w:eastAsia="Times New Roman" w:hAnsi="Times New Roman" w:cs="Times New Roman"/>
                <w:i/>
                <w:iCs/>
                <w:sz w:val="24"/>
                <w:szCs w:val="24"/>
                <w:lang w:eastAsia="es-CO"/>
              </w:rPr>
              <w:t>A medida que la entidad va recuperando el importe en libros del activo, la entidad obtendrá ingresos gravables de 1.000 y pagará impuestos por 400</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 xml:space="preserve"> La entidad no ha de reconocer el correspondiente pasivo por impuestos diferidos por valor de 400 porque se deriva del registro inicial del activo.</w:t>
            </w:r>
            <w:r w:rsidRPr="00401DFF">
              <w:rPr>
                <w:rFonts w:ascii="Times New Roman" w:eastAsia="Times New Roman" w:hAnsi="Times New Roman" w:cs="Times New Roman"/>
                <w:i/>
                <w:iCs/>
                <w:sz w:val="24"/>
                <w:szCs w:val="24"/>
                <w:lang w:eastAsia="es-CO"/>
              </w:rPr>
              <w:br/>
            </w:r>
            <w:r w:rsidRPr="00401DFF">
              <w:rPr>
                <w:rFonts w:ascii="Times New Roman" w:eastAsia="Times New Roman" w:hAnsi="Times New Roman" w:cs="Times New Roman"/>
                <w:i/>
                <w:iCs/>
                <w:sz w:val="24"/>
                <w:szCs w:val="24"/>
                <w:lang w:eastAsia="es-CO"/>
              </w:rPr>
              <w:lastRenderedPageBreak/>
              <w:t xml:space="preserve">Al año siguiente, el importe en libros del activo será de 800. A medida que se vayan obteniendo los ingresos gravables de 800, la entidad pagará impuestos por valor de 320. La entidad no ha de reconocer el pasivo por impuestos diferidos de 320 porque se deriva del registro inicial del activo.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23 De acuerdo con la NIC 32 </w:t>
      </w:r>
      <w:r w:rsidRPr="00401DFF">
        <w:rPr>
          <w:rFonts w:ascii="Times New Roman" w:eastAsia="Times New Roman" w:hAnsi="Times New Roman" w:cs="Times New Roman"/>
          <w:i/>
          <w:iCs/>
          <w:sz w:val="24"/>
          <w:szCs w:val="24"/>
          <w:lang w:eastAsia="es-CO"/>
        </w:rPr>
        <w:t>Instrumentos Financieros: Presentación,</w:t>
      </w:r>
      <w:r w:rsidRPr="00401DFF">
        <w:rPr>
          <w:rFonts w:ascii="Times New Roman" w:eastAsia="Times New Roman" w:hAnsi="Times New Roman" w:cs="Times New Roman"/>
          <w:sz w:val="24"/>
          <w:szCs w:val="24"/>
          <w:lang w:eastAsia="es-CO"/>
        </w:rPr>
        <w:t xml:space="preserve"> el emisor de un instrumento financiero compuesto (por ejemplo un bono convertible) procederá a clasificar el componente de pasivo del instrumento como un pasivo, y el componente de patrimonio como una partida del patrimonio. En algunos países, la base fiscal del componente de pasivo es igual al importe en libros inicial de la suma de los componentes de pasivo y patrimonio. La diferencia temporaria imponible aparecerá al registrar, ya desde el momento inicial, el componente de pasivo y el de patrimonio del instrumento por separado. Por tanto, la excepción establecida en el párrafo 15(b) no será aplicable. En consecuencia, la entidad procederá a reconocer el correspondiente pasivo por impuestos diferidos. Según el párrafo 61A, el impuesto diferido se carga directamente al importe en libros del componente de patrimonio. Según el párrafo 58, los cambios posteriores en el pasivo por impuestos diferidos se reconocerán, en el resultado, como gastos (ingresos)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Diferencias temporarias deducibles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Se reconocerá un activo por impuestos diferidos, por causa de todas las diferencias temporarias deducibles, en la medida en que resulte probable que la entidad disponga de ganancias fiscales futuras contra las que cargar esas diferencias temporarias deducibles, salvo que el activo por impuestos diferidos aparezca por causa del reconocimiento inicial de un activo o pasivo en una transacción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no es una combinación de negocios;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el momento en que fue realizada no afectó ni a la ganancia contable ni a la ganancia (pérdida)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 obstante, debe reconocerse un activo por impuestos diferidos, de acuerdo con lo establecido en el párrafo 44, para las diferencias temporarias deducibles asociadas con inversiones en entidades subsidiarias, sucursales y asociadas, así como con participaciones en 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Detrás del reconocimiento de cualquier pasivo, está inherente la expectativa de que la cantidad correspondiente será liquidada, en futuros periodos, por medio de una salida de recursos, que incorporen beneficios económicos. Cuando tales recursos salgan efectivamente de la entidad, una parte o la totalidad de sus importes pueden ser deducibles para la determinación de la ganancia fiscal, en periodos posteriores al del reconocimiento del pasivo. En estos casos se producirá una diferencia temporaria entre el importe en libros del citado pasivo y su base fiscal. Por consiguiente, aparecerá un activo por impuestos diferidos, respecto a los impuestos sobre las ganancias que se recuperarán en periodos posteriores, cuando sea posible la deducción del pasivo para determinar la ganancia fiscal. De forma similar, si el importe en libros de un activo es menor que su base fiscal, la </w:t>
      </w:r>
      <w:r w:rsidRPr="00401DFF">
        <w:rPr>
          <w:rFonts w:ascii="Times New Roman" w:eastAsia="Times New Roman" w:hAnsi="Times New Roman" w:cs="Times New Roman"/>
          <w:sz w:val="24"/>
          <w:szCs w:val="24"/>
          <w:lang w:eastAsia="es-CO"/>
        </w:rPr>
        <w:lastRenderedPageBreak/>
        <w:t>diferencia entre ambos importes dará lugar a un activo por impuestos diferidos respecto a los impuestos sobre las ganancias que se recuperarán en periodos posteriores.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reconoce una obligación de pago por importe de 100, derivada de la provisión por garantías de productos vendidos. El importe de la provisión dotada no es deducible a efectos fiscales, hasta que la entidad pague las correspondientes reclamaciones. La tasa impositiva vigente es del 25%.</w:t>
            </w:r>
            <w:r w:rsidRPr="00401DFF">
              <w:rPr>
                <w:rFonts w:ascii="Times New Roman" w:eastAsia="Times New Roman" w:hAnsi="Times New Roman" w:cs="Times New Roman"/>
                <w:i/>
                <w:iCs/>
                <w:sz w:val="24"/>
                <w:szCs w:val="24"/>
                <w:lang w:eastAsia="es-CO"/>
              </w:rPr>
              <w:br/>
              <w:t>La base fiscal del pasivo creado por la provisión tiene valor nulo (importe en libros de 100 menos el importe que será deducible fiscalmente respecto del pasivo en periodos futuros). Al satisfacer la provisión, por su importe en libros, la entidad reducirá su ganancia fiscal por importe de 100 y, consecuentemente, reducirá también los pagos de impuestos por importe de 25 (25% de 100). La diferencia entre el importe en libros de 100 y la base fiscal, que tiene un valor nulo, es una diferencia temporaria deducible por valor de 100. Por tanto, la entidad reconocerá un activo por impuestos diferidos de 25 (25% de 100), siempre que sea probable que pueda obtener suficiente ganancia fiscal en periodos posteriores como para conseguir tal reducción en los pagos por el impuesto</w:t>
            </w:r>
            <w:r w:rsidRPr="00401DFF">
              <w:rPr>
                <w:rFonts w:ascii="Times New Roman" w:eastAsia="Times New Roman" w:hAnsi="Times New Roman" w:cs="Times New Roman"/>
                <w:sz w:val="24"/>
                <w:szCs w:val="24"/>
                <w:lang w:eastAsia="es-CO"/>
              </w:rPr>
              <w:t>.</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Los siguientes son ejemplos de diferencias temporarias deducibles que dan lugar a activos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por beneficios por retiro, que pueden deducirse para determinar la ganancia contable, a medida que se reciben los servicios de los empleados, pero que no se pueden deducir fiscalmente hasta que la entidad los pague efectivamente a los trabajadores, o haga las correspondientes aportaciones a un fondo externo para que los gestione. En este caso existirá una diferencia temporaria entre el importe en libros del pasivo y su base fiscal, base fiscal que habitualmente tendrá valor nulo. Esta diferencia temporaria deducible hará surgir el activo por impuestos diferidos a medida que los beneficios económicos salgan de la entidad, en la forma de una deducción del beneficio fiscal cuando se paguen los beneficios por retiro o se realicen las aportaciones al fondo externo;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investigación se tratan como un gasto del periodo en que se producen al determinar la ganancia contable, pero su deducción a efectos fiscales puede no estar permitida hasta un periodo posterior a efectos del cálculo de la ganancia (pérdida) fiscal. La diferencia entre la base fiscal de los gastos de investigación, que será igual al importe que la administración tributaria permitirá deducir en futuros periodos, y su importe en libros, que será igual a cero, constituirá una diferencia temporaria deducible que dará lugar a un activo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con limitadas excepciones, una entidad reconocerá los activos identificables adquiridos y los pasivos asumidos en una combinación de negocios por sus valores razonables, en la fecha de adquisición. Si se reconoce un pasivo asumido en la fecha de adquisición, pero los costos relacionados no se deducen para determinar el beneficio fiscal hasta un periodo posterior, surge una diferencia temporaria deducible que dará lugar a un activo por impuestos diferidos. También surge un activo por impuestos diferidos cuando el valor </w:t>
      </w:r>
      <w:r w:rsidRPr="00401DFF">
        <w:rPr>
          <w:rFonts w:ascii="Times New Roman" w:eastAsia="Times New Roman" w:hAnsi="Times New Roman" w:cs="Times New Roman"/>
          <w:sz w:val="24"/>
          <w:szCs w:val="24"/>
          <w:lang w:eastAsia="es-CO"/>
        </w:rPr>
        <w:lastRenderedPageBreak/>
        <w:t>razonable de un activo identificable adquirido es inferior a su base fiscal. En ambos casos, el activo por impuestos diferidos resultante afectará a la plusvalía (véase el párrafo 66);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ciertos activos pueden ser contabilizados por su valor razonable, o pueden ser revaluados sin que se haga un ajuste similar para fines fiscales (véase el párrafo 20). En tal caso, aparecerá una diferencia temporaria deducible, siempre que la base fiscal del activo exceda a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 reversión de las diferencias temporarias deducibles dará lugar, como su propio nombre indica, a reducciones en la determinación de las ganancias fiscales de periodos futuros. No obstante, los beneficios económicos, en forma de reducciones en pagos de impuestos, llegarán a la entidad sólo si es capaz de obtener ganancias fiscales suficientes como para cubrir las posibles deducciones. Por tanto, la entidad reconocerá activos fiscales por impuestos diferidos, sólo si es probable que disponga de esos beneficios fiscales futuros contra los que cargar las deducciones por diferencias temporarias.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Será probable que se disponga de ganancias fiscales, contra los que cargar las deducciones por diferencias temporarias, siempre que existan diferencias temporarias imponibles en cuantía suficiente, relacionadas con la misma autoridad fiscal y referidas a la misma entidad fiscal, cuya reversión se espere: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el mismo periodo en el que se prevea que reviertan las diferencias temporarias deducibles;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periodos en los que una pérdida fiscal, surgida por un activo por impuestos diferidos, pueda ser compensada con ganancias anteriores o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tales circunstancias, se reconocerá un activo por impuestos diferidos en el periodo en que aparezcan las diferencias temporarias deducibles.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Cuando la cuantía de las diferencias temporarias imponibles, relacionadas con la misma autoridad fiscal y a la misma entidad fiscal, sea insuficiente, sólo se reconocerán activos por impuestos diferidos en la medida que se den cualquiera de estos supuestos: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sea probable que la entidad vaya a tener suficientes ganancias fiscales, relacionadas con la misma autoridad fiscal y a la misma entidad fiscal, en el mismo periodo en el que reviertan las diferencias temporarias deducibles (o en los periodos en los que la pérdida fiscal, procedente de un activo por impuestos diferidos, pueda ser compensada con ganancias anteriores o posteriores). Al evaluar si la entidad tendrá suficientes ganancias fiscales en periodos futuros, se han de ignorar las partidas imponibles que procedan de diferencias temporarias deducibles que se esperen en periodos futuros, puesto que los activos por impuestos diferidos, que surjan por causa de esas diferencias temporarias deducibles, requerirán ellos mismos ganancias futuras para poder ser realizados efectivamente;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cuando la entidad tenga la posibilidad de aprovechar oportunidades de planificación fiscal para crear ganancias fiscales en los periodos oportunos.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Las oportunidades de planificación fiscal son acciones que la entidad puede emprender para crear, o incrementar, ganancias fiscales en un determinado periodo, antes de que prescriba la posibilidad de deducir una pérdida fiscal u otro crédito por operaciones anteriores en el tiempo. Por ejemplo, en algunos países puede crearse, o incrementarse, la ganancia fiscal por medio de las siguientes actuaciones: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eligiendo el momento de la tributación de los ingresos por intereses, ya sea en el momento en que sean exigibles o en el momento de recibirlos;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difiriendo el ejercicio del derecho de ciertas deducciones sobre la ganancia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vendiendo, y quizá arrendando posteriormente con opción de compra, activos que se han revaluado pero cuya base fiscal no ha sido objeto de ajuste para reflejar la subida de valor;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vendiendo un activo que genere ganancias no imponibles (como por ejemplo, en ciertos países, los bonos emitidos por el Estado), para comprar otras inversiones que generen ganancia imponible.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el caso de que las oportunidades de planificación fiscal anticipen la ganancia tributable de un periodo posterior a otro previo en el tiempo, la utilización de las pérdidas o de los créditos fiscales por operaciones de periodos anteriores aun dependerá de la existencia de ganancias tributables futuras, de fuentes distintas a las que puedan originar diferencias temporarias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Cuando la entidad tiene un historial de pérdidas recientes, habrá de considerar las guías que se ofrecen en los párrafos 35 y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32A Si el importe en libros de la plusvalía que surge en una combinación de negocios es menor que su base imponible, la diferencia da lugar a un activo por impuestos diferidos. El activo por impuestos diferidos que surge en el reconocimiento inicial de la plusvalía deberá reconocerse como parte de la contabilización de una combinación de negocios en la medida en que sea probable que se encuentre disponible el beneficio fiscal contra el cual se pueda utilizar la diferencia temporaria deducible.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 de un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Un caso donde aparecerá un activo por impuestos diferidos, tras el reconocimiento inicial de un activo, es cuando la subvención del gobierno relacionada con el mismo se </w:t>
      </w:r>
      <w:r w:rsidRPr="00401DFF">
        <w:rPr>
          <w:rFonts w:ascii="Times New Roman" w:eastAsia="Times New Roman" w:hAnsi="Times New Roman" w:cs="Times New Roman"/>
          <w:sz w:val="24"/>
          <w:szCs w:val="24"/>
          <w:lang w:eastAsia="es-CO"/>
        </w:rPr>
        <w:lastRenderedPageBreak/>
        <w:t>deduce del costo para determinar el importe en libros del activo en cuestión, pero sin embargo no se deduce para efectos del importe depreciable fiscalmente (en otras palabras, es parte de la base fiscal); en este supuesto el importe en libros del activo será inferior a su base fiscal, lo cual hará aparecer una diferencia temporaria deducible. Las subvenciones del gobierno pueden también ser contabilizadas como ingresos diferidos, en cuyo caso la diferencia entre el importe del ingreso diferido y su base fiscal, que es nula, será una diferencia temporaria deducible. Sea uno u otro el método que la entidad adopte para la contabilización, nunca procederá a reconocer el activo por impuestos diferidos resultante, por las razones que se han dado en el párrafo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Pérdidas y créditos fiscales no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Debe reconocerse un activo por impuestos diferidos, siempre que se puedan compensar, con ganancias fiscales de periodos posteriores, pérdidas o créditos fiscales no utilizados hasta el momento, pero sólo en la medida en que sea probable la disponibilidad de ganancias fiscales futuras, contra los cuales cargar esas pérdidas o créditos fiscales no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Los criterios a emplear para el reconocimiento de los activos por impuestos diferidos, que nacen de la posibilidad de compensación de pérdidas y créditos fiscales no utilizados, son los mismos que los utilizados para reconocer activos por impuestos diferidos surgidos de las diferencias temporarias deducibles. No obstante, la existencia de pérdidas fiscales no utilizadas puede ser una evidencia para suponer que, en el futuro, no se dispondrá de ganancias fiscales. Por tanto, cuando una entidad tiene en su historial pérdidas recientes, procederá a reconocer un activo por impuestos diferidos surgido de pérdidas o créditos fiscales no utilizados, sólo si dispone de una cantidad suficiente de diferencias temporarias imponibles, o bien si existe alguna otra evidencia convincente de que dispondrá en el futuro de suficiente ganancia fiscal, contra la que cargar dichas pérdidas o créditos. En estas circunstancias, el párrafo 82 exige revelar la cuantía del activo por impuestos diferidos, así como la naturaleza de la evidencia en que se apoya el reconocimiento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Al evaluar la probabilidad de disponer de ganancias fiscales contra las que cargar las pérdidas o créditos fiscales no utilizados, la entidad puede considerar los siguientes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entidad tiene suficientes diferencias temporarias imponibles, relacionadas con la misma autoridad fiscal, y referidas a la misma entidad fiscal, que puedan dar lugar a importes imponibles, en cantidad suficiente como para cargar contra ellos las pérdidas o créditos fiscales no utilizados, antes de que el derecho de utilización expire;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es probable que la entidad tenga ganancias fiscales antes de que prescriba el derecho de compensación de las pérdidas o créditos fiscales no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las pérdidas fiscales no utilizadas han sido producidas por causas identificables, cuya repetición es improbable;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si la entidad dispone de oportunidades de planificación fiscal (véase el párrafo 30) que vayan a generar ganancias fiscales en los periodos en que las pérdidas o los créditos fiscales puedan ser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la medida en que no sea probable disponer de ganancias fiscales contra las que cargar las pérdidas o créditos fiscales no utilizados, no se procederá a reconocer los activos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Reconsideración de activos por impuestos diferidos no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Al final del periodo sobre el que se informa, una entidad evaluará nuevamente los activos por impuestos diferidos no reconocidos. En ese momento la entidad procederá a registrar un activo de esta naturaleza, anteriormente no reconocido, siempre que sea probable que las futuras ganancias fiscales permitan la recuperación del activo por impuestos diferidos. Por ejemplo, una mejora en el desarrollo de las ventas, puede hacer más probable que la entidad sea capaz de generar ganancias fiscales en cuantía suficiente como para cumplir los criterios establecidos en los párrafos 24 o 34 para su reconocimiento. Otro ejemplo es cuando la entidad proceda a reconsiderar los activos por impuestos diferidos, en el momento de realizar una combinación de negocios o con posterioridad a la misma (véanse los párrafos 67 y 68).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Inversiones en subsidiarias, sucursales y asociadas, y participaciones en 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Aparecen diferencias temporarias cuando el importe en libros de las inversiones financieras en subsidiarias, sucursales y asociadas, o de las participaciones en acuerdos conjuntos (igual a la porción que represente la participación del inversor en los activos netos de la subsidiaria, sucursal, asociada o participada, contando incluso con el importe en libros de la plusvalía) sea diferente de su base fiscal (que a menudo coincide con el costo). Estas diferencias pueden surgir en las más variadas circunstancias, como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por la existencia de ganancias no distribuidas en las subsidiarias, sucursales, asociadas o 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por las diferencias de cambio, cuando la controladora y su subsidiaria estén situadas en diferentes países;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por una reducción en el importe en libros de las inversiones en una asociada, como consecuencia de haber disminuido el importe recuperable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los estados financieros consolidados, la diferencia temporaria puede ser diferente de la diferencia temporaria registrada en los estados financieros individuales de la controladora, sí ésta contabiliza, en sus estados financieros, la inversión al costo o por su valor revaluado.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39 Una entidad debe reconocer un pasivo por impuestos diferidos en todos los casos de diferencias temporarias imponibles asociadas con inversiones en subsidiarias, </w:t>
      </w:r>
      <w:r w:rsidRPr="00401DFF">
        <w:rPr>
          <w:rFonts w:ascii="Times New Roman" w:eastAsia="Times New Roman" w:hAnsi="Times New Roman" w:cs="Times New Roman"/>
          <w:b/>
          <w:bCs/>
          <w:sz w:val="24"/>
          <w:szCs w:val="24"/>
          <w:lang w:eastAsia="es-CO"/>
        </w:rPr>
        <w:lastRenderedPageBreak/>
        <w:t>sucursales y asociadas, o con participaciones en acuerdos conjuntos, excepto que se den conjuntamente las dos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controladora, inversor, participante en un negocio conjunto u operador conjunto sea capaz de controlar el momento de la reversión de la diferencia temporaria;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 probable que la diferencia temporaria no revierta en un futuro previsible.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Puesto que la controladora tiene poder para establecer la política de dividendos de su subsidiaria, será capaz también de controlar el momento de la reversión de las diferencias temporarias asociadas con la inversión (entre las que figurarán no sólo las diferencias temporarias derivadas de ganancias no distribuidas, sino también las relacionadas con eventuales diferencias de conversión). Además, con frecuencia podría ser muy difícil estimar la cuantía de impuestos a pagar cuando las diferencias temporarias reviertan. Por tanto, cuando la controladora haya estimado que tales ganancias no serán objeto de distribución en un futuro previsible, no procederá a reconocer un pasivo por impuestos diferidos. Las mismas consideraciones se aplican en el caso de las sucursales.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 Los activos y pasivos no monetarios de una entidad se medirán en términos de su moneda funcional (véase la NIC 21 </w:t>
      </w:r>
      <w:r w:rsidRPr="00401DFF">
        <w:rPr>
          <w:rFonts w:ascii="Times New Roman" w:eastAsia="Times New Roman" w:hAnsi="Times New Roman" w:cs="Times New Roman"/>
          <w:i/>
          <w:iCs/>
          <w:sz w:val="24"/>
          <w:szCs w:val="24"/>
          <w:lang w:eastAsia="es-CO"/>
        </w:rPr>
        <w:t>Efectos de las Variaciones en las Tasas de Cambio de la Moneda Extranjera).</w:t>
      </w:r>
      <w:r w:rsidRPr="00401DFF">
        <w:rPr>
          <w:rFonts w:ascii="Times New Roman" w:eastAsia="Times New Roman" w:hAnsi="Times New Roman" w:cs="Times New Roman"/>
          <w:sz w:val="24"/>
          <w:szCs w:val="24"/>
          <w:lang w:eastAsia="es-CO"/>
        </w:rPr>
        <w:t xml:space="preserve"> Si las pérdidas o ganancias fiscales de la entidad (y, por tanto, la base fiscal de sus activos y pasivos no monetarios) se calculan en una moneda distinta, las variaciones en la tasa de cambio darán lugar a diferencias temporarias, que producirán el reconocimiento de un pasivo o de un activo por impuestos diferidos (en este último caso, en las condiciones establecidas por el párrafo 24). El impuesto diferido resultante se cargará o abonará a los resultados del periodo (véase el párrafo 58).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entidad que ha invertido en una asociada no controla esta entidad, y normalmente no está en posición de determinar su política de dividendos. Por tanto, en ausencia de un acuerdo que establezca que los dividendos de la asociada no serán distribuidos en un futuro previsible, la entidad inversora procederá a reconocer un pasivo por impuestos diferidos, nacido de las diferencias temporarias imponibles relacionadas con su inversión en la asociada. En algunos casos, el inversor puede no ser capaz de determinar la cuantía de los impuestos que tendría que pagar si recuperase el costo de su inversión en una asociada, pero puede determinar que serán iguales o superiores a un mínimo. En tales casos, el pasivo por impuestos diferidos se mide por referencia a ese mínimo.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El acuerdo entre las partes para crear un acuerdo conjunto contempla el reparto de las ganancias y establece si la decisión sobre estos temas exige el consentimiento de todos los participantes, o de un grupo de los mismos. Cuando el participante en un acuerdo conjunto u operador conjunto puede controlar el calendario de la distribución de su parte en las ganancias del acuerdo conjunto, y es probable que no se repartan su parte de los dividendos en un futuro previsible, no tendrá que reconocer ningún pasivo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44 Una entidad debe reconocer un activo por impuestos diferidos, para todas las diferencias temporarias deducibles procedentes de inversiones en subsidiarias, </w:t>
      </w:r>
      <w:r w:rsidRPr="00401DFF">
        <w:rPr>
          <w:rFonts w:ascii="Times New Roman" w:eastAsia="Times New Roman" w:hAnsi="Times New Roman" w:cs="Times New Roman"/>
          <w:b/>
          <w:bCs/>
          <w:sz w:val="24"/>
          <w:szCs w:val="24"/>
          <w:lang w:eastAsia="es-CO"/>
        </w:rPr>
        <w:lastRenderedPageBreak/>
        <w:t>sucursales y asociadas, o de participaciones en acuerdos conjuntos, sólo en la medida que sea probable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diferencias temporarias reviertan en un futuro previsible;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disponga de ganancias fiscales contra las cuales puedan utilizarse las diferencias temporarias.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Al decidir reconocer o no activos por impuestos diferidos, por las diferencias temporarias asociadas con sus inversiones en entidades subsidiarias, sucursales y asociadas, o con participaciones en acuerdos conjuntos, la entidad considerará las guías establecidas en los párrafos 28 a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46 Los pasivos (activos) corrientes de tipo fiscal, ya procedan del periodo presente o de periodos anteriores, deben ser medidos por las cantidades que se espere pagar (recuperar) de la autoridad fiscal, utilizando la normativa y tasas impositivas que se hayan aprobado, o cuyo proceso de aprobación esté prácticamente terminado,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47 Los activos y pasivos por impuestos diferidos deben medirse empleando las tasas fiscales que se espera sean de aplicación en el periodo en el que el activo se realice o el pasivo se cancele, basándose en las tasas (y leyes fiscales) que al final del periodo sobre el que se informa hayan sido aprobadas o prácticamente terminado el proceso de aprobación.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Los activos y pasivos por impuestos, ya sean corrientes o diferidos, se miden usualmente empleando las tasas y leyes fiscales que han sido aprobadas. No obstante, en algunas jurisdicciones los anuncios de tasas (y leyes fiscales) por parte del gobierno tienen, en esencia, el mismo efecto que su aprobación, que puede seguir al anuncio por un periodo de varios meses. En tales circunstancias, los activos y pasivos impositivos se miden utilizando las tasas fiscales anunciadas (y leyes fiscales).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En los casos en que se apliquen diferentes tasas impositivas según los niveles de ganancia fiscal, los activos y pasivos por impuestos diferidos se medirán utilizando las tasas promedio que se espere aplicar, a la ganancia o a la pérdida fiscal, en los periodos en los que se espere que vayan a revertir las correspondientes diferencias.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La medición de los pasivos por impuestos diferidos y los activos por impuestos diferidos reflejará las consecuencias fiscales que se derivarían de la forma en que la entidad espera, al final del periodo sobre el que se informa, recuperar o liquidar el importe en libros de sus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51A En algunos países, la forma en que la entidad vaya a recuperar (liquidar) el importe en libros de un activo (pasivo), puede afectar alguna o ambas de las siguientes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tasa a aplicar cuando la entidad recupere (liquide) el importe en libros del activo (pasivo);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base fiscal del activo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tales casos, la entidad procederá a medir los activos y los pasivos por impuestos diferidos utilizando la tasa y la base fiscal que sean coherentes con la forma en que espere recuperar o pagar la partida correspondiente.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95"/>
        <w:gridCol w:w="163"/>
      </w:tblGrid>
      <w:tr w:rsidR="00401DFF" w:rsidRPr="00401DFF" w:rsidTr="00401DFF">
        <w:trPr>
          <w:tblCellSpacing w:w="15" w:type="dxa"/>
          <w:jc w:val="center"/>
        </w:trPr>
        <w:tc>
          <w:tcPr>
            <w:tcW w:w="1045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A</w:t>
            </w:r>
          </w:p>
        </w:tc>
      </w:tr>
      <w:tr w:rsidR="00401DFF" w:rsidRPr="00401DFF" w:rsidTr="00401DFF">
        <w:trPr>
          <w:tblCellSpacing w:w="15" w:type="dxa"/>
          <w:jc w:val="center"/>
        </w:trPr>
        <w:tc>
          <w:tcPr>
            <w:tcW w:w="1045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partida de propiedades, planta y equipo tiene un importe en libros de 100 y una base fiscal de 60. Si el activo se vendiese, sería de aplicación a las ganancias una tasa del 20%, pero si se obtienen del mismo otro tipo de ingresos, la tasa aplicable es del 30%.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La entidad reconocerá un pasivo por impuestos diferidos de 8 (el 20% de 40) si prevé vender el elemento sin usarlo, y un impuesto diferido de 12 (el 30% de 40) si prevé conservar el elemento y recuperar su valor mediante el uso. </w:t>
            </w:r>
          </w:p>
        </w:tc>
      </w:tr>
      <w:tr w:rsidR="00401DFF" w:rsidRPr="00401DFF" w:rsidTr="00401DFF">
        <w:tblPrEx>
          <w:tblCellMar>
            <w:top w:w="270" w:type="dxa"/>
            <w:left w:w="270" w:type="dxa"/>
            <w:right w:w="270" w:type="dxa"/>
          </w:tblCellMar>
        </w:tblPrEx>
        <w:trPr>
          <w:gridAfter w:val="1"/>
          <w:wAfter w:w="180" w:type="dxa"/>
          <w:tblCellSpacing w:w="15" w:type="dxa"/>
          <w:jc w:val="center"/>
        </w:trPr>
        <w:tc>
          <w:tcPr>
            <w:tcW w:w="10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B</w:t>
            </w:r>
          </w:p>
        </w:tc>
      </w:tr>
      <w:tr w:rsidR="00401DFF" w:rsidRPr="00401DFF" w:rsidTr="00401DFF">
        <w:tblPrEx>
          <w:tblCellMar>
            <w:top w:w="270" w:type="dxa"/>
            <w:left w:w="270" w:type="dxa"/>
            <w:right w:w="270" w:type="dxa"/>
          </w:tblCellMar>
        </w:tblPrEx>
        <w:trPr>
          <w:gridAfter w:val="1"/>
          <w:wAfter w:w="180" w:type="dxa"/>
          <w:tblCellSpacing w:w="15" w:type="dxa"/>
          <w:jc w:val="center"/>
        </w:trPr>
        <w:tc>
          <w:tcPr>
            <w:tcW w:w="105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partida de propiedades, planta y equipo con un costo de 100 y un importe en libros de 80 se revalúa a 150. Este ajuste del valor no tiene consecuencias fiscales. La depreciación acumulada, a efectos fiscales, es de 30, y la tasa impositiva es el 30%. Si la partida se vendiese por un precio mayor que su costo, la depreciación acumulada fiscal de 30 se incluiría en la ganancia fiscal, pero las cantidades recibidas por encima del costo no tributarían.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La base fiscal del elemento es de 70, y existe una diferencia temporaria imponible por importe de 80. Si la entidad espera recuperar el importe en libros del elemento mediante su uso, deberá generar ingresos imponibles por importe de 150, pero sólo podrá deducir depreciaciones por importe de 70. Considerando que esta es la situación, existe un pasivo por impuestos diferidos por importe de 24 (30% de 80). Alternativamente, si la entidad esperase recuperar el importe en libros mediante la venta del elemento por importe de 150, el pasivo por impuestos diferidos resultante se computaría de la siguiente manera:</w:t>
            </w:r>
            <w:r w:rsidRPr="00401DFF">
              <w:rPr>
                <w:rFonts w:ascii="Times New Roman" w:eastAsia="Times New Roman" w:hAnsi="Times New Roman" w:cs="Times New Roman"/>
                <w:sz w:val="24"/>
                <w:szCs w:val="24"/>
                <w:lang w:eastAsia="es-CO"/>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760"/>
              <w:gridCol w:w="1965"/>
              <w:gridCol w:w="1060"/>
              <w:gridCol w:w="1890"/>
            </w:tblGrid>
            <w:tr w:rsidR="00401DFF" w:rsidRPr="00401DFF" w:rsidTr="00401DFF">
              <w:trPr>
                <w:tblCellSpacing w:w="15" w:type="dxa"/>
                <w:jc w:val="center"/>
              </w:trPr>
              <w:tc>
                <w:tcPr>
                  <w:tcW w:w="0" w:type="auto"/>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9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Diferencia temporaria imponible</w:t>
                  </w:r>
                </w:p>
              </w:tc>
              <w:tc>
                <w:tcPr>
                  <w:tcW w:w="10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Tasa impositiva</w:t>
                  </w:r>
                </w:p>
              </w:tc>
              <w:tc>
                <w:tcPr>
                  <w:tcW w:w="18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Pasivo por impuestos diferidos</w:t>
                  </w:r>
                </w:p>
              </w:tc>
            </w:tr>
            <w:tr w:rsidR="00401DFF" w:rsidRPr="00401DFF" w:rsidTr="00401DFF">
              <w:trPr>
                <w:tblCellSpacing w:w="15" w:type="dxa"/>
                <w:jc w:val="center"/>
              </w:trPr>
              <w:tc>
                <w:tcPr>
                  <w:tcW w:w="0" w:type="auto"/>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Depreciación fiscal acumulada</w:t>
                  </w:r>
                </w:p>
              </w:tc>
              <w:tc>
                <w:tcPr>
                  <w:tcW w:w="4860" w:type="dxa"/>
                  <w:gridSpan w:val="3"/>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40A4710C" wp14:editId="7F91B78A">
                            <wp:extent cx="2564765" cy="1223010"/>
                            <wp:effectExtent l="0" t="0" r="0" b="0"/>
                            <wp:docPr id="13" name="Rectángulo 13" descr="D8724(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4765"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3" o:spid="_x0000_s1026" alt="D8724(1).png" style="width:201.9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" filled="f" stroked="f">
                            <o:lock v:ext="edit" aspectratio="t"/>
                            <w10:anchorlock/>
                          </v:rect>
                        </w:pict>
                      </mc:Fallback>
                    </mc:AlternateContent>
                  </w:r>
                </w:p>
              </w:tc>
            </w:tr>
            <w:tr w:rsidR="00401DFF" w:rsidRPr="00401DFF" w:rsidTr="00401DFF">
              <w:trPr>
                <w:tblCellSpacing w:w="15" w:type="dxa"/>
                <w:jc w:val="center"/>
              </w:trPr>
              <w:tc>
                <w:tcPr>
                  <w:tcW w:w="0" w:type="auto"/>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Ingresos de la venta, deducido el costo</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0" w:type="auto"/>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Total</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(Nota: de acuerdo con el párrafo 61A, el impuesto diferido adicional que surja en la revaluación se reconocerá en otro resultado integral) </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1053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C</w:t>
            </w:r>
          </w:p>
        </w:tc>
      </w:tr>
      <w:tr w:rsidR="00401DFF" w:rsidRPr="00401DFF" w:rsidTr="00401DFF">
        <w:trPr>
          <w:tblCellSpacing w:w="15" w:type="dxa"/>
          <w:jc w:val="center"/>
        </w:trPr>
        <w:tc>
          <w:tcPr>
            <w:tcW w:w="1053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situación es la del ejemplo B, pero si el elemento se vende por más de su costo original, la depreciación acumulada se incluirá en la ganancia fiscal (al tipo del 30%), y el importe de la venta tributará al 40%, después de deducir un costo ajustado por inflación de 110.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Si la entidad espera recuperar el importe en libros del elemento mediante su uso, deberá generar ingresos imponibles por importe de 150, pero sólo podrá deducir depreciaciones por importe de 70. Considerando que la base fiscal es de 70, existe una diferencia temporaria imponible de 80 y un pasivo por impuestos diferidos de 24 (30% de 80), como en el ejemplo B.</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Alternativamente, si la entidad espera recuperar el importe en libros vendiendo inmediatamente el elemento por 150, la entidad podrá deducir el costo ajustado de 110. Las ganancias netas fiscales de 40 tributarán al 40%. Además, la depreciación acumulada de 30 se incluirá en la ganancia fiscal y tributará al 30%. En esta situación, la base fiscal es de 80 (110 menos 30), existe una diferencia temporaria imponible de 70 y, por tanto, un pasivo por impuestos diferidos de 25 (40% de 40 más 30% de 30). Si el valor de la base fiscal no resulta evidente en este ejemplo, podría ser útil repasar el principio fundamental establecido en el párrafo 10.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(Nota: de acuerdo con el párrafo 61A, el impuesto diferido adicional que surja en la revaluación se reconocerá en otro resultado integral)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51B Si un pasivo por impuestos diferidos o un activo por impuestos diferidos surge de un activo no depreciable medido utilizando el modelo de revaluación de la NIC 16, la medición del pasivo por impuestos diferidos o del activo por impuestos diferidos reflejará las consecuencias fiscales de la recuperación del importe en libros del activo no depreciable mediante la venta, independientemente de la base de medición del importe en libros de ese activo. Por lo tanto, si la norma fiscal especificara un tipo fiscal aplicable al importe tributable derivado de la venta de un activo, que fuese diferente del tipo fiscal aplicable al importe gravable que se derivaría del uso del activo, se aplicará el primer tipo en la medición del activo o pasivo por impuestos diferidos asociado con el activo no depreciable.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51C Si un activo o pasivo por impuestos diferidos surge de propiedades de inversión que se miden utilizando el modelo del valor razonable de la NIC 40, existe una presunción refutable de que el importe en libros de la propiedad de inversión se recuperará mediante la venta. Por consiguiente, a menos de que la presunción sea refutada, la medición del pasivo por impuestos diferidos o activos por impuestos diferidos reflejará las consecuencias fiscales de la recuperación del importe en libros de la propiedad de inversión en su totalidad mediante la venta. Esta presunción es refutada si la propiedad de inversión es depreciable y se mantiene dentro de un modelo de negocio cuyo objetivo es consumir sustancialmente todos los beneficios económicos incorporados en dicha propiedad de inversión a lo largo del tiempo, en lugar de mediante su venta. Si la presunción es refutada, se observarán los requerimientos de los párrafos 51 y 51A.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70" w:type="dxa"/>
          <w:left w:w="270" w:type="dxa"/>
          <w:bottom w:w="15" w:type="dxa"/>
          <w:right w:w="270" w:type="dxa"/>
        </w:tblCellMar>
        <w:tblLook w:val="04A0" w:firstRow="1" w:lastRow="0" w:firstColumn="1" w:lastColumn="0" w:noHBand="0" w:noVBand="1"/>
      </w:tblPr>
      <w:tblGrid>
        <w:gridCol w:w="6549"/>
        <w:gridCol w:w="2409"/>
      </w:tblGrid>
      <w:tr w:rsidR="00401DFF" w:rsidRPr="00401DFF" w:rsidTr="00401DFF">
        <w:trPr>
          <w:tblCellSpacing w:w="15" w:type="dxa"/>
          <w:jc w:val="center"/>
        </w:trPr>
        <w:tc>
          <w:tcPr>
            <w:tcW w:w="883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51C</w:t>
            </w:r>
          </w:p>
        </w:tc>
      </w:tr>
      <w:tr w:rsidR="00401DFF" w:rsidRPr="00401DFF" w:rsidTr="00401DFF">
        <w:trPr>
          <w:tblCellSpacing w:w="15" w:type="dxa"/>
          <w:jc w:val="center"/>
        </w:trPr>
        <w:tc>
          <w:tcPr>
            <w:tcW w:w="8835" w:type="dxa"/>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propiedad de inversión tiene un costo de 100 y un valor razonable de 150. Se mide </w:t>
            </w:r>
            <w:r w:rsidRPr="00401DFF">
              <w:rPr>
                <w:rFonts w:ascii="Times New Roman" w:eastAsia="Times New Roman" w:hAnsi="Times New Roman" w:cs="Times New Roman"/>
                <w:sz w:val="24"/>
                <w:szCs w:val="24"/>
                <w:lang w:eastAsia="es-CO"/>
              </w:rPr>
              <w:lastRenderedPageBreak/>
              <w:t>utilizando el modelo del valor razonable de la NIC 40. Comprende un terreno con un costo de 40 y un valor razonable de 60 y un edificio con un costo de 60 y un valor razonable de 90. El terreno tiene una vida útil ilimitada.</w:t>
            </w:r>
            <w:r w:rsidRPr="00401DFF">
              <w:rPr>
                <w:rFonts w:ascii="Times New Roman" w:eastAsia="Times New Roman" w:hAnsi="Times New Roman" w:cs="Times New Roman"/>
                <w:sz w:val="24"/>
                <w:szCs w:val="24"/>
                <w:lang w:eastAsia="es-CO"/>
              </w:rPr>
              <w:br/>
              <w:t>La depreciación acumulada del edificio a efectos fiscales es de 30. Los cambios no realizados en el valor razonable de la propiedad de inversión no afectan a la ganancia fiscal. Si la propiedad de inversión se vende por más del costo, la reversión de la depreciación fiscal acumulada de 30 se incluirá en la ganancia fiscal y tributará a la tasa impositiva ordinaria del 30%. Para los ingresos por ventas que excedan al costo, la legislación fiscal especifica tasas impositivas del 25% de los activos mantenidos por un plazo inferior a dos años y el 20% para los activos mantenidos por dos años o más.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Dado que la propiedad de inversión se mide utilizando el modelo del valor razonable de la NIC 40, existe una presunción refutable de que la entidad recuperará el importe en libros de la propiedad de inversión en su totalidad mediante la venta. Si esa presunción no es refutada, el impuesto diferido reflejará las consecuencias fiscales de recuperar el importe en libros en su totalidad mediante la venta, incluso si la entidad espera obtener ingresos por arrendamiento procedentes de la propiedad antes de la venta.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La base fiscal del terreno si se vende es de 40 y existe una diferencia temporaria imponible de 20 (60-40). La base fiscal del edificio si se vende es de 30 (60-30) y existe una diferencia temporaria imponible de 60 (90-30). Como resultado, la diferencia temporaria imponible total relativa a la propiedad de inversión es de 80 (20+60).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De acuerdo con el párrafo 47, la tasa impositiva es la tasa esperada a aplicar en el periodo en que se realice la propiedad de inversión. Por ello, el pasivo por impuestos diferidos resultante se calculará de la forma siguiente, si la entidad espera vender la propiedad después de mantenerla por más de dos años:</w:t>
            </w:r>
            <w:r w:rsidRPr="00401DFF">
              <w:rPr>
                <w:rFonts w:ascii="Times New Roman" w:eastAsia="Times New Roman" w:hAnsi="Times New Roman" w:cs="Times New Roman"/>
                <w:sz w:val="24"/>
                <w:szCs w:val="24"/>
                <w:lang w:eastAsia="es-CO"/>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585"/>
              <w:gridCol w:w="1770"/>
              <w:gridCol w:w="1170"/>
              <w:gridCol w:w="1455"/>
            </w:tblGrid>
            <w:tr w:rsidR="00401DFF" w:rsidRPr="00401DFF" w:rsidTr="00401DFF">
              <w:trPr>
                <w:tblCellSpacing w:w="15" w:type="dxa"/>
                <w:jc w:val="center"/>
              </w:trPr>
              <w:tc>
                <w:tcPr>
                  <w:tcW w:w="35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74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Diferencia temporaria imponible</w:t>
                  </w:r>
                </w:p>
              </w:tc>
              <w:tc>
                <w:tcPr>
                  <w:tcW w:w="114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Tasa impositiva</w:t>
                  </w:r>
                </w:p>
              </w:tc>
              <w:tc>
                <w:tcPr>
                  <w:tcW w:w="141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Pasivo por impuestos diferidos</w:t>
                  </w:r>
                </w:p>
              </w:tc>
            </w:tr>
            <w:tr w:rsidR="00401DFF" w:rsidRPr="00401DFF" w:rsidTr="00401DFF">
              <w:trPr>
                <w:tblCellSpacing w:w="15" w:type="dxa"/>
                <w:jc w:val="center"/>
              </w:trPr>
              <w:tc>
                <w:tcPr>
                  <w:tcW w:w="354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Depreciación fiscal acumulada</w:t>
                  </w:r>
                </w:p>
              </w:tc>
              <w:tc>
                <w:tcPr>
                  <w:tcW w:w="4350" w:type="dxa"/>
                  <w:gridSpan w:val="3"/>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143B35B4" wp14:editId="3E87E493">
                            <wp:extent cx="2541270" cy="1377315"/>
                            <wp:effectExtent l="0" t="0" r="0" b="0"/>
                            <wp:docPr id="12" name="Rectángulo 12" descr="D8724(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1270" cy="137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alt="D8724(2).png" style="width:200.1pt;height:10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" filled="f" stroked="f">
                            <o:lock v:ext="edit" aspectratio="t"/>
                            <w10:anchorlock/>
                          </v:rect>
                        </w:pict>
                      </mc:Fallback>
                    </mc:AlternateContent>
                  </w:r>
                </w:p>
              </w:tc>
            </w:tr>
            <w:tr w:rsidR="00401DFF" w:rsidRPr="00401DFF" w:rsidTr="00401DFF">
              <w:trPr>
                <w:tblCellSpacing w:w="15" w:type="dxa"/>
                <w:jc w:val="center"/>
              </w:trPr>
              <w:tc>
                <w:tcPr>
                  <w:tcW w:w="35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Ingresos de la venta, deducido el costo</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354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Total</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35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4350" w:type="dxa"/>
                  <w:gridSpan w:val="3"/>
                  <w:vAlign w:val="bottom"/>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blPrEx>
          <w:tblCellMar>
            <w:top w:w="15" w:type="dxa"/>
            <w:left w:w="15" w:type="dxa"/>
            <w:right w:w="15" w:type="dxa"/>
          </w:tblCellMar>
        </w:tblPrEx>
        <w:trPr>
          <w:gridAfter w:val="1"/>
          <w:wAfter w:w="4640" w:type="dxa"/>
          <w:tblCellSpacing w:w="15" w:type="dxa"/>
          <w:jc w:val="center"/>
        </w:trPr>
        <w:tc>
          <w:tcPr>
            <w:tcW w:w="907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 Continuación</w:t>
            </w:r>
            <w:r w:rsidRPr="00401DFF">
              <w:rPr>
                <w:rFonts w:ascii="Times New Roman" w:eastAsia="Times New Roman" w:hAnsi="Times New Roman" w:cs="Times New Roman"/>
                <w:b/>
                <w:bCs/>
                <w:sz w:val="24"/>
                <w:szCs w:val="24"/>
                <w:lang w:eastAsia="es-CO"/>
              </w:rPr>
              <w:br/>
              <w:t>Ejemplo ilustrativo del párrafo 51C</w:t>
            </w:r>
          </w:p>
        </w:tc>
      </w:tr>
      <w:tr w:rsidR="00401DFF" w:rsidRPr="00401DFF" w:rsidTr="00401DFF">
        <w:tblPrEx>
          <w:tblCellMar>
            <w:top w:w="15" w:type="dxa"/>
            <w:left w:w="15" w:type="dxa"/>
            <w:right w:w="15" w:type="dxa"/>
          </w:tblCellMar>
        </w:tblPrEx>
        <w:trPr>
          <w:gridAfter w:val="1"/>
          <w:wAfter w:w="4640" w:type="dxa"/>
          <w:tblCellSpacing w:w="15" w:type="dxa"/>
          <w:jc w:val="center"/>
        </w:trPr>
        <w:tc>
          <w:tcPr>
            <w:tcW w:w="907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Si la entidad espera vender la propiedad después de mantenerla por un plazo inferior a dos años, el cálculo anterior se modificaría para aplicar una tasa impositiva del 25% en lugar del 20%, a los ingresos deducido el costo.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Si, en su lugar, la entidad mantiene el edificio en un modelo de negocio cuyo objetivo es consumir sustancialmente todos los beneficios económicos incorporados en el edificio a lo largo del </w:t>
            </w:r>
            <w:r w:rsidRPr="00401DFF">
              <w:rPr>
                <w:rFonts w:ascii="Times New Roman" w:eastAsia="Times New Roman" w:hAnsi="Times New Roman" w:cs="Times New Roman"/>
                <w:i/>
                <w:iCs/>
                <w:sz w:val="24"/>
                <w:szCs w:val="24"/>
                <w:lang w:eastAsia="es-CO"/>
              </w:rPr>
              <w:lastRenderedPageBreak/>
              <w:t>tiempo, en lugar de mediante la venta, esta presunción sería refutada para el edificio. Sin embargo, el terreno no es depreciable. Por ello, la presunción de recuperación mediante la venta no sería refutada para el terreno. De ello se deduce que el pasivo por impuestos diferidos reflejaría las consecuencias fiscales de la recuperación del importe en libros del edificio mediante su uso y del importe en libros del terreno mediante la venta.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Si se utiliza el edificio, la base fiscal es 30 (60-30) y existe una diferencia temporaria imponible de 60 (90-30), dando lugar a un pasivo por impuestos diferidos de 18 (30% de 60).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Si se vende el terreno, la base fiscal es 40 y existe una diferencia temporaria imponible de 20 (60-40), dando lugar a un pasivo por impuestos diferidos de 4 (20% de 20).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Como resultado, si la presunción de recuperación mediante la venta es refutada para el edificio, el pasivo por impuestos diferidos relativo a la propiedad de inversión es de 22 (18</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 xml:space="preserve">4).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51D La presunción refutable del párrafo 51C también se aplicará cuando un pasivo por impuestos diferidos o un activo por impuestos diferidos surge de la medición de propiedades de inversión en una combinación de negocios si la entidad utilizará el modelo del valor razonable al medir posteriormente esas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51E Los párrafos 51B a 51D no cambian los requerimientos para aplicar los principios de los párrafos 24 a 33 (diferencias temporarias deducibles) y los párrafos 34 a 36 (pérdidas fiscales no utilizadas y créditos fiscales no utilizados) de esta Norma al reconocer y medir los activos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[trasladado y renumerado 51A]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52A En algunas jurisdicciones, el impuesto a las ganancias se grava a una tasa mayor o menor, siempre que una parte o la totalidad de la ganancia neta o de las ganancias acumuladas se paguen como dividendos a los accionistas de la entidad. En algunas otras jurisdicciones, el impuesto a las ganancias puede ser devuelto o pagado si una parte o la totalidad de la ganancia neta o de las ganancias acumuladas se pagan como dividendos a los accionistas de la entidad. En estas circunstancias, los activos y pasivos por impuestos corrientes y diferidos, se miden a la tasa aplicable a las ganancias no distribuidas.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52B En las circunstancias descritas en el párrafo 52A, las consecuencias de los dividendos en relación con el impuesto a las ganancias se reconocen cuando se procede a reconocer el pasivo por el pago de dividendos. Las consecuencias de los dividendos en el impuesto están relacionadas más directamente con transacciones o sucesos pasados, que con las distribuciones hechas a los propietarios. Por tanto, estas consecuencias de los dividendos en el impuesto a las ganancias se reconocerán, en la ganancia o pérdida neta del periodo, tal como se exige en el párrafo 58, salvo en la medida en que las consecuencias impositivas de los dividendos surjan de las circunstancias descritas en los párrafos 58(a) y (b).</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10"/>
      </w:tblGrid>
      <w:tr w:rsidR="00401DFF" w:rsidRPr="00401DFF" w:rsidTr="00401DFF">
        <w:trPr>
          <w:tblCellSpacing w:w="15" w:type="dxa"/>
          <w:jc w:val="center"/>
        </w:trPr>
        <w:tc>
          <w:tcPr>
            <w:tcW w:w="88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Ejemplo ilustrativo de los párrafos 52A y 52B</w:t>
            </w:r>
          </w:p>
        </w:tc>
      </w:tr>
      <w:tr w:rsidR="00401DFF" w:rsidRPr="00401DFF" w:rsidTr="00401DFF">
        <w:trPr>
          <w:tblCellSpacing w:w="15" w:type="dxa"/>
          <w:jc w:val="center"/>
        </w:trPr>
        <w:tc>
          <w:tcPr>
            <w:tcW w:w="88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ejemplo que sigue trata de la medición de los activos y pasivos por el impuesto, ya sean corrientes o diferidos, para una entidad en una jurisdicción donde se gravan a una tasa más alta las ganancias no distribuidas (50%), y se reembolsa una parte del importe cuando las ganancias se distribuyan. La tasa sobre las ganancias distribuidas es del 35%. Al final del periodo sobre el que se informa, 31 de diciembre de 20X1, la entidad no reconoce un pasivo por dividendos propuestos o declarados después del periodo sobre el que se informa. Como resultado, no se reconocen dividendos en el año 20X1. La ganancia imponible para 20X1 es de 100.000. La diferencia temporaria imponible neta, para el año 20X1, es de 40.000.</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La entidad reconoce un pasivo corriente por el impuesto, y un gasto corriente por el mismo concepto, por 50.000. No se reconoce ningún activo por la cuantía potencialmente recuperable como resultado de dividendos futuros. La entidad también reconoce un pasivo por impuestos diferidos y un gasto por impuestos diferidos por 20.000 (50% de 40.000), que representa el impuesto a las ganancias que la entidad pagará cuando recupere o pague el importe en libros de sus activos y pasivos, basándose en la tasa del impuesto aplicable a las ganancias no distribuidas.</w:t>
            </w:r>
            <w:r w:rsidRPr="00401DFF">
              <w:rPr>
                <w:rFonts w:ascii="Times New Roman" w:eastAsia="Times New Roman" w:hAnsi="Times New Roman" w:cs="Times New Roman"/>
                <w:sz w:val="24"/>
                <w:szCs w:val="24"/>
                <w:lang w:eastAsia="es-CO"/>
              </w:rPr>
              <w:br/>
              <w:t>Más tarde, el 15 de marzo de 20X2, la entidad reconoce como pasivo unos dividendos de 10.000, procedentes de las ganancias de las operaciones previas.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El 15 de marzo de 20X2, la entidad reconocerá la recuperación de impuestos sobre las ganancias por 1.500 (15% de los dividendos reconocidos como pasivo), que serán un activo por impuestos corrientes y una reducción del gasto corriente por impuestos del 20X2.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Los activos y pasivos por impuestos diferidos no deben ser descontados.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Una evaluación fiable del importe descontado de los activos y pasivos por impuestos diferidos, exigiría plantear la distribución en el tiempo de cada diferencia temporaria. En muchos casos esta distribución es impracticable o altamente compleja de realizar. Por tanto, resulta inapropiado exigir el descuento de los activos o pasivos por impuestos diferidos. El hecho de permitir este descuento, sin exigirlo, podría dar lugar a unas cifras sobre impuestos diferidos que no fueran comparables entre entidades. Por tanto, esta Norma no exige, ni permite, descontar los saldos de activos y pasivos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Las diferencias temporarias se calcularán tomando como referencia el importe en libros del activo o pasivo. Esto será de aplicación incluso cuando el saldo en cuestión se determina mediante el descuento, por ejemplo en el caso de pasivos por fondos de beneficios por retiro (véase la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56 El importe en libros de un activo por impuestos diferidos debe someterse a revisión al final de cada periodo sobre el que se informe. La entidad debe reducir el importe del saldo del activo por impuestos diferidos, en la medida que estime probable que no dispondrá de suficiente ganancia fiscal, en el futuro, como para permitir cargar contra la misma la totalidad o una parte, de los beneficios que comporta el activo por impuestos diferidos. Esta reducción deberá ser objeto de reversión, en la medida en </w:t>
      </w:r>
      <w:r w:rsidRPr="00401DFF">
        <w:rPr>
          <w:rFonts w:ascii="Times New Roman" w:eastAsia="Times New Roman" w:hAnsi="Times New Roman" w:cs="Times New Roman"/>
          <w:b/>
          <w:bCs/>
          <w:sz w:val="24"/>
          <w:szCs w:val="24"/>
          <w:lang w:eastAsia="es-CO"/>
        </w:rPr>
        <w:lastRenderedPageBreak/>
        <w:t>que la entidad recupere la expectativa de suficiente ganancia fiscal futura, como para poder utilizar los saldos dados de baja.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impuestos corrientes y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La contabilización de los efectos fiscales, tanto en el periodo corriente como los diferidos para posteriores periodos, de una determinada transacción o suceso económico, ha de ser coherente con el registro contable de la transacción o el suceso correspondiente. Los párrafos 58 a 68C desarrollan este principio.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reconocidas en 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58 Los impuestos corrientes y diferidos, deberán reconocerse como ingreso o gasto, y ser incluirlos</w:t>
      </w:r>
      <w:r w:rsidRPr="00401DFF">
        <w:rPr>
          <w:rFonts w:ascii="Times New Roman" w:eastAsia="Times New Roman" w:hAnsi="Times New Roman" w:cs="Times New Roman"/>
          <w:sz w:val="24"/>
          <w:szCs w:val="24"/>
          <w:lang w:eastAsia="es-CO"/>
        </w:rPr>
        <w:t>(sic)</w:t>
      </w:r>
      <w:r w:rsidRPr="00401DFF">
        <w:rPr>
          <w:rFonts w:ascii="Times New Roman" w:eastAsia="Times New Roman" w:hAnsi="Times New Roman" w:cs="Times New Roman"/>
          <w:b/>
          <w:bCs/>
          <w:sz w:val="24"/>
          <w:szCs w:val="24"/>
          <w:lang w:eastAsia="es-CO"/>
        </w:rPr>
        <w:t>en el resultado, excepto en la medida en que hayan surgido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transacción o suceso que se reconoce, en el mismo periodo o en otro diferente, fuera del resultado, ya sea en otro resultado integral o directamente en el patrimonio (véase los párrafos 61A a 65);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combinación de negocios (véanse los párrafos 66 a 68).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La mayoría de los pasivos y de los activos por impuestos diferidos aparecerán cuando los ingresos y gastos, que se incluyen en la ganancia contable de un determinado periodo, se computen dentro de la ganancia fiscal en otro diferente. El correspondiente impuesto diferido se reconocerá en el resultado del periodo. Son ejemplos de lo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ingresos de actividades ordinarias por intereses, regalías o dividendos, que se reciban al final de los periodos a los que corresponden, y se computen en el resultado contable de forma proporcional al tiempo que ha transcurrido hasta el cierre, según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xml:space="preserve"> pero se incluyan en la ganancia o pérdida fiscal cuando sean cobrados;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activos intangibles, que se hayan capitalizado de acuerdo con la NIC 38, y se amorticen posteriormente, mientras que se deducen para efectos fiscales en el mismo periodo en que se hayan incurrido.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El importe en libros de los activos y pasivos por impuestos diferidos puede cambiar, incluso cuando no haya cambiado el importe de las diferencias temporarias correspondientes. Esto puede pasar, por ejemplo, como resultado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cambio en las tasas o en las normativas fiscales;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reestimación de la recuperabilidad de los activos por impuestos diferidos;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cambio en la forma esperada de recuperar el importe en libros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El impuesto diferido, correspondiente a estos cambios, se reconocerá en el resultado del periodo, excepto en la medida en que se relacione con partidas previamente reconocidas fuera de los resultados del periodo (véase el párrafo 63).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reconocidas fuera del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61A Los impuestos corrientes y los impuestos diferidos deberán reconocerse fuera del resultado si se relacionan con partidas que se reconocen, en el mismo periodo o en otro diferente, fuera del resultado. Por lo tanto, los impuestos corrientes y los impuestos diferidos que se relacionan con partidas que se reconocen, en el mismo periodo o en otro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 otro resultado integral, deberán reconocerse en otro resultado integral (véase el párrafo 62).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directamente en patrimonio, deberán reconocerse directamente en el patrimonio (véase el párrafo 62A).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Las Normas Internacionales de Información Financiera requieren o permiten que determinadas partidas se reconozcan en otro resultado integral. Ejemplos de estas partidas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cambio en el importe en libros procedente de la revaluación de las propiedades, planta y equipo (véase la NIC 16);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diferencias de cambio que surjan de la conversión de los estados financieros de un negocio extranjero (véase la NIC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62A Las Normas Internacionales de Información Financiera requieren o permiten que ciertas partidas sean acreditadas o cargadas directamente al patrimonio. Ejemplos de estas partidas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un ajuste al saldo inicial de las ganancias acumuladas procedente de un cambio en las políticas contables, que se aplique retroactivamente, o de la corrección de un error (véase la NIC 8 </w:t>
      </w:r>
      <w:r w:rsidRPr="00401DFF">
        <w:rPr>
          <w:rFonts w:ascii="Times New Roman" w:eastAsia="Times New Roman" w:hAnsi="Times New Roman" w:cs="Times New Roman"/>
          <w:i/>
          <w:iCs/>
          <w:sz w:val="24"/>
          <w:szCs w:val="24"/>
          <w:lang w:eastAsia="es-CO"/>
        </w:rPr>
        <w:t xml:space="preserve">Políticas Contables, Cambios en las Estimaciones Contables y Errores). </w:t>
      </w:r>
      <w:r w:rsidRPr="00401DFF">
        <w:rPr>
          <w:rFonts w:ascii="Times New Roman" w:eastAsia="Times New Roman" w:hAnsi="Times New Roman" w:cs="Times New Roman"/>
          <w:sz w:val="24"/>
          <w:szCs w:val="24"/>
          <w:lang w:eastAsia="es-CO"/>
        </w:rPr>
        <w:t>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importes que surgen del reconocimiento inicial del componente de patrimonio de un instrumento financiero compuesto (véase el párrafo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63 En circunstancias excepcionales puede ser difícil determinar el importe del impuesto corriente y diferido relativo a partidas reconocidas fuera del resultado (sea en otro resultado integral o directamente en patrimonio). Este podría ser el caso, por ejemplo,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exista una escala progresiva en el impuesto a las ganancias, y sea imposible calcular la tasa a la cual ha tributado un componente específico de la ganancia o la pérdida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cambio en la tasa impositiva u otra norma fiscal afecte a un activo o pasivo por impuestos diferidos relacionados (en todo o en parte) con una partida que fue previamente reconocida fuera del resultado del periodo;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entidad determine que un activo por impuestos diferidos debe reconocerse, o debe darse de baja por su importe total, y éste se corresponda (en todo o en parte) con una partida que fue previamente reconocida fuera del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estos casos, la parte del impuesto correspondiente al periodo y la parte diferida, relacionadas con partidas que se han reconocido fuera del resultado, se basarán en una proporción razonable de los impuestos corrientes y diferidos por la entidad en la jurisdicción fiscal correspondiente, o en otro método con el que se consiga una distribución más apropiada, en esas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La NIC 16, no especifica si la entidad debe trasladar cada año desde el superávit de revaluación a las ganancias acumuladas una cantidad igual a la diferencia entre la depreciación o amortización del activo revaluado y la depreciación o amortización que se hubiera practicado sobre el costo original del activo. Si la entidad hace esta transferencia, el importe correspondiente a la misma se calculará neto de cualquier impuesto diferido que le corresponda. Consideraciones similares se aplican a las transferencias hechas tras la venta de un elemento perteneciente a las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Cuando un activo se revalúa a efectos fiscales, y esa revaluación está relacionada con una revaluación contable practicada en un periodo anterior, o con una que se espera realizar en algún periodo posterior, los efectos fiscales de la revaluación contable y del ajuste en la base fiscal se reconocerán en otro resultado integral en los periodos en que tienen lugar. Sin embargo, si las revaluaciones a efectos fiscales no se relacionan con revaluaciones contables de un periodo anterior, o con otras que se esperan realizar en un periodo futuro, los efectos fiscales del ajuste de la base fiscal se reconocerán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65A Cuando una entidad paga dividendos a sus accionistas, puede tener la obligación de pagar una porción de tales dividendos a las autoridades fiscales, en nombre de los accionistas. En muchas jurisdicciones estas cuantías se denominan retenciones de impuestos. Estos montos, pagados o por pagar a las autoridades fiscales, se cargan al patrimonio como parte de los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Impuestos diferidos que surgen de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66 Como se ha explicado en los párrafos 19 y 26(c), en una combinación de negocios pueden surgir diferencias temporarias. De acuerdo con la NIIF 3, una entidad reconocerá cualquier activo resultante por impuestos diferidos (en la medida en que cumplan los criterios de reconocimiento del párrafo 24) o cualquier pasivo resultante por impuestos diferidos como activos y pasivos identificables en la fecha de adquisición. Por consiguiente, esos activos y pasivos por impuestos diferidos afectan al importe de la plusvalía o a la ganancia por una compra en condiciones muy ventajosas que reconozca la entidad. Sin embargo, de acuerdo con el párrafo 15(a), una entidad no reconocerá los pasivos por impuestos diferidos que surjan del reconocimiento inicial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Como resultado de una combinación de negocios, podría cambiar la probabilidad de realizar un activo por impuestos diferidos de la adquirente anterior a la adquisición. Una adquirente puede considerar probable la recuperación de sus propios activos por impuestos diferidos que no se reconocieron antes de la combinación de negocios. Por ejemplo, la adquirente podría ser capaz de utilizar los beneficios de sus pérdidas fiscales no utilizadas, para compensarlos con ganancias fiscales futuras de la adquirida. De forma alternativa, como resultado de la combinación de negocios puede dejar de ser probable que los beneficios fiscales futuros permitan recuperar los activos por impuestos diferidos. En estos casos, la adquirente reconocerá un cambio en el activo por impuestos diferidos en el periodo de la combinación de negocios, pero no lo incluirá como parte de la contabilización de la combinación de negocios. Por ello, la adquirente no lo tendrá en cuenta para medir la plusvalía o la ganancia por una compra en condiciones muy ventajosas que reconozca en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Es posible que el beneficio potencial de las pérdidas fiscales de la adquirida compensables en el futuro, o de otros activos por impuestos diferidos no satisfaga los criterios para su reconocimiento por separado cuando una combinación de negocios se contabiliza inicialmente, pero pueda ser posteriormente realizado. Una entidad reconocerá los beneficios por impuestos diferidos adquiridos que aparezcan tras la combinación de negocios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beneficios por impuestos diferidos de la adquirida reconocidos dentro del periodo de medición que procedan de nueva información sobre hechos y circunstancias que existían en la fecha de la adquisición deberán aplicarse para reducir el importe en libros de cualquier plusvalía relacionada con esa adquisición. Si el importe en libros de esa plusvalía es nulo, cualesquiera beneficios por impuestos diferidos que permanezcan deberán reconocerse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Cualesquiera otros beneficios por impuestos diferidos adquiridos que se realicen deberán reconocerse en resultados (o si esta Norma así lo requiere, fuera del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Impuestos corrientes y diferidos surgidos de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68A En algunas jurisdicciones fiscales, la entidad puede obtener una deducción fiscal (esto es, un importe que es deducible para la determinación de la base imponible) asociada con una remuneración pagada en forma de acciones, en opciones sobre acciones o en otros instrumentos de patrimonio de la propia entidad. El importe de esa deducción fiscal podría </w:t>
      </w:r>
      <w:r w:rsidRPr="00401DFF">
        <w:rPr>
          <w:rFonts w:ascii="Times New Roman" w:eastAsia="Times New Roman" w:hAnsi="Times New Roman" w:cs="Times New Roman"/>
          <w:sz w:val="24"/>
          <w:szCs w:val="24"/>
          <w:lang w:eastAsia="es-CO"/>
        </w:rPr>
        <w:lastRenderedPageBreak/>
        <w:t xml:space="preserve">diferir del gasto de la remuneración asociada acumulada, y podría surgir en un periodo posterior. Por ejemplo, en algunas jurisdicciones, la entidad podría reconocer un gasto por el consumo de los servicios recibidos de un empleado como contrapartida por las opciones sobre acciones concedidas, de acuerdo con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xml:space="preserve"> y no recibir la deducción fiscal hasta que las opciones sobre acciones sean ejercitadas, de forma que la medición de la deducción fiscal se base en el precio que tengan las acciones de la entidad en la fecha de ejercicio.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68B Igual que sucede con los costos de investigación, discutidos en el párrafo 9 y el apartado (b) del párrafo 26 de esta Norma, la diferencia entre la base fiscal de los servicios recibidos de los empleados hasta la fecha (que es el importe que las autoridades fiscales permitirán como deducción en futuros periodos), y el importe en libros de valor cero, será una diferencia temporaria deducible que dará lugar a un activo por impuestos diferidos. Si el importe que las autoridades fiscales permitirán deducir en periodos futuros no se conociese al final del periodo, deberá estimarse a partir de la información disponible al término del periodo. Por ejemplo, si el importe que las autoridades fiscales permitirán deducir en periodos futuros depende del precio de las acciones de la entidad en una fecha futura, la medición de la diferencia temporaria deducible deberá basarse en el precio de las acciones de la entidad al finalizar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68C Como se ha señalado en el párrafo 68A, el importe de la deducción fiscal (o de la deducción fiscal futura estimada, medida de acuerdo con el párrafo 68B) podría diferir del gasto por remuneraciones acumuladas correspondiente. El párrafo 58 de la Norma requiere que los impuestos corrientes y diferidos se reconozcan como ingreso o gasto, y se incluyan en el resultado del periodo, salvo y en la medida en que procedan de (a) una transacción o evento que se haya reconocido, en el mismo o en diferente periodo, fuera del resultado del periodo, o (b) de una combinación de negocios. Si el importe de la deducción fiscal (o deducción fiscal futura estimada) excediese del importe del gasto por remuneraciones acumuladas correspondientes, esto indicaría que la deducción fiscal se relaciona no sólo con el gasto por remuneraciones, sino también con una partida del patrimonio. En esta situación, el exceso del impuesto corriente o diferido asociado se reconocerá directamente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y pasivos por 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69-70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71 Una entidad compensará los activos por impuestos y los pasivos por impuestos si, y sólo si,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tenga el derecho, exigible legalmente, de compensar los importes reconocidos;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tenga la intención de liquidar por el importe neto, o de realizar el activo y liquidar el pasivo simultáneamente.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 Aunque los activos y pasivos corrientes de naturaleza fiscal se evalúen y reconozcan por separado, se compensan en el estado de situación financiera sujetos a los mismos criterios que los establecidos para los instrumentos financieros en la NIC 32. Una entidad tendrá, normalmente, un derecho reconocido legalmente para compensar activos corrientes por impuestos con pasivos corrientes de la misma naturaleza, cuando los mismos se relacionen con impuestos sobre las ganancias correspondientes a la misma autoridad fiscal, y ésta permita a la entidad pagar o recibir una sola cantidad que cancele la situación neta existente.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En los estados financieros consolidados, un activo fiscal de naturaleza corriente en una entidad se compensará con un pasivo corriente fiscal de otra entidad del grupo si, y sólo si, las entidades correspondientes tienen reconocido legalmente el derecho de pagar o recibir una sola cantidad que cancele la situación neta, en el caso de que tales entidades tengan la intención de hacer o recibir tal pago neto o recuperar el activo y pagar, simultáneamente, 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74 Una entidad debe compensar activos por impuestos diferidos con pasivos por impuestos diferidos si, y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tiene reconocido legalmente el derecho de compensar, frente a la autoridad fiscal, los importes reconocidos en esas partidas;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activos por impuestos diferidos y los pasivos por impuestos diferidos se derivan del impuesto a las ganancias correspondientes a la misma autoridad fiscal, que recaen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misma entidad o sujeto fiscal;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diferentes entidades o sujetos a efectos fiscales que pretenden, ya sea liquidar los activos y pasivos fiscales corrientes por su importe neto, ya sea realizar los activos y pagar los pasivos simultáneamente, en cada uno de los periodos futuros en los que se espere liquidar o recuperar cantidades significativas de activos o pasivos por los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75 A fin de evitar la necesidad de establecer un calendario detallado de los momentos en que cada diferencia temporaria revertirá, esta Norma exige a las entidades la compensación de activos y pasivos por impuestos diferidos de la misma entidad o sujeto fiscal si, y sólo si, se relacionan con impuestos sobre las ganancias correspondientes a la misma administración fiscal, siempre y cuando la entidad tenga reconocido legalmente el derecho de compensar los activos corrientes por impuestos diferidos, con los pasivos corrientes de la misma naturaleza.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76 En algunas circunstancias, muy raras en la práctica, la entidad puede tener reconocido legalmente el derecho de compensar, y la intención de liquidar en términos netos, las deudas fiscales de unos determinados periodos, pero no de otros. En tales casos muy especiales, puede requerirse una programación temporal detallada para determinar si el pasivo por impuestos diferidos, de una entidad o sujeto fiscal, producirá un incremento en los pagos por impuestos, en el mismo periodo en que un activo por impuestos diferidos, de otra entidad o sujeto fiscal, vaya a producir una disminución en los pagos de esta segunda entidad fiscal.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Gastos por 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Gasto (ingreso) por el impuesto a las ganancias relativo a las ganancias o pérdidas de las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77 El gasto (ingreso) por impuesto relacionado con el resultado del periodo procedente de actividades ordinarias se presentará como parte del resultado del periodo en los estados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77A</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Diferencias de cambio en los activos o pasivos por impuestos diferidos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La NIC 21, exige el reconocimiento como ingresos o gastos de ciertas diferencias de cambio, pero no especifica si tales diferencias deben ser presentadas en el estado del resultado integral. Por consiguiente, cuando las diferencias de cambio en los activos y pasivos por impuestos diferidos extranjeros se reconozcan en el estado del resultado integral, estas diferencias pueden clasificarse como gastos (ingresos) por impuestos diferidos, si se considera que esa presentación es más útil para los usuarios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79 Los componentes principales del gasto (ingreso) por el impuesto a las ganancias, se revelarán por separado,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80 Los componentes del gasto (ingreso) por el impuesto a las ganancias pueden incluir: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gasto (ingreso) por impuesto a las ganancias corriente, y por tanto correspondiente al periodo presente, por el impuesto;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cualesquiera ajustes de los impuestos corrientes del periodo presente o de los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del gasto (ingreso) por impuestos diferidos relacionado con el nacimiento y reversión de diferencias temporarias;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el importe del gasto (ingreso) por impuestos diferidos relacionado con cambios en las tasas fiscales o con la aparición de nuevos 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de los beneficios de carácter fiscal, procedentes de pérdidas fiscales, créditos fiscales o diferencias temporarias, no reconocidos en periodos anteriores, que se han utilizado para reducir el gasto por impuestos del presente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el importe de los beneficios de carácter fiscal, procedentes de pérdidas fiscales, créditos fiscales o diferencias temporarias, no reconocidos en periodos anteriores, que se han utilizado para reducir el gasto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el impuesto diferido surgido de la baja, o la reversión de bajas anteriores, de saldos de activos por impuestos diferidos, de acuerdo con lo establecido en el párrafo 56;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el importe del gasto (ingreso) por el impuesto, relacionado con los cambios en las políticas contables y los errores, que se ha incluido en la determinación del resultado del periodo, de acuerdo con la NIC 8 porque no ha podido ser contabilizado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81 La siguiente información deberá también revelarse,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agregado de los impuestos, corrientes y diferidos, relacionados con las partidas cargadas o acreditadas directamente a patrimonio (véase el párrafo 62A);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(ae) el importe del ingreso por impuestos relativo a cada componente del otro resultado integral [véase el párrafo 62 y la NIC 1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explicación de la relación entre el gasto (ingreso) por el impuesto y la ganancia contable, en una de las siguientes formas, o en ambas a la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una conciliación numérica entre el gasto (ingreso) por el impuesto y el resultado de multiplicar la ganancia contable por la tasa o tasas impositivas aplicables, especificando también la manera de computar las tasas aplicables utilizadas, o bien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conciliación numérica entre la tasa promedio efectiva y la tasa impositiva aplicable, especificando también la manera de computar la tasa aplicable utilizada;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una explicación de los cambios habidos en la tasa o tasas impositivos aplicables, en comparación con las del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importe (y fecha de validez, si la tuvieran), de las diferencias temporarias deducibles, pérdidas o créditos fiscales no utilizados para los cuales no se hayan reconocido activos por impuestos diferidos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 la cantidad total de diferencias temporarias relacionadas con inversiones en subsidiarias, sucursales y asociadas, o con participaciones en acuerdos conjuntos, para los cuales no se han reconocido pasivos por impuestos diferidos (véase el párrafo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con respecto a cada tipo de diferencia temporaria, y con respecto a cada tipo de pérdidas o créditos fiscales no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importe de los activos y pasivos por impuestos diferidos reconocidos en el estado de situación financiera, para cada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de los gastos o ingresos por impuestos diferidos reconocidos en el resultado del periodo, si esta información no resulta evidente al considerar los cambios en los importes reconocidos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con respecto a las operaciones discontinuadas, el gasto por impuestos relativo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ganancia o pérdida derivada de la discontinuación;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ganancia o pérdida del periodo por las actividades ordinarias de la operación discontinuada, junto con los importes correspondientes para cada uno de los periodos anteriores presentados;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importe de las consecuencias en el impuesto sobre las ganancias de los dividendos para los accionistas de la entidad que hayan sido propuestos o declarados antes de que los estados financieros hayan sido autorizados para su emisión, pero no reconocidos como pasivos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(j) si una combinación de negocios en la que la entidad es la adquirente produce un cambio en el importe reconocido de su activo por impuestos diferidos anterior a la adquisición (véase el párrafo 67), el importe de ese 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(k) si los beneficios por impuestos diferidos adquiridos en una combinación de negocios no están reconocidos en la fecha de la adquisición pero lo hayan sido tras dicha fecha (véase el párrafo 68), una descripción del suceso o del cambio en las circunstancias que dieron lugar al reconocimiento de beneficios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82 Una entidad debe revelar el importe del activo por impuestos diferidos, así como de la naturaleza de la evidencia que apoya su reconocimiento,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realización del activo por impuestos diferidos depende de ganancias futuras por encima de las ganancias surgidas de la reversión de las diferencias temporarias imponibles actuales;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entidad ha experimentado una pérdida, ya sea en el periodo actual o en el precedente, en el país con el que se relaciona el activo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82A En las circunstancias descritas en el párrafo 52A, la entidad debe revelar la naturaleza de las consecuencias potenciales que podrían producirse, en el impuesto a las ganancias, en el caso de que se pagaran dividendos a sus accionistas. Además, la entidad revelará la cuantía de las consecuencias potenciales, que sea practicable determinar, en el impuesto a las ganancias, así como si hay otras consecuencias potenciales que no es practicable determinar.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La información a revelar requerida en el párrafo 81(c), permitirá a los usuarios de los estados financieros entender si la relación entre el gasto (ingreso) por el impuesto y la ganancia contable está fuera de lo normal, así como comprender los factores significativos que pudieran afectar a tal relación en el futuro. La relación entre el gasto (ingreso) por impuestos y la ganancia contable puede estar afectada por factores tales como los ingresos de actividades ordinarias exentos de tributación, los gastos que no son deducibles al determinar la ganancia o la pérdida fiscal, el efecto de las pérdidas fiscales o el de las eventuales tasas impositivas soportadas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Al explicar la relación entre el gasto (ingreso) por impuestos y la ganancia contable, la entidad utilizará la tasa impositiva aplicable que suministre la información más significativa para los usuarios de sus estados financieros. A menudo, la tasa más significativa es la tasa nominal del país en el que está domiciliada la entidad, sumando la tasa aplicada a los impuestos nacionales con las correspondientes a cualesquiera impuestos locales, que se calculen sobre un nivel de ganancias o pérdidas similares. No obstante, para una entidad que opera en diferentes países o administraciones fiscales, puede resultar más significativo agregar las conciliaciones hechas por separado utilizando las tasas nacionales de cada uno de los países. El ejemplo preparado al efecto ilustra cómo la presentación de la conciliación numérica se puede ver afectada por la tasa impositiva aplicable.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70" w:type="dxa"/>
          <w:left w:w="270" w:type="dxa"/>
          <w:bottom w:w="15" w:type="dxa"/>
          <w:right w:w="270" w:type="dxa"/>
        </w:tblCellMar>
        <w:tblLook w:val="04A0" w:firstRow="1" w:lastRow="0" w:firstColumn="1" w:lastColumn="0" w:noHBand="0" w:noVBand="1"/>
      </w:tblPr>
      <w:tblGrid>
        <w:gridCol w:w="8958"/>
      </w:tblGrid>
      <w:tr w:rsidR="00401DFF" w:rsidRPr="00401DFF" w:rsidTr="00401DFF">
        <w:trPr>
          <w:tblCellSpacing w:w="15" w:type="dxa"/>
          <w:jc w:val="center"/>
        </w:trPr>
        <w:tc>
          <w:tcPr>
            <w:tcW w:w="132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85</w:t>
            </w:r>
          </w:p>
        </w:tc>
      </w:tr>
      <w:tr w:rsidR="00401DFF" w:rsidRPr="00401DFF" w:rsidTr="00401DFF">
        <w:trPr>
          <w:tblCellSpacing w:w="15" w:type="dxa"/>
          <w:jc w:val="center"/>
        </w:trPr>
        <w:tc>
          <w:tcPr>
            <w:tcW w:w="132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19X2, la entidad ha tenido una ganancia contable, antes de impuestos, en su propio país (país A) por 1.500 (en 19X1 fue de 2.000) y en el país B por 1.500 (en 19X1, 500). La tasa impositiva es del 30% en el país A y del 20% en el país B. En el país A los gastos de 100 (en 19X1 fue de 200) no son deducibles a efectos fiscales.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Lo que sigue es un ejemplo de conciliación con la tasa impositiva nacional.</w:t>
            </w:r>
            <w:r w:rsidRPr="00401DFF">
              <w:rPr>
                <w:rFonts w:ascii="Times New Roman" w:eastAsia="Times New Roman" w:hAnsi="Times New Roman" w:cs="Times New Roman"/>
                <w:sz w:val="24"/>
                <w:szCs w:val="24"/>
                <w:lang w:eastAsia="es-CO"/>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45"/>
              <w:gridCol w:w="1500"/>
              <w:gridCol w:w="1793"/>
            </w:tblGrid>
            <w:tr w:rsidR="00401DFF" w:rsidRPr="00401DFF" w:rsidTr="00401DFF">
              <w:trPr>
                <w:tblCellSpacing w:w="15" w:type="dxa"/>
                <w:jc w:val="center"/>
              </w:trPr>
              <w:tc>
                <w:tcPr>
                  <w:tcW w:w="7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47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19X1</w:t>
                  </w:r>
                </w:p>
              </w:tc>
              <w:tc>
                <w:tcPr>
                  <w:tcW w:w="193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19X2</w:t>
                  </w:r>
                </w:p>
              </w:tc>
            </w:tr>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Ganancia contable</w:t>
                  </w:r>
                </w:p>
              </w:tc>
              <w:tc>
                <w:tcPr>
                  <w:tcW w:w="3435" w:type="dxa"/>
                  <w:gridSpan w:val="2"/>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7E58BF5A" wp14:editId="2DB1EBBD">
                            <wp:extent cx="1816735" cy="1697990"/>
                            <wp:effectExtent l="0" t="0" r="0" b="0"/>
                            <wp:docPr id="11" name="Rectángulo 11" descr="D8724(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16735" cy="169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1" o:spid="_x0000_s1026" alt="D8724(5).png" style="width:143.05pt;height:13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" filled="f" stroked="f">
                            <o:lock v:ext="edit" aspectratio="t"/>
                            <w10:anchorlock/>
                          </v:rect>
                        </w:pict>
                      </mc:Fallback>
                    </mc:AlternateContent>
                  </w:r>
                </w:p>
              </w:tc>
            </w:tr>
            <w:tr w:rsidR="00401DFF" w:rsidRPr="00401DFF" w:rsidTr="00401DFF">
              <w:trPr>
                <w:tblCellSpacing w:w="15" w:type="dxa"/>
                <w:jc w:val="center"/>
              </w:trPr>
              <w:tc>
                <w:tcPr>
                  <w:tcW w:w="7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Impuestos a la tasa nacional (30%)</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Efecto fiscal de los gastos que no son fiscalmente deducibles</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Efecto de las menores tasas en el país B</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7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Gastos por el impuesto a las ganancias</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Lo que sigue es un ejemplo de conciliación, preparado mediante agregación de las conciliaciones separadas de cada país. En este método, el efecto de las diferencias entre la tasa impositiva del país de la entidad que informa y la tasa impositiva en el otro país, no aparece como información separada en la conciliación. Una entidad puede necesitar discutir el efecto de los cambios significativos, ya sea en las tasas impositivas o en la mezcla de ganancias obtenidas en los diferentes países, a fin de explicar los cambios habidos en la tasa o tasas impositivas aplicables, como exige el párrafo 81 (d).</w:t>
            </w:r>
            <w:r w:rsidRPr="00401DFF">
              <w:rPr>
                <w:rFonts w:ascii="Times New Roman" w:eastAsia="Times New Roman" w:hAnsi="Times New Roman" w:cs="Times New Roman"/>
                <w:sz w:val="24"/>
                <w:szCs w:val="24"/>
                <w:lang w:eastAsia="es-CO"/>
              </w:rPr>
              <w:t xml:space="preserv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65"/>
              <w:gridCol w:w="3273"/>
            </w:tblGrid>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Ganancia contable</w:t>
                  </w:r>
                </w:p>
              </w:tc>
              <w:tc>
                <w:tcPr>
                  <w:tcW w:w="3450" w:type="dxa"/>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1DAD77DF" wp14:editId="22DC610F">
                            <wp:extent cx="1757680" cy="1579245"/>
                            <wp:effectExtent l="0" t="0" r="0" b="0"/>
                            <wp:docPr id="10" name="Rectángulo 10" descr="D8724(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7680" cy="157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0" o:spid="_x0000_s1026" alt="D8724(4).png" style="width:138.4pt;height:1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" filled="f" stroked="f">
                            <o:lock v:ext="edit" aspectratio="t"/>
                            <w10:anchorlock/>
                          </v:rect>
                        </w:pict>
                      </mc:Fallback>
                    </mc:AlternateContent>
                  </w:r>
                </w:p>
              </w:tc>
            </w:tr>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Impuestos según las tasas aplicables a las ganancias en cada país</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778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Efecto fiscal de los gastos que no son fiscalmente deducibles</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7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Gastos por el impuesto a las ganancias</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86 La tasa promedio efectiva será igual al gasto (ingreso) por el impuesto a las ganancias dividido entre la ganancia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A menudo, puede resultar impracticable computar el importe de los pasivos por impuestos diferidos que surgen de las inversiones en subsidiarias, sucursales y asociadas, o de las participaciones en acuerdos conjuntos (véase el párrafo 39). Por ello, esta Norma exige que la entidad revele información sobre las diferencias temporarias subyacentes, pero no sobre los pasivos por impuestos diferidos correspondientes. No obstante, cuando sea posible, se aconseja a las entidades que revelen también información acerca de las cuantías de los pasivos por impuestos diferidos no reconocidos, puesto que los usuarios de los estados financieros pueden encontrar útil esta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87A El párrafo 82A exige que la entidad revele la naturaleza de las consecuencias potenciales que, en el impuesto a las ganancias, podrían producirse en el caso de que se pagaran dividendos a sus accionistas. Una entidad revelará las características importantes del sistema impositivo sobre las ganancias y los factores que vayan a afectar al montante de las potenciales consecuencias del pago de dividendos sobre 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87B A veces, puede no ser practicable el cálculo del importe total de las potenciales consecuencias que, sobre el impuesto, va a tener el pago de dividendos a los accionistas. Este podría ser el caso, por ejemplo, para una entidad que tuviera un gran número de subsidiarias extranjeras. No obstante, incluso en tales circunstancias, algunas porciones de la cuantía total pueden ser fácilmente determinables. Por ejemplo, en un grupo consolidado, la controladora y alguna de sus subsidiarias pueden haber pagado impuestos sobre las ganancias a una tasa más alta por haber dejado ganancias sin distribuir, y tener conciencia de las cuantías que les podrían ser reembolsadas en el caso de pago de dividendos a los </w:t>
      </w:r>
      <w:r w:rsidRPr="00401DFF">
        <w:rPr>
          <w:rFonts w:ascii="Times New Roman" w:eastAsia="Times New Roman" w:hAnsi="Times New Roman" w:cs="Times New Roman"/>
          <w:sz w:val="24"/>
          <w:szCs w:val="24"/>
          <w:lang w:eastAsia="es-CO"/>
        </w:rPr>
        <w:lastRenderedPageBreak/>
        <w:t>accionistas en el futuro, con cargo a las ganancias acumuladas consolidadas. En tal caso, se revelará la cuantía de estos reembolsos. Cuando sea aplicable, la entidad revelará también que existen consecuencias adicionales potenciales, en el impuesto a las ganancias, que no es posible determinar. En los estados financieros individuales de la controladora, si los hubiere, las revelaciones de las consecuencias potenciales en el impuesto a las ganancias, serán las relativas a las ganancias acumuladas de la propia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87C Una entidad obligada a suministrar las revelaciones del párrafo 82A, puede también estar obligada a suministrar otra información a revelar relacionada con las diferencias temporarias que estén asociadas con sus inversiones en subsidiarias, sucursales y asociadas o participaciones en acuerdos conjuntos. En estos casos, la entidad habrá de considerar esto a la hora de determinar qué información revelar según lo establecido en el párrafo 82A. Por ejemplo, una entidad puede estar obligada a revelar la cuantía total de las diferencias temporarias, asociadas con las inversiones en subsidiarias, para las cuales no se han reconocido pasivos por impuestos diferidos [véase el párrafo 81(f)]. Si no fuera practicable el cómputo de las cuantías de los pasivos por impuestos diferidos (véase el párrafo 87), puede haber importes, relativos a tales subsidiarias y derivados de las consecuencias potenciales de los dividendos, que tampoco sea practicable determinar.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88 La entidad revelará información acerca de cualesquiera pasivos contingentes y activos contingentes relacionados con los impuestos,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Pueden aparecer pasivos contingentes y activos contingentes, por ejemplo, derivados de litigios sin resolver con la administración fiscal. De igual forma, en el caso de que se hayan aprobado o anunciado leyes fiscales, o cambios en las tasas impositivas, después del periodo sobre el que se informa, la entidad revelará información acerca de cualquier efecto significativo que tales cambios vayan a suponer sobre sus activos y pasivos por impuestos, ya sean de tipo corriente o diferidos (véase la NIC 10</w:t>
      </w:r>
      <w:r w:rsidRPr="00401DFF">
        <w:rPr>
          <w:rFonts w:ascii="Times New Roman" w:eastAsia="Times New Roman" w:hAnsi="Times New Roman" w:cs="Times New Roman"/>
          <w:i/>
          <w:iCs/>
          <w:sz w:val="24"/>
          <w:szCs w:val="24"/>
          <w:lang w:eastAsia="es-CO"/>
        </w:rPr>
        <w:t xml:space="preserve"> Hechos Ocurridos Después del Periodo sobre el que se Informa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89 Esta Norma Internacional de Contabilidad tendrá vigencia para los estados financieros que cubran periodos que comiencen a partir del 1 de enero de 1998, salvo por lo especificado en el párrafo 91. Si alguna entidad aplica esta Norma en estados financieros que cubran periodos comenzados antes del 1 de enero de 1998, debe revelar en los mismos el hecho de que aplica lo previsto en esta Norma, en lugar de la antigua NIC 12 </w:t>
      </w:r>
      <w:r w:rsidRPr="00401DFF">
        <w:rPr>
          <w:rFonts w:ascii="Times New Roman" w:eastAsia="Times New Roman" w:hAnsi="Times New Roman" w:cs="Times New Roman"/>
          <w:i/>
          <w:iCs/>
          <w:sz w:val="24"/>
          <w:szCs w:val="24"/>
          <w:lang w:eastAsia="es-CO"/>
        </w:rPr>
        <w:t>Contabilización del Impuesto a las Ganancias,</w:t>
      </w:r>
      <w:r w:rsidRPr="00401DFF">
        <w:rPr>
          <w:rFonts w:ascii="Times New Roman" w:eastAsia="Times New Roman" w:hAnsi="Times New Roman" w:cs="Times New Roman"/>
          <w:sz w:val="24"/>
          <w:szCs w:val="24"/>
          <w:lang w:eastAsia="es-CO"/>
        </w:rPr>
        <w:t xml:space="preserve"> aprobada en 1979.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90 Esta Norma deroga la antigua NIC 12 </w:t>
      </w:r>
      <w:r w:rsidRPr="00401DFF">
        <w:rPr>
          <w:rFonts w:ascii="Times New Roman" w:eastAsia="Times New Roman" w:hAnsi="Times New Roman" w:cs="Times New Roman"/>
          <w:i/>
          <w:iCs/>
          <w:sz w:val="24"/>
          <w:szCs w:val="24"/>
          <w:lang w:eastAsia="es-CO"/>
        </w:rPr>
        <w:t>Contabilización del Impuesto a las Ganancias</w:t>
      </w:r>
      <w:r w:rsidRPr="00401DFF">
        <w:rPr>
          <w:rFonts w:ascii="Times New Roman" w:eastAsia="Times New Roman" w:hAnsi="Times New Roman" w:cs="Times New Roman"/>
          <w:sz w:val="24"/>
          <w:szCs w:val="24"/>
          <w:lang w:eastAsia="es-CO"/>
        </w:rPr>
        <w:t>, aprobada en 1979.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 Los párrafos 52A, 52B, 65A, 81(i), 82A, 87A, 87B y 87C, y la eliminación de los párrafos 3 y 50, tendrán vigencia para los estados financieros anuales</w:t>
      </w:r>
      <w:hyperlink r:id="rId22" w:anchor="bf15ce3aa4037044483b371632bfa1a8912nf9" w:tgtFrame="_self" w:history="1">
        <w:r w:rsidRPr="00401DFF">
          <w:rPr>
            <w:rFonts w:ascii="Times New Roman" w:eastAsia="Times New Roman" w:hAnsi="Times New Roman" w:cs="Times New Roman"/>
            <w:color w:val="0000FF"/>
            <w:sz w:val="20"/>
            <w:szCs w:val="20"/>
            <w:u w:val="single"/>
            <w:vertAlign w:val="superscript"/>
            <w:lang w:eastAsia="es-CO"/>
          </w:rPr>
          <w:t>(17)</w:t>
        </w:r>
      </w:hyperlink>
      <w:r w:rsidRPr="00401DFF">
        <w:rPr>
          <w:rFonts w:ascii="Times New Roman" w:eastAsia="Times New Roman" w:hAnsi="Times New Roman" w:cs="Times New Roman"/>
          <w:sz w:val="24"/>
          <w:szCs w:val="24"/>
          <w:lang w:eastAsia="es-CO"/>
        </w:rPr>
        <w:t xml:space="preserve"> que cubran periodos comenzados a partir del 1 de enero de 2001. Se aconseja su aplicación anticipada. Si la adopción anticipada afecta a los estados financieros, una entidad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92 La NIC 1 (revisada en 2007) modificó la terminología utilizada en las NIIF. Además modificó los párrafos 23, 52, 58, 60, 62, 63, 65, 68C, 77 y 81, eliminó el párrafo 61 y añadió los párrafos 61A, 62A y 77A.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93 El párrafo 68 deberá aplicarse prospectivamente desde la fecha de vigencia de la NIIF 3 (revisada en 2008) al reconocimiento de los activos por impuestos diferidos adquiridos en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Por ello, las entidades no ajustarán la contabilización de combinaciones de negocios anteriores si los beneficios fiscales no satisfagan los criterios para su reconocimiento separado a partir de la fecha de la adquisición y se reconocerán con posterioridad a la adquisición, a menos que los beneficios se reconozcan dentro del periodo de medición y procedan de información nueva sobre hechos y circunstancias que existían en la fecha de la adquisición. Cualesquiera otros beneficios por impuestos reconocidos deberán llevarse a resultados (o si esta Norma así lo requiere, fuera del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La NIIF 3 (revisada en 2008) modificó los párrafos 21 y 67 y agregó los párrafos 32A y 81(j) y (k). Una entidad aplicará esas modificaciones a periodos anuales que comiencen a partir del 1 de julio de 2009. Si una entidad aplicase la NIIF 3 (revisada en 2008) a un periodo anterior, las modificaciones se aplicarán también 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 La NIIF 9 emitida en octubre de 2010, modificó el párrafo 20 y eliminó el párrafo 96.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 El párrafo 52 se renumeró como 51A, se modificaron el párrafo 10 y los ejemplos que siguen al párrafo 51A, y se añadieron los párrafos 51B y 51C y el ejemplo siguiente y los párrafos 51D, 51E y 99 mediante </w:t>
      </w:r>
      <w:r w:rsidRPr="00401DFF">
        <w:rPr>
          <w:rFonts w:ascii="Times New Roman" w:eastAsia="Times New Roman" w:hAnsi="Times New Roman" w:cs="Times New Roman"/>
          <w:i/>
          <w:iCs/>
          <w:sz w:val="24"/>
          <w:szCs w:val="24"/>
          <w:lang w:eastAsia="es-CO"/>
        </w:rPr>
        <w:t>Impuestos Diferidos: Recuperación de Activos Subyacentes,</w:t>
      </w:r>
      <w:r w:rsidRPr="00401DFF">
        <w:rPr>
          <w:rFonts w:ascii="Times New Roman" w:eastAsia="Times New Roman" w:hAnsi="Times New Roman" w:cs="Times New Roman"/>
          <w:sz w:val="24"/>
          <w:szCs w:val="24"/>
          <w:lang w:eastAsia="es-CO"/>
        </w:rPr>
        <w:t xml:space="preserve"> emitido en diciembre de 2010. Una entidad aplicará esas modificaciones a periodos anuales que comiencen a partir del 1 de enero de 2012.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98A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 en mayo de 2011, modificó los párrafos 2, 15, 18(e), 24, 38, 39, 43 a 45, 81(f), 87 y 87C. Una entidad aplicará esas modificaciones cuando aplique la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98B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77 y eliminó el párrafo 77A.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Derogación de la SIC-21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99 Las modificaciones realizadas mediante </w:t>
      </w:r>
      <w:r w:rsidRPr="00401DFF">
        <w:rPr>
          <w:rFonts w:ascii="Times New Roman" w:eastAsia="Times New Roman" w:hAnsi="Times New Roman" w:cs="Times New Roman"/>
          <w:i/>
          <w:iCs/>
          <w:sz w:val="24"/>
          <w:szCs w:val="24"/>
          <w:lang w:eastAsia="es-CO"/>
        </w:rPr>
        <w:t>Impuestos Diferidos: Recuperación de Activos Subyacentes</w:t>
      </w:r>
      <w:r w:rsidRPr="00401DFF">
        <w:rPr>
          <w:rFonts w:ascii="Times New Roman" w:eastAsia="Times New Roman" w:hAnsi="Times New Roman" w:cs="Times New Roman"/>
          <w:sz w:val="24"/>
          <w:szCs w:val="24"/>
          <w:lang w:eastAsia="es-CO"/>
        </w:rPr>
        <w:t xml:space="preserve"> emitido en diciembre de 2010, sustituyen a la Interpretación SIC-21 </w:t>
      </w:r>
      <w:r w:rsidRPr="00401DFF">
        <w:rPr>
          <w:rFonts w:ascii="Times New Roman" w:eastAsia="Times New Roman" w:hAnsi="Times New Roman" w:cs="Times New Roman"/>
          <w:i/>
          <w:iCs/>
          <w:sz w:val="24"/>
          <w:szCs w:val="24"/>
          <w:lang w:eastAsia="es-CO"/>
        </w:rPr>
        <w:t>Impuestos a las Ganancias—Recuperación de Activos No Depreciables Revaluados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Bajo esta forma de análisis, no existen diferencias temporarias imponibles. Otra forma alternativa de realizar el análisis es la de suponer que los dividendos acumulados (o devengados) a cobrar tienen una base fiscal de cero, y que se aplica una tasa fiscal del cero por ciento a la diferencia temporaria imponible por valor de 100. En cualquiera de las dos formas de análisis no existe ningún pasivo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Según este análisis, no existen diferencias temporarias deducibles. Otra forma alternativa de realizar el análisis consiste en suponer que las sanciones y multas a pagar tienen una base fiscal de cero, y que se aplica una tasa fiscal del cero por ciento a la diferencia temporaria deducible de 100 que resulta. En cualquiera de las dos formas de análisis, no existe ningún activo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El párrafo 91 hace referencia a los “estados financieros anuales” para aclarar más explícitamente la expresión de las fechas de vigencia adoptadas en 1998. El párrafo 89 hace referencia a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el tratamiento contable de propiedades, planta y equipo, de forma que los usuarios de los estados financieros puedan conocer la información acerca de la inversión que la entidad tiene en sus propiedades, planta y equipo, así como los cambios que se hayan producido en dicha inversión. Los principales problemas que presenta el reconocimiento contable de propiedades, planta y equipo son la contabilización de los activos, la determinación de su importe en libros y los cargos por depreciación y pérdidas por deterioro que deben reconocerse con relación a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debe ser aplicada en la contabilización de los elementos de propiedades, planta y equipo, salvo cuando otra Norma exija o permita un tratamiento contable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Norma no será de aplicación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(a) las propiedades, planta y equipo clasificadas como mantenidas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activos biológicos relacionados con la actividad agrícola (véase la NIC 41 </w:t>
      </w:r>
      <w:r w:rsidRPr="00401DFF">
        <w:rPr>
          <w:rFonts w:ascii="Times New Roman" w:eastAsia="Times New Roman" w:hAnsi="Times New Roman" w:cs="Times New Roman"/>
          <w:i/>
          <w:iCs/>
          <w:sz w:val="24"/>
          <w:szCs w:val="24"/>
          <w:lang w:eastAsia="es-CO"/>
        </w:rPr>
        <w:t>Agricultura);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el reconocimiento y medición de activos para exploración y evaluación (véase la NIIF 6 </w:t>
      </w:r>
      <w:r w:rsidRPr="00401DFF">
        <w:rPr>
          <w:rFonts w:ascii="Times New Roman" w:eastAsia="Times New Roman" w:hAnsi="Times New Roman" w:cs="Times New Roman"/>
          <w:i/>
          <w:iCs/>
          <w:sz w:val="24"/>
          <w:szCs w:val="24"/>
          <w:lang w:eastAsia="es-CO"/>
        </w:rPr>
        <w:t>Exploración y Evaluación de Recursos Minerales);</w:t>
      </w:r>
      <w:r w:rsidRPr="00401DFF">
        <w:rPr>
          <w:rFonts w:ascii="Times New Roman" w:eastAsia="Times New Roman" w:hAnsi="Times New Roman" w:cs="Times New Roman"/>
          <w:sz w:val="24"/>
          <w:szCs w:val="24"/>
          <w:lang w:eastAsia="es-CO"/>
        </w:rPr>
        <w:t xml:space="preserv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derechos mineros y reservas minerales tales como petróleo, gas natural y recursos no renovables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 obstante, esta Norma será de aplicación a los elementos de propiedades, planta y equipo utilizados para desarrollar o mantener los activos descritos en los párrafos (b) a (d).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Otras Normas pueden obligar a reconocer un determinado elemento de propiedades, planta y equipo de acuerdo con un tratamiento diferente al exigido en esta Norma. Por ejemplo,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exige que la entidad evalúe si tiene que reconocer un elemento de propiedades, planta y equipo sobre la base de la transmisión de los riesgos y ventajas. Sin embargo, en tales casos, el resto de aspectos sobre el tratamiento contable de los citados activos, incluyendo su depreciación, se guiarán por los requerimientos de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Una entidad que utilice el modelo del costo para las propiedades de inversión de acuerdo con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utilizará el modelo del costo al aplicar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en libros</w:t>
      </w:r>
      <w:r w:rsidRPr="00401DFF">
        <w:rPr>
          <w:rFonts w:ascii="Times New Roman" w:eastAsia="Times New Roman" w:hAnsi="Times New Roman" w:cs="Times New Roman"/>
          <w:b/>
          <w:bCs/>
          <w:sz w:val="24"/>
          <w:szCs w:val="24"/>
          <w:lang w:eastAsia="es-CO"/>
        </w:rPr>
        <w:t xml:space="preserve"> es el importe por el que se reconoce un activo, una vez deducidas la depreciación acumulada y las pérdidas por deterioro del valor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w:t>
      </w:r>
      <w:r w:rsidRPr="00401DFF">
        <w:rPr>
          <w:rFonts w:ascii="Times New Roman" w:eastAsia="Times New Roman" w:hAnsi="Times New Roman" w:cs="Times New Roman"/>
          <w:b/>
          <w:bCs/>
          <w:sz w:val="24"/>
          <w:szCs w:val="24"/>
          <w:lang w:eastAsia="es-CO"/>
        </w:rPr>
        <w:t xml:space="preserve"> es el importe de efectivo o equivalentes al efectivo pagados, o bien el valor razonable de la contraprestación entregada, para adquirir un activo en el momento de su adquisición o construcción o, cuando fuere aplicable, el importe que se atribuye a ese activo cuando se lo reconoce inicialmente de acuerdo con los requerimientos específicos de otras NIIF, por ejemplo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depreciable</w:t>
      </w:r>
      <w:r w:rsidRPr="00401DFF">
        <w:rPr>
          <w:rFonts w:ascii="Times New Roman" w:eastAsia="Times New Roman" w:hAnsi="Times New Roman" w:cs="Times New Roman"/>
          <w:b/>
          <w:bCs/>
          <w:sz w:val="24"/>
          <w:szCs w:val="24"/>
          <w:lang w:eastAsia="es-CO"/>
        </w:rPr>
        <w:t xml:space="preserve"> es el costo de un activo, u otro importe que lo haya sustituido, menos su valor residual.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 xml:space="preserve">Depreciación </w:t>
      </w:r>
      <w:r w:rsidRPr="00401DFF">
        <w:rPr>
          <w:rFonts w:ascii="Times New Roman" w:eastAsia="Times New Roman" w:hAnsi="Times New Roman" w:cs="Times New Roman"/>
          <w:b/>
          <w:bCs/>
          <w:sz w:val="24"/>
          <w:szCs w:val="24"/>
          <w:lang w:eastAsia="es-CO"/>
        </w:rPr>
        <w:t>es la distribución sistemática del importe depreciable de un activo a lo largo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específico para una entidad</w:t>
      </w:r>
      <w:r w:rsidRPr="00401DFF">
        <w:rPr>
          <w:rFonts w:ascii="Times New Roman" w:eastAsia="Times New Roman" w:hAnsi="Times New Roman" w:cs="Times New Roman"/>
          <w:b/>
          <w:bCs/>
          <w:sz w:val="24"/>
          <w:szCs w:val="24"/>
          <w:lang w:eastAsia="es-CO"/>
        </w:rPr>
        <w:t xml:space="preserve"> es el valor presente de los flujos de efectivo que la entidad espera obtener del uso continuado de un activo y de su disposición al término de su vida útil, o bien de los desembolsos que espera realizar para cancelar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pérdida por deterioro</w:t>
      </w:r>
      <w:r w:rsidRPr="00401DFF">
        <w:rPr>
          <w:rFonts w:ascii="Times New Roman" w:eastAsia="Times New Roman" w:hAnsi="Times New Roman" w:cs="Times New Roman"/>
          <w:b/>
          <w:bCs/>
          <w:sz w:val="24"/>
          <w:szCs w:val="24"/>
          <w:lang w:eastAsia="es-CO"/>
        </w:rPr>
        <w:t xml:space="preserve"> es el exceso del importe en libros de un activo sobre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Las </w:t>
      </w:r>
      <w:r w:rsidRPr="00401DFF">
        <w:rPr>
          <w:rFonts w:ascii="Times New Roman" w:eastAsia="Times New Roman" w:hAnsi="Times New Roman" w:cs="Times New Roman"/>
          <w:b/>
          <w:bCs/>
          <w:i/>
          <w:iCs/>
          <w:sz w:val="24"/>
          <w:szCs w:val="24"/>
          <w:lang w:eastAsia="es-CO"/>
        </w:rPr>
        <w:t>propiedades, planta y equipo</w:t>
      </w:r>
      <w:r w:rsidRPr="00401DFF">
        <w:rPr>
          <w:rFonts w:ascii="Times New Roman" w:eastAsia="Times New Roman" w:hAnsi="Times New Roman" w:cs="Times New Roman"/>
          <w:b/>
          <w:bCs/>
          <w:sz w:val="24"/>
          <w:szCs w:val="24"/>
          <w:lang w:eastAsia="es-CO"/>
        </w:rPr>
        <w:t xml:space="preserve"> son activos tangibles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posee una entidad para su uso en la producción o suministro de bienes y servicios, para arrendarlos a terceros o para propósitos administrativos;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esperan usar durante más de un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recuperable,</w:t>
      </w:r>
      <w:r w:rsidRPr="00401DFF">
        <w:rPr>
          <w:rFonts w:ascii="Times New Roman" w:eastAsia="Times New Roman" w:hAnsi="Times New Roman" w:cs="Times New Roman"/>
          <w:b/>
          <w:bCs/>
          <w:sz w:val="24"/>
          <w:szCs w:val="24"/>
          <w:lang w:eastAsia="es-CO"/>
        </w:rPr>
        <w:t xml:space="preserve"> es el mayor entre el valor razonable menos los costos de venta de un activo y su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 xml:space="preserve">valor residual </w:t>
      </w:r>
      <w:r w:rsidRPr="00401DFF">
        <w:rPr>
          <w:rFonts w:ascii="Times New Roman" w:eastAsia="Times New Roman" w:hAnsi="Times New Roman" w:cs="Times New Roman"/>
          <w:b/>
          <w:bCs/>
          <w:sz w:val="24"/>
          <w:szCs w:val="24"/>
          <w:lang w:eastAsia="es-CO"/>
        </w:rPr>
        <w:t>de un activo es el importe estimado que la entidad podría obtener actualmente por la disposición del elemento, después de deducir los costos estimados por tal disposición, si el activo ya hubiera alcanzado la antigüedad y las demás condiciones esperadas al término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Vida útil</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periodo durante el cual se espera utilizar el activo por parte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número de unidades de producción o similares que se espera obtener del mismo por parte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Un elemento de propiedades, planta y equipo se reconocerá como activo si, y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sea probable que la entidad obtenga los beneficios económicos futuros derivados del mismo;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costo del elemento puede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 Las piezas de repuesto y el equipo auxiliar se registran habitualmente como inventarios, y se reconocen en el resultado del periodo cuando se consumen. Sin embargo, las piezas de repuesto importantes y el equipo de mantenimiento permanente, que la entidad espere utilizar durante más de un periodo, cumplen normalmente las condiciones para ser calificados como elementos de propiedades, planta y equipo. De forma similar, si las piezas de repuesto y el equipo auxiliar sólo pudieran ser utilizados con relación a un elemento de propiedades, planta y equipo, se contabilizarán como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Esta Norma no establece la unidad de medición para propósitos de reconocimiento, por ejemplo no dice en qué consiste una partida de propiedades, planta y equipo. Por ello, se requiere la realización de juicios para aplicar los criterios de reconocimiento a las circunstancias específicas de la entidad. Podría ser apropiado agregar partidas que individualmente son poco significativas, tales como moldes, herramientas y troqueles, y aplicar los criterios pertinentes a los valores totales de las mismas.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entidad evaluará, de acuerdo con este principio de reconocimiento, todos los costos de propiedades, planta y equipo en el momento en que se incurre en ellos. Estos costos comprenden tanto aquéllos en que se ha incurrido inicialmente para adquirir o construir una partida de propiedades, planta y equipo, como los costos incurridos posteriormente para añadir, sustituir parte de o mantener el elemento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iniciales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Algunos elementos de propiedades, planta y equipo pueden ser adquiridos por razones de seguridad o de índole medioambiental. Aunque la adquisición de ese tipo de propiedades, planta y equipo no incremente los beneficios económicos que proporcionan las partidas de propiedades, planta y equipo existentes, puede ser necesaria para que la entidad logre obtener los beneficios económicos derivados del resto de los activos. Dichos elementos de propiedades, planta y equipo cumplen las condiciones para su reconocimiento como activos porque permiten a la entidad obtener beneficios económicos adicionales del resto de sus activos, respecto a los que hubiera obtenido si no los hubiera adquirido. Por ejemplo, una industria química puede tener que instalar nuevos procesos de fabricación para cumplir con la normativa medioambiental relativa a la producción y almacenamiento de productos químicos, reconociendo entonces como parte de propiedades, planta y equipo las mejoras efectuadas en la planta, en la medida que sean recuperables, puesto que sin ellas la entidad quedaría inhabilitada para producir y vender esos productos químicos. No obstante, el importe en libros resultante de tales activos y otros relacionados con ellos se revisará para comprobar la existencia de deterioro del valor, de acuerdo con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 De acuerdo con el criterio de reconocimiento contenido en el párrafo 7, la entidad no reconocerá, en el importe en libros de un elemento de propiedades, planta y equipo, los costos derivados del mantenimiento diario del elemento. Tales costos se reconocerán en el resultado cuando se incurra en ellos. Los costos del mantenimiento diario son principalmente los costos de mano de obra y los consumibles, que pueden incluir el costo </w:t>
      </w:r>
      <w:r w:rsidRPr="00401DFF">
        <w:rPr>
          <w:rFonts w:ascii="Times New Roman" w:eastAsia="Times New Roman" w:hAnsi="Times New Roman" w:cs="Times New Roman"/>
          <w:sz w:val="24"/>
          <w:szCs w:val="24"/>
          <w:lang w:eastAsia="es-CO"/>
        </w:rPr>
        <w:lastRenderedPageBreak/>
        <w:t>de pequeños componentes. El objetivo de estos desembolsos se describe a menudo como “reparaciones y conservación” del elemento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Ciertos componentes de algunos elementos de propiedades, planta y equipo pueden necesitar ser reemplazados a intervalos regulares. Por ejemplo, un horno puede necesitar revisiones y cambios tras un determinado número de horas de funcionamiento, y los componentes interiores de una aeronave, tales como asientos o instalaciones de cocina, pueden necesitar ser sustituidos varias veces a lo largo de la vida de la aeronave. Ciertos elementos de propiedades, planta y equipo pueden ser adquiridos para hacer una sustitución recurrente menos frecuente, como podría ser la sustitución de los tabiques de un edificio, o para proceder a un recambio no frecuente. De acuerdo con el criterio de reconocimiento del párrafo 7, la entidad reconocerá, dentro del importe en libros de un elemento de propiedades, planta y equipo, el costo de la sustitución de parte de dicho elemento cuando se incurra en ese costo, siempre que se cumpla el criterio de reconocimiento. El importe en libros de esas partes que se sustituyen se dará de baja en cuentas, de acuerdo con las disposiciones que al respecto contiene esta Norma (véanse los párrafos 67 a 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condición para que algunos elementos de propiedades, planta y equipo continúen operando, (por ejemplo, una aeronave) puede ser la realización periódica de inspecciones generales por defectos, independientemente de que las partes del elemento sean sustituidas o no. Cuando se realice una inspección general, su costo se reconocerá en el importe en libros del elemento de propiedades, planta y equipo como una sustitución, si se satisfacen las condiciones para su reconocimiento. Al mismo tiempo, se dará de baja cualquier importe en libros del costo de una inspección previa, que permanezca en la citada partida y sea distinto de los componentes físicos no sustituidos. Esto sucederá con independencia de que el costo de la inspección previa fuera identificado contablemente dentro de la transacción mediante la cual se adquirió o construyó dicha partida. Si fuera necesario, puede utilizarse el costo estimado de una inspección similar futura como indicador de cuál fue el costo del componente de inspección existente cuando la partida fue adquirida o construida.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en el momento del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 elemento de propiedades, planta y equipo, que cumpla las condiciones para ser reconocido como un activo, se medirá por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El costo de los elementos de propiedades, planta y equipo comprende: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 precio de adquisición, incluidos los aranceles de importación y los impuestos indirectos no recuperables que recaigan sobre la adquisición, después de deducir cualquier descuento o rebaja del precio.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Todos los costos directamente atribuibles a la ubicación del activo en el lugar y en las condiciones necesarias para que pueda operar de la forma prevista por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La estimación inicial de los costos de desmantelamiento y retiro del elemento, así como la rehabilitación del lugar sobre el que se asienta, la obligación en que incurre una entidad cuando adquiere el elemento o como consecuencia de haber utilizado dicho elemento durante un determinado periodo, con propósitos distintos al de producción de inventarios durante tal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Son ejemplos de costos atribuibles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costos de beneficios a los empleados (según se definen en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que procedan directamente de la construcción o adquisición de un elemento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preparación del emplazamiento físico;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de entrega inicial y los de manipulación o transporte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costos de instalación y montaje;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costos de comprobación de que el activo funciona adecuadamente, después de deducir los importes netos de la venta de cualesquiera elementos producidos durante el proceso de instalación y puesta a punto del activo (tales como muestras producidas mientras se probaba el equipo);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los honorarios profesionales.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La entidad aplicará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para contabilizar los costos derivados de las obligaciones por desmantelamiento, retiro y rehabilitación del lugar sobre el que se asienta el elemento, en los que se haya incurrido durante un determinado periodo como consecuencia de haber utilizado dicho elemento para producir inventarios. Las obligaciones por los costos contabilizados de acuerdo con la NIC 2 o la NIC 16 se reconocerán y medirán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Ejemplos de costos que no forman parte del costo de un elemento de propiedades, planta y equipo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de apertura de una nueva instalación productiva;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introducción de un nuevo producto o servicio (incluyendo los costos de actividades publicitarias y promocionales);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de apertura del negocio en una nueva localización o dirigirlo a un nuevo segmento de clientela (incluyendo los costos de formación del personal);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costos de administración y otros costos indirectos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20 El reconocimiento de los costos en el importe en libros de un elemento de propiedades, planta y equipo terminará cuando el elemento se encuentre en el lugar y condiciones necesarias para operar de la forma prevista por la gerencia. Por ello, los costos incurridos por la utilización o por la reprogramación del uso de un elemento no se incluirán en el importe en libros del elemento correspondiente. Por ejemplo, los siguientes costos no se incluirán en el importe en libros de un elemento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incurridos cuando un elemento, capaz de operar de la forma prevista por la gerencia, todavía tiene que ser puesto en marcha o está operando por debajo de su capacidad plena;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pérdidas operativas iniciales, tales como las incurridas mientras se desarrolla la demanda de los productos que se elaboran con el elemento;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costos de reubicación o reorganización de parte o de la totalidad de las operaciones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Algunas operaciones, si bien relacionadas con la construcción o desarrollo de un elemento de propiedades, planta y equipo, no son necesarias para ubicar al activo en el lugar y condiciones necesarios para que pueda operar de la forma prevista por la gerencia. Estas operaciones accesorias pueden tener lugar antes o durante las actividades de construcción o de desarrollo. Por ejemplo, pueden obtenerse ingresos mediante el uso de un solar como aparcamiento hasta que comience la construcción. Puesto que estas operaciones accesorias no son imprescindibles para colocar al elemento en el lugar y condiciones necesarios para operar de la forma prevista por la gerencia, los ingresos y gastos asociados a las mismas se reconocerán en el resultado del periodo, mediante su inclusión dentro las clases apropiadas de ingresos y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El costo de un activo construido por la propia entidad se determinará utilizando los mismos principios que si fuera un elemento de propiedades, planta y equipo adquirido. Si la entidad fabrica activos similares para su venta, en el curso normal de su operación, el costo del activo será, normalmente, el mismo que tengan el resto de los producidos para la venta (véase la NIC 2). Por tanto, se eliminará cualquier ganancia interna para obtener el costo de adquisición de dichos activos. De forma similar, no se incluirán, en el costo de producción del activo, las cantidades que excedan los rangos normales de consumo de materiales, mano de obra u otros factores empleados. En la NIC 23 </w:t>
      </w:r>
      <w:r w:rsidRPr="00401DFF">
        <w:rPr>
          <w:rFonts w:ascii="Times New Roman" w:eastAsia="Times New Roman" w:hAnsi="Times New Roman" w:cs="Times New Roman"/>
          <w:i/>
          <w:iCs/>
          <w:sz w:val="24"/>
          <w:szCs w:val="24"/>
          <w:lang w:eastAsia="es-CO"/>
        </w:rPr>
        <w:t>Costos por Préstamos</w:t>
      </w:r>
      <w:r w:rsidRPr="00401DFF">
        <w:rPr>
          <w:rFonts w:ascii="Times New Roman" w:eastAsia="Times New Roman" w:hAnsi="Times New Roman" w:cs="Times New Roman"/>
          <w:sz w:val="24"/>
          <w:szCs w:val="24"/>
          <w:lang w:eastAsia="es-CO"/>
        </w:rPr>
        <w:t>, se establecen los criterios para el reconocimiento de los intereses como componentes del importe en libros de un elemento de propiedades, planta y equipo construido por la propia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 costo de un elemento de propiedades, planta y equipo será el precio equivalente en efectivo en la fecha de reconocimiento. Si el pago se aplaza más allá de los términos normales de crédito, la diferencia entre el precio equivalente al efectivo y el total de los pagos se reconocerá como intereses a lo largo del periodo del crédito a menos que tales intereses se capitalicen de acuerdo con la NIC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24 Algunos elementos de propiedades, planta y equipo pueden haber sido adquiridos a cambio de uno o varios activos no monetarios, o de una combinación de activos monetarios y no monetarios. La siguiente discusión se refiere solamente a la permuta de un activo no monetario por otro, pero también es aplicable a todas las permutas descritas en el primer inciso de este párrafo. El costo de dicho elemento de propiedades, planta y equipo se medirá por su valor razonable, a menos que (a) la transacción de intercambio no tenga carácter comercial, o (b) no pueda medirse con fiabilidad el valor razonable del activo recibido ni el del activo entregado. El elemento adquirido se medirá de esta forma incluso cuando la entidad no pueda dar de baja inmediatamente el activo entregado. Si la partida adquirida no se mide por su valor razonable, su costo se medirá por el importe en libros del activo entregado.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Una entidad determinará si una transacción de intercambio tiene carácter comercial mediante la consideración de la medida en que se espera que cambien sus flujos de efectivo futuros como resultado de la transacción. Una transacción de intercambio tiene naturaleza comercial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configuración (riesgo, calendario e importe) de los flujos de efectivo del activo recibido difiere de la configuración de los flujos de efectivo del activo transferido;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específico para la entidad, de la parte de sus actividades afectadas por la permuta, se ve modificado como consecuencia del intercambio;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diferencia identificada en (a) o en (b) es significativa al compararla con el valor razonable de los activos intercambiados.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Al determinar si una permuta tiene carácter comercial, el valor específico para la entidad de la parte de sus actividades afectadas por la transacción deberá tener en cuenta los flujos de efectivo después de impuestos. El resultado de estos análisis puede ser claro sin que una entidad tenga que realizar cálculos detallados.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El valor razonable de un activo, puede medirse con fiabilidad si (a) la variabilidad en el rango de las mediciones del valor razonable del activo no es significativa, o (b) las probabilidades de las diferentes estimaciones, dentro de ese rango, pueden ser evaluadas razonablemente y utilizadas en la medición del valor razonable. Si la entidad es capaz de medir de forma fiable los valores razonables del activo recibido o del activo entregado, se utilizará el valor razonable del activo entregado para medir el costo del activo recibido, a menos que se tenga una evidencia más clara del valor razonable del activo recibido.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El costo de un elemento de propiedades, planta y equipo que haya sido adquirido por el arrendatario en una operación de arrendamiento financiero, se determinará utilizando los principios establecidos en la NIC 17</w:t>
      </w:r>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28 El importe en libros de un elemento de propiedades, planta y equipo puede ser minorado por el importe de las subvenciones del gobierno, de acuerdo con la NIC 20 </w:t>
      </w:r>
      <w:r w:rsidRPr="00401DFF">
        <w:rPr>
          <w:rFonts w:ascii="Times New Roman" w:eastAsia="Times New Roman" w:hAnsi="Times New Roman" w:cs="Times New Roman"/>
          <w:i/>
          <w:iCs/>
          <w:sz w:val="24"/>
          <w:szCs w:val="24"/>
          <w:lang w:eastAsia="es-CO"/>
        </w:rPr>
        <w:t>Contabilización de las Subvenciones del Gobierno e Información a Revelar sobre las Ayudas Gubernamentales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Medición posterior al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29 La entidad elegirá como política contable el modelo del costo del párrafo 30 o el modelo de revaluación del párrafo 31, y aplicará esa política a todos los elementos que compongan una clase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Con posterioridad a su reconocimiento como activo, un elemento de propiedades, planta y equipo se registrará por su costo menos la depreciación acumulada y el importe acumulado de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Con posterioridad a su reconocimiento como activo, un elemento de propiedades, planta y equipo cuyo valor razonable pueda medirse con fiabilidad, se contabilizará por su valor revaluado, que es su valor razonable, en el momento de la revaluación, menos la depreciación acumulada y el importe acumulado de las pérdidas por deterioro de valor que haya sufrido. Las revaluaciones se harán con suficiente regularidad, para asegurar que el importe en libros, en todo momento, no difiera significativamente del que podría determinarse utilizando el valor razonable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32-33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La frecuencia de las revaluaciones dependerá de los cambios que experimenten los valores razonables de los elementos de propiedades, planta y equipo que se estén revaluando. Cuando el valor razonable del activo revaluado difiera significativamente de su importe en libros, será necesaria una nueva revaluación. Algunos elementos de propiedades, planta y equipo experimentan cambios significativos y volátiles en su valor razonable, por lo que necesitarán revaluaciones anuales. Tales revaluaciones frecuentes serán innecesarias para elementos de propiedades, planta y equipo con variaciones insignificantes en su valor razonable. Para éstos, pueden ser suficientes revaluaciones hechas cada tres o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Cuando se revalúe un elemento de propiedades, planta y equipo, la depreciación acumulada en la fecha de la revaluación puede ser tratada de cualquiera de las siguientes maneras: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Reexpresada proporcionalmente al cambio en el importe en libros bruto del activo, de manera que el importe en libros del mismo después de la revaluación sea igual a su importe revaluado. Este método se utiliza a menudo cuando se revalúa el activo por medio de la aplicación de un índice para determinar su costo de reposición depreciado (véase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eliminada contra el importe en libros bruto del activo, de manera que lo que se reexpresa es el importe neto resultante, hasta alcanzar el importe revaluado del activo. Este método se utiliza habitualmente en edificios.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cuantía del ajuste en la depreciación acumulada, que surge de la reexpresión o eliminación anterior, forma parte del incremento o disminución del importe en libros del activo, que se contabilizará de acuerdo con lo establecido en los párrafos 39 y 40.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Si se revalúa un elemento de propiedades, planta y equipo, se revaluarán también todos los elementos que pertenezcan a la misma clase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Una clase de elementos pertenecientes a propiedades, planta y equipo es un conjunto de activos de similar naturaleza y uso en las operaciones de una entidad. Los siguientes son ejemplos de clases separadas: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terrenos;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terrenos y edificios;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maquinaria;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buques;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aeronaves;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vehículos de motor;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mobiliario y enseres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equipo de oficina.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Los elementos pertenecientes a una clase, de las que componen las propiedades, planta y equipo, se revaluarán simultáneamente con el fin de evitar revaluaciones selectivas, y para evitar la inclusión en los estados financieros de partidas que serían una mezcla de costos y valores referidos a diferentes fechas. No obstante, cada clase de activos puede ser revaluada de forma periódica, siempre que la revaluación de esa clase se realice en un intervalo corto de tiempo y que los valores se mantengan constantemente actualizados.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Si se incrementa el importe en libros de un activo como consecuencia de una revaluación, este aumento se reconocerá directamente en otro resultado integral y se acumulará en el patrimonio, bajo el encabezamiento de superávit de revaluación. Sin embargo, el incremento se reconocerá en el resultado del periodo en la medida en que sea una reversión de un decremento por una revaluación del mismo activo reconocido anteriormente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40 Cuando se reduzca el importe en libros de un activo como consecuencia de una revaluación, tal disminución se reconocerá en el resultado del periodo. Sin embargo, la disminución se reconocerá en otro resultado integral en la medida en que existiera saldo acreedor en el superávit de revaluación en relación con ese activo. La disminución reconocida en otro resultado integral reduce el importe acumulado en el patrimonio contra la cuenta de superávit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El superávit de revaluación de un elemento de propiedades, planta y equipo incluido en el patrimonio podrá ser transferido directamente a ganancias acumuladas, cuando se produzca la baja en cuentas del activo. Esto podría implicar la transferencia total del superávit cuando la entidad disponga del activo. No obstante, parte del superávit podría transferirse a medida que el activo fuera utilizado por la entidad. En ese caso, el importe del superávit transferido sería igual a la diferencia entre la depreciación calculada según el valor revaluado del activo y la calculada según su costo original. Las transferencias desde las cuentas de superávit de revaluación a ganancias acumuladas no pasarán por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 Los efectos de la revaluación de propiedades, planta y equipo, sobre los impuestos sobre las ganancias, si los hubiere, se contabilizarán y revelarán de acuerdo con la NIC 12 </w:t>
      </w:r>
      <w:r w:rsidRPr="00401DFF">
        <w:rPr>
          <w:rFonts w:ascii="Times New Roman" w:eastAsia="Times New Roman" w:hAnsi="Times New Roman" w:cs="Times New Roman"/>
          <w:i/>
          <w:iCs/>
          <w:sz w:val="24"/>
          <w:szCs w:val="24"/>
          <w:lang w:eastAsia="es-CO"/>
        </w:rPr>
        <w:t>Impuesto a las Ganancias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Se depreciará de forma separada cada parte de un elemento de propiedades, planta y equipo que tenga un costo significativo con relación al costo total del elemento.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Una entidad distribuirá el importe inicialmente reconocido con respecto a una partida de propiedades, planta y equipo entre sus partes significativas y depreciará de forma separada cada una de estas partes. Por ejemplo, podría ser adecuado depreciar por separado la estructura y los motores de un avión, tanto si se tiene en propiedad como si se tiene en arrendamiento financiero. De forma análoga, si una entidad adquiere propiedades, planta y equipo sujeto a un arrendamiento operativo en el que es el arrendador, puede ser adecuado depreciar por separado los importes reflejados en el costo de esa partida que sean atribuibles a las condiciones favorables o desfavorables del arrendamiento con respecto a las condiciones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Una parte significativa de un elemento de propiedades, planta y equipo puede tener una vida útil y un método de depreciación que coincidan con la vida y el método utilizados para otra parte significativa del mismo elemento. En tal caso, ambas partes podrían agruparse para determinar el cargo por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En la medida que la entidad deprecie de forma separada algunas partes de un elemento de propiedades, planta y equipo, también depreciará de forma separada el resto del elemento. El resto estará integrado por las partes del elemento que individualmente no sean significativas. Si la entidad tiene diversas expectativas para cada una de esas partes, podría ser necesario emplear técnicas de aproximación para depreciar el resto, de forma que represente fielmente el patrón de consumo o la vida útil de sus componentes, o ambos.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47 La entidad podrá elegir por depreciar de forma separada las partes que compongan un elemento y no tengan un costo significativo con relación al costo total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48 El cargo por depreciación de cada periodo se reconocerá en el resultado del periodo, salvo que se haya incluido en el importe en libros de otro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49 El cargo por depreciación de un periodo se reconocerá habitualmente en el resultado del mismo. Sin embargo, en ocasiones los beneficios económicos futuros incorporados a un activo se incorporan a la producción de otros activos. En este caso, el cargo por depreciación formará parte del costo del otro activo y se incluirá en su importe en libros. Por ejemplo, la depreciación de una instalación y equipo de manufactura se incluirá en los costos de transformación de los inventarios (véase la NIC 2). De forma similar, la depreciación de las propiedades, planta y equipo utilizada para actividades de desarrollo podrá incluirse en el costo de un activo intangible reconocido de acuerdo con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 depreciable y periodo de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50 El importe depreciable de un activo se distribuirá de forma sistemática a lo largo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51 El valor residual y la vida útil de un activo se revisarán, como mínimo, al término de cada periodo anual y, si las expectativas difirieren de las estimaciones previas, los cambios se contabilizarán como un cambio en una estimación contable, de acuerdo con la NIC 8 </w:t>
      </w:r>
      <w:r w:rsidRPr="00401DFF">
        <w:rPr>
          <w:rFonts w:ascii="Times New Roman" w:eastAsia="Times New Roman" w:hAnsi="Times New Roman" w:cs="Times New Roman"/>
          <w:b/>
          <w:bCs/>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La depreciación se contabilizará incluso si el valor razonable del activo excede a su importe en libros, siempre y cuando el valor residual del activo no supere al importe en libros del mismo. Las operaciones de reparación y mantenimiento de un activo no evitan realizar la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El importe depreciable de un activo se determina después de deducir su valor residual. En la práctica, el valor residual de un activo a menudo es insignificante, y por tanto irrelevante en el cálculo del importe depreciable.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El valor residual de un activo podría aumentar hasta igualar o superar el importe en libros del activo. Si esto sucediese, el cargo por depreciación del activo será nulo, a menos que —y hasta que— ese valor residual disminuya posteriormente y se haga menor que el importe en libros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La depreciación de un activo comenzará cuando esté disponible para su uso, esto es, cuando se encuentre en la ubicación y en las condiciones necesarias para operar de la forma prevista por la gerencia. La depreciación de un activo cesará en la fecha más temprana entre aquélla en que el activo se clasifique como mantenido para la venta (o incluido en un grupo de activos para su disposición que se haya clasificado como mantenido para la venta) de acuerdo con la NIIF 5, y la fecha en que se produzca la baja en cuentas del mismo. Por </w:t>
      </w:r>
      <w:r w:rsidRPr="00401DFF">
        <w:rPr>
          <w:rFonts w:ascii="Times New Roman" w:eastAsia="Times New Roman" w:hAnsi="Times New Roman" w:cs="Times New Roman"/>
          <w:sz w:val="24"/>
          <w:szCs w:val="24"/>
          <w:lang w:eastAsia="es-CO"/>
        </w:rPr>
        <w:lastRenderedPageBreak/>
        <w:t>tanto, la depreciación no cesará cuando el activo esté sin utilizar o se haya retirado del uso activo, a menos que se encuentre depreciado por completo. Sin embargo, si se utilizan métodos de depreciación en función del uso, el cargo por depreciación podría ser nulo cuando no tenga lugar ninguna actividad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Los beneficios económicos futuros incorporados a un activo, se consumen, por parte de la entidad, principalmente a través de su utilización. No obstante, otros factores, tales como la obsolescencia técnica o comercial y el deterioro natural producido por la falta de utilización del bien, producen a menudo una disminución en la cuantía de los beneficios económicos que cabría esperar de la utilización del activo. Consecuentemente, para determinar la vida útil del elemento de propiedades, planta y equipo, se tendrán en cuenta todos los factores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utilización prevista del activo. El uso se evalúa por referencia a la capacidad o al producto físico que se espere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desgaste físico esperado, que dependerá de factores operativos tales como el número de turnos de trabajo en los que se utilizará el activo, el programa de reparaciones y mantenimiento, y el grado de cuidado y conservación mientras el activo no está siendo utilizado.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obsolescencia técnica o comercial procedente de los cambios o mejoras en la producción, o de los cambios en la demanda del mercado de los productos o servicios que se obtienen con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límites legales o restricciones similares sobre el uso del activo, tales como las fechas de caducidad de los contratos de arrendamiento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La vida útil de un activo se definirá en términos de la utilidad que se espere que aporte a la entidad. La política de gestión de activos llevada a cabo por la entidad podría implicar la disposición de los activos después de un periodo específico de utilización, o tras haber consumido una cierta proporción de los beneficios económicos incorporados a los mismos. Por tanto, la vida útil de un activo puede ser inferior a su vida económica. La estimación de la vida útil de un activo, es una cuestión de criterio, basado en la experiencia que la entidad tenga con activos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Los terrenos y los edificios son activos separados, y se contabilizarán por separado, incluso si han sido adquiridos de forma conjunta. Con algunas excepciones, tales como minas, canteras y vertederos, los terrenos tienen una vida ilimitada y por tanto no se deprecian. Los edificios tienen una vida limitada y, por tanto, son activos depreciables. Un incremento en el valor de los terrenos en los que se asienta un edificio no afectará a la determinación del importe depreciable del edificio.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59 Si el costo de un terreno incluye los costos de desmantelamiento, traslado y rehabilitación, la porción que corresponda a la rehabilitación del terreno se depreciará a lo largo del periodo en el que se obtengan los beneficios por haber incurrido en esos costos. </w:t>
      </w:r>
      <w:r w:rsidRPr="00401DFF">
        <w:rPr>
          <w:rFonts w:ascii="Times New Roman" w:eastAsia="Times New Roman" w:hAnsi="Times New Roman" w:cs="Times New Roman"/>
          <w:sz w:val="24"/>
          <w:szCs w:val="24"/>
          <w:lang w:eastAsia="es-CO"/>
        </w:rPr>
        <w:lastRenderedPageBreak/>
        <w:t>En algunos casos, el terreno en sí mismo puede tener una vida útil limitada, en cuyo caso se depreciará de forma que refleje los beneficios que se van a derivar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Método de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60 El método de depreciación utilizado reflejará el patrón con arreglo al cual se espera que sean consumidos, por parte de la entidad, los beneficios económicos futuros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El método de depreciación aplicado a un activo se revisará, como mínimo, al término de cada periodo anual y, si hubiera habido un cambio significativo en el patrón esperado de consumo de los beneficios económicos futuros incorporados al activo, se cambiará para reflejar el nuevo patrón. Dicho cambio se contabilizará como un cambio en una estimación contable,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Pueden utilizarse diversos métodos de depreciación para distribuir el importe depreciable de un activo de forma sistemática a lo largo de su vida útil. Entre los mismos se incluyen el método lineal, el método de depreciación decreciente y el método de las unidades de producción. La depreciación lineal dará lugar a un cargo constante a lo largo de la vida útil del activo, siempre que su valor residual no cambie. El método de depreciación decreciente en función del saldo del elemento dará lugar a un cargo que irá disminuyendo a lo largo de su vida útil. El método de las unidades de producción dará lugar a un cargo basado en la utilización o producción esperada. La entidad elegirá el método que más fielmente refleje el patrón esperado de consumo de los beneficios económicos futuros incorporados al activo. Dicho método se aplicará uniformemente en todos los periodos, a menos que se haya producido un cambio en el patrón esperado de consumo de dichos beneficios económicos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63 Para determinar si un elemento de propiedades, planta y equipo ha visto deteriorado su valor, la entidad aplicará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En dicha Norma se explica cómo debe proceder la entidad para la revisión del importe en libros de sus activos, cómo ha de determinar el importe recuperable de un activo y cuándo debe proceder a reconocer, o en su caso, revertir,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65 Las compensaciones procedentes de terceros, por elementos de propiedades, planta y equipo que hayan experimentado un deterioro del valor, se hayan perdido o se hayan abandonado, se incluirán en el resultado del periodo cuando tales compensaciones sean exigibles.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66 El deterioro del valor o las pérdidas de los elementos de propiedades, planta y equipo son hechos separables de las reclamaciones de pagos o compensaciones de terceros, así como de cualquier compra posterior o construcción de activos que reemplacen a los citados elementos, y por ello se contabilizarán de forma separada, procediendo de la manera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deterioro del valor de los elementos de propiedades, planta y equipo se reconocerá según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baja en cuentas de los elementos de propiedades, planta y equipo retirados o de los que se haya dispuesto por otra vía se contabilizará según lo establecido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compensación de terceros por elementos de propiedades, planta y equipo que hubieran visto deteriorado su valor, se hubieran perdido o se hubieran abandonado se incluirá en la determinación del resultado del periodo, en el momento en que la compensación sea exigible;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costo de los elementos de propiedades, planta y equipo rehabilitados, adquiridos o construidos para reemplazar los perdidos o deteriorados se determinará de acuerdo con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67 El importe en libros de un elemento de propiedades, planta y equipo se dará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por su disposición;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cuando no se espere obtener beneficios económicos futuros por su uso o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68 La pérdida o ganancia surgida al dar de baja un elemento de propiedades, planta y equipo se incluirá en el resultado del periodo cuando la partida sea dada de baja en cuentas (a menos que la NIC 17 establezca otra cosa, en caso de una venta con arrendamiento financiero posterior). Las ganancias no se clasificarán como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68A Sin embargo, una entidad que, en el curso de sus actividades ordinarias, venda rutinariamente elementos de propiedades, planta y equipo que se mantenían para arrendar a terceros, transferirá esos activos a los inventarios por su importe en libros cuando dejen de ser arrendados y se clasifiquen como mantenidos para la venta. El importe obtenido por la venta de esos activos se reconocerá como ingreso de actividades ordinarias de acuerdo con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La NIIF 5 no será de aplicación cuando los activos que se mantienen para la venta en el curso ordinario de la actividad se transfieran a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69 La disposición de un elemento de propiedades, planta y equipo puede llevarse a cabo de diversas maneras (por ejemplo mediante la venta, realizando sobre la misma un contrato de arrendamiento financiero o por donación). Para determinar la fecha en que se ha dispuesto de una partida, una entidad aplicará los criterios establecidos en la NIC 18 para el reconocimiento de ingresos de actividades ordinarias por ventas de bienes. La NIC 17 se aplicará a las disposiciones por una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70 Si, de acuerdo con el principio de reconocimiento del párrafo 7, la entidad reconociera dentro del importe en libros de un elemento de propiedades, planta y equipo el costo derivado de la sustitución de una parte del elemento, entonces dará de baja el importe en libros de la parte sustituida, con independencia de si esta parte se hubiera amortizado de forma separada. Si no fuera practicable para la entidad determinar el importe en libros del elemento sustituido, podrá utilizar el costo de la sustitución como indicativo de cuál era el costo del elemento sustituido en el momento en el que fue adquirido o construido.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71 La pérdida o ganancia derivada de la baja en cuentas de un elemento de propiedades, planta y equipo, se determinará como la diferencia entre el importe neto que, en su caso, se obtenga por la disposición y el importe en libros del elemento.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 La contrapartida a cobrar por la disposición de un elemento de propiedades, planta y equipo, se reconocerá inicialmente por su valor razonable. Si se aplazase el pago a recibir por el elemento, la contrapartida recibida se reconocerá inicialmente al precio equivalente de contado. La diferencia entre el importe nominal de la contrapartida y el precio equivalente de contado se reconocerá como un ingreso por intereses, de acuerdo con la NIC 18, de forma que refleje el rendimiento efectivo derivado de la cuenta por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73 En los estados financieros se revelará, con respecto a cada una de las clases de propiedades, planta y equipo,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bases de medición utilizadas para determinar el importe en libros bruto;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métodos de depreciación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vidas útiles o las tasas de depreciación utilizadas;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en libros bruto y la depreciación acumulada (junto con el importe acumulado de las pérdidas por deterioro de valor), tanto al principio como al final de cada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una conciliación entre los valores en libros al principio y al final del periodo, mostrando: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adiciones;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 los activos clasificados como mantenidos para la venta o incluidos en un grupo de activos para su disposición que haya sido clasificado como mantenido para la venta, de acuerdo con la NIIF 5, así como otras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las adquisiciones realizadas mediante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los incrementos o disminuciones, resultantes de las revaluaciones, de acuerdo con los párrafos 31, 39 y 40, así como las pérdidas por deterioro del valor reconocidas, o revertidas en otro resultado integral, en función de lo establecido en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las pérdidas por deterioro del valor reconocidas en el resultado del periodo, aplicando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las pérdidas por deterioro de valor que hayan revertido, y hayan sido reconocidas en el resultado del periodo,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 la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(viii) las diferencias netas de cambio surgidas en la conversión de estados financieros desde la moneda funcional a una moneda de presentación diferente, incluyendo también las diferencias de conversión de un operación en el extranjero a la moneda de presentación de la entidad que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(ix) otros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74 En los estados financieros se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existencia y los importes correspondientes a las restricciones de titularidad, así como las propiedades, planta y equipo que están afectos como garantía al cumplimiento de obligaciones;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los desembolsos reconocidos en el importe en libros, en los casos de elementos de propiedades, planta y equipo en curso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los compromisos de adquisición de propiedades, planta y equipo;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si no se ha revelado de forma separada en el estado del resultado integral, el importe de compensaciones de terceros que se incluyen en el resultado del periodo por elementos de propiedades, planta y equipo cuyo valor se hubiera deteriorado, perdido o entregado.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75 La selección de un método de depreciación y la estimación de la vida útil de los activos son cuestiones que requieren la realización de juicios de valor. Por tanto, las revelaciones sobre los métodos adoptados, así como sobre las vidas útiles estimadas o sobre los porcentajes de depreciación, suministran a los usuarios de los estados financieros información que les permite revisar los criterios seleccionados por la gerencia de la entidad, </w:t>
      </w:r>
      <w:r w:rsidRPr="00401DFF">
        <w:rPr>
          <w:rFonts w:ascii="Times New Roman" w:eastAsia="Times New Roman" w:hAnsi="Times New Roman" w:cs="Times New Roman"/>
          <w:sz w:val="24"/>
          <w:szCs w:val="24"/>
          <w:lang w:eastAsia="es-CO"/>
        </w:rPr>
        <w:lastRenderedPageBreak/>
        <w:t>a la vez que hacen posible la comparación con otras entidades. Por razones similares, es necesario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depreciación del periodo, tanto si se ha reconocido en el resultado de periodo, como si forma parte del costo de otros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depreciación acumulada al término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De acuerdo con la NIC 8, la entidad ha de informar acerca de la naturaleza y del efecto del cambio en una estimación contable, siempre que tenga una incidencia significativa en el periodo actual o que vaya a tenerla en periodos siguientes. Tal información puede aparecer, en las propiedades, planta y equipo, respecto a los cambios en las estimaciones referentes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valores residuales;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costos estimados de desmantelamiento, retiro o rehabilitación de elementos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vidas útiles;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métodos de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77 Cuando los elementos de propiedades, planta y equipo se contabilicen por sus valores revaluados, se revelará la siguiente información, además de la información a revelar requerida por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fecha efectiva de la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se han utilizado los servicios de un tasador independiente;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para cada clase de propiedades, planta y equipo que se haya revaluado, el importe en libros al que se habría reconocido si se hubieran contabilizado según el modelo del costo;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el superávit de revaluación, indicando los movimientos del periodo, así como cualquier restricción sobre la distribución de su saldo a los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Siguiendo la NIC 36, la entidad revelará información sobre las partidas de propiedades, planta y equipo que hayan sufrido pérdidas por deterioro del valor, además de la información requerida en los puntos del párrafo 73(e)(iv) a (vi).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79 Los usuarios de los estados financieros también podrían encontrar relevante para cubrir sus necesidades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en libros de los elementos de propiedades, planta y equipo, que se encuentran temporalmente fuera de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en libros bruto de cualesquiera propiedades, planta y equipo que, estando totalmente depreciados, se encuentran todavía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en libros de las propiedades, planta y equipo retirados de su uso activo y no clasificados como mantenidos para la venta de acuerdo con la NIIF 5;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se utiliza el modelo del costo, el valor razonable de las propiedades, planta y equipo cuando es significativamente diferente de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 tanto, se aconseja a las entidades presentar también estas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Los requerimientos relativos a la medición inicial de los elementos de propiedades, planta y equipo adquirido en permutas de activos, que se encuentran especificados en los párrafos 24 a 26, se aplicarán prospectivamente y afectarán sólo a transacciones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81A Una entidad aplicará las modificaciones contenidas en el párrafo 3 para periodos anuales que comiencen a partir del 1 de enero de 2006. Si una entidad aplica la NIIF 6 para un periodo anterior, dichas modificaciones deben ser aplicadas para ese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81B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 modificó la terminología utilizada en las NIIF. Además, modificó los párrafos 39, 40 y 73(e)(iv).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81C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(revisada en 2008) modificó el párrafo 44. Una entidad aplicará esa modificación para los periodos anuales que comiencen a partir del 1 de julio de 2009. Cuando una entidad aplique la NIIF 3 (revisada en 2008) a periodos anteriores, la modificación se aplicará también a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81D Se modificaron los párrafos 6 y 69 y se añadió el párrafo 68A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 xml:space="preserve">emitido en mayo de 2008. Una entidad aplicará esas modificaciones a periodos anuales que comiencen a partir del 1 de enero de 2009. Se permite su aplicación anticipada. Si una entidad aplicase las modificaciones en un periodo anterior, revelará este hecho y al mismo tiempo aplicará las modificaciones correspondientes de la NIC 7 </w:t>
      </w:r>
      <w:r w:rsidRPr="00401DFF">
        <w:rPr>
          <w:rFonts w:ascii="Times New Roman" w:eastAsia="Times New Roman" w:hAnsi="Times New Roman" w:cs="Times New Roman"/>
          <w:i/>
          <w:iCs/>
          <w:sz w:val="24"/>
          <w:szCs w:val="24"/>
          <w:lang w:eastAsia="es-CO"/>
        </w:rPr>
        <w:t>Estado de Flujos de Efectivo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81E El párrafo 5 fue modificado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esas modificaciones de forma prospectiva en los periodos anuales que comiencen a partir del 1 enero de 2009. Se permite su aplicación anticipada siempre que también aplique al mismo tiempo las modificaciones de los párrafos 8, 9, 22, 48, 53, 53A, 53B, 54, 57 y 85B de la NIC 40.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81F La NIIF 13, emitida en mayo de 2011 modificó la definición de valor razonable del párrafo 6 y modificó el párrafo 26, 35 y 77 y eliminó los párrafos 32 y 33.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82 Esta Norma deroga la NIC 16 </w:t>
      </w:r>
      <w:r w:rsidRPr="00401DFF">
        <w:rPr>
          <w:rFonts w:ascii="Times New Roman" w:eastAsia="Times New Roman" w:hAnsi="Times New Roman" w:cs="Times New Roman"/>
          <w:i/>
          <w:iCs/>
          <w:sz w:val="24"/>
          <w:szCs w:val="24"/>
          <w:lang w:eastAsia="es-CO"/>
        </w:rPr>
        <w:t xml:space="preserve">Propiedades, Planta y Equipo </w:t>
      </w:r>
      <w:r w:rsidRPr="00401DFF">
        <w:rPr>
          <w:rFonts w:ascii="Times New Roman" w:eastAsia="Times New Roman" w:hAnsi="Times New Roman" w:cs="Times New Roman"/>
          <w:sz w:val="24"/>
          <w:szCs w:val="24"/>
          <w:lang w:eastAsia="es-CO"/>
        </w:rPr>
        <w:t>(revisada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Esta Norma sustituye a las siguientes Interpretaciones: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SIC-6 </w:t>
      </w:r>
      <w:r w:rsidRPr="00401DFF">
        <w:rPr>
          <w:rFonts w:ascii="Times New Roman" w:eastAsia="Times New Roman" w:hAnsi="Times New Roman" w:cs="Times New Roman"/>
          <w:i/>
          <w:iCs/>
          <w:sz w:val="24"/>
          <w:szCs w:val="24"/>
          <w:lang w:eastAsia="es-CO"/>
        </w:rPr>
        <w:t>Costos de Modificación de los Programas Informáticos Existentes;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SIC-14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 xml:space="preserve">Indemnizaciones por Deterioro de Valor de las Partidas; </w:t>
      </w:r>
      <w:r w:rsidRPr="00401DFF">
        <w:rPr>
          <w:rFonts w:ascii="Times New Roman" w:eastAsia="Times New Roman" w:hAnsi="Times New Roman" w:cs="Times New Roman"/>
          <w:sz w:val="24"/>
          <w:szCs w:val="24"/>
          <w:lang w:eastAsia="es-CO"/>
        </w:rPr>
        <w:t>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SIC-23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Costos de Revisiones o Reparaciones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el de prescribir, para arrendatarios y arrendadores, las políticas contables adecuadas para contabilizar y revelar la información relativa a los 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será aplicable en la contabilización de todos los tipos de arrendamientos que sean distintos de 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acuerdos de arrendamiento para la exploración o uso de minerales, petróleo, gas natural y recursos no renovables similares;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acuerdos de licencias para temas tales como películas, grabaciones en vídeo, obras de teatro, manuscritos, patentes y derechos de autor.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Sin embargo, esta Norma no será aplicable como base para la medición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propiedades mantenidas por arrendatarios, en el caso de que se contabilicen como propiedades de inversión (véase la NIC 40 </w:t>
      </w:r>
      <w:r w:rsidRPr="00401DFF">
        <w:rPr>
          <w:rFonts w:ascii="Times New Roman" w:eastAsia="Times New Roman" w:hAnsi="Times New Roman" w:cs="Times New Roman"/>
          <w:b/>
          <w:bCs/>
          <w:i/>
          <w:iCs/>
          <w:sz w:val="24"/>
          <w:szCs w:val="24"/>
          <w:lang w:eastAsia="es-CO"/>
        </w:rPr>
        <w:t>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propiedades de inversión suministradas por arrendadores en régimen de arrendamiento operativo (véase la NIC 40);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activos biológicos poseídos por arrendatarios en régimen de arrendamiento financiero (véase la NIC 41 </w:t>
      </w:r>
      <w:r w:rsidRPr="00401DFF">
        <w:rPr>
          <w:rFonts w:ascii="Times New Roman" w:eastAsia="Times New Roman" w:hAnsi="Times New Roman" w:cs="Times New Roman"/>
          <w:b/>
          <w:bCs/>
          <w:i/>
          <w:iCs/>
          <w:sz w:val="24"/>
          <w:szCs w:val="24"/>
          <w:lang w:eastAsia="es-CO"/>
        </w:rPr>
        <w:t>Agricultura);</w:t>
      </w:r>
      <w:r w:rsidRPr="00401DFF">
        <w:rPr>
          <w:rFonts w:ascii="Times New Roman" w:eastAsia="Times New Roman" w:hAnsi="Times New Roman" w:cs="Times New Roman"/>
          <w:b/>
          <w:bCs/>
          <w:sz w:val="24"/>
          <w:szCs w:val="24"/>
          <w:lang w:eastAsia="es-CO"/>
        </w:rPr>
        <w:t xml:space="preserv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activos biológicos suministrados por arrendadores en régimen de arrendamiento operativo (véase la NIC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Norma será de aplicación a los acuerdos mediante los cuales se transfiere el derecho de uso de activos, incluso en el caso de que el arrendador quedara obligado a suministrar servicios de cierta importancia en relación con la operación o el mantenimiento de los citados bienes. Por otra parte, esta Norma no será de aplicación a los acuerdos que tienen la naturaleza de contratos de servicios, donde una parte no transfiera a la otra el derecho a usar algún tipo de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arrendamiento</w:t>
      </w:r>
      <w:r w:rsidRPr="00401DFF">
        <w:rPr>
          <w:rFonts w:ascii="Times New Roman" w:eastAsia="Times New Roman" w:hAnsi="Times New Roman" w:cs="Times New Roman"/>
          <w:b/>
          <w:bCs/>
          <w:sz w:val="24"/>
          <w:szCs w:val="24"/>
          <w:lang w:eastAsia="es-CO"/>
        </w:rPr>
        <w:t xml:space="preserve"> es un acuerdo por el que el arrendador cede al arrendatario, a cambio de percibir una suma única de dinero, o una serie de pagos o cuotas, el derecho a utilizar un activo durante un periodo de tiempo determinado.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w:t>
      </w:r>
      <w:r w:rsidRPr="00401DFF">
        <w:rPr>
          <w:rFonts w:ascii="Times New Roman" w:eastAsia="Times New Roman" w:hAnsi="Times New Roman" w:cs="Times New Roman"/>
          <w:b/>
          <w:bCs/>
          <w:i/>
          <w:iCs/>
          <w:sz w:val="24"/>
          <w:szCs w:val="24"/>
          <w:lang w:eastAsia="es-CO"/>
        </w:rPr>
        <w:t xml:space="preserve"> arrendamiento financiero</w:t>
      </w:r>
      <w:r w:rsidRPr="00401DFF">
        <w:rPr>
          <w:rFonts w:ascii="Times New Roman" w:eastAsia="Times New Roman" w:hAnsi="Times New Roman" w:cs="Times New Roman"/>
          <w:b/>
          <w:bCs/>
          <w:sz w:val="24"/>
          <w:szCs w:val="24"/>
          <w:lang w:eastAsia="es-CO"/>
        </w:rPr>
        <w:t xml:space="preserve"> es un tipo de arrendamiento en el que se transfieren sustancialmente todos los riesgos y ventajas inherentes a la propiedad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propiedad del mismo, en su caso, puede o no ser transferida.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w:t>
      </w:r>
      <w:r w:rsidRPr="00401DFF">
        <w:rPr>
          <w:rFonts w:ascii="Times New Roman" w:eastAsia="Times New Roman" w:hAnsi="Times New Roman" w:cs="Times New Roman"/>
          <w:b/>
          <w:bCs/>
          <w:i/>
          <w:iCs/>
          <w:sz w:val="24"/>
          <w:szCs w:val="24"/>
          <w:lang w:eastAsia="es-CO"/>
        </w:rPr>
        <w:t xml:space="preserve"> arrendamiento operativo</w:t>
      </w:r>
      <w:r w:rsidRPr="00401DFF">
        <w:rPr>
          <w:rFonts w:ascii="Times New Roman" w:eastAsia="Times New Roman" w:hAnsi="Times New Roman" w:cs="Times New Roman"/>
          <w:b/>
          <w:bCs/>
          <w:sz w:val="24"/>
          <w:szCs w:val="24"/>
          <w:lang w:eastAsia="es-CO"/>
        </w:rPr>
        <w:t xml:space="preserve"> es cualquier acuerdo de arrendamiento distinto al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Arrendamiento no cancelable</w:t>
      </w:r>
      <w:r w:rsidRPr="00401DFF">
        <w:rPr>
          <w:rFonts w:ascii="Times New Roman" w:eastAsia="Times New Roman" w:hAnsi="Times New Roman" w:cs="Times New Roman"/>
          <w:b/>
          <w:bCs/>
          <w:sz w:val="24"/>
          <w:szCs w:val="24"/>
          <w:lang w:eastAsia="es-CO"/>
        </w:rPr>
        <w:t xml:space="preserve"> es un arrendamiento que sólo es revocable: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si ocurriese alguna contingencia remota;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con el permiso del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si el arrendatario realizase un nuevo arrendamiento, para el mismo activo u otro equivalente, con el mismo arrendador;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si el arrendatario pagase una cantidad adicional tal que, al inicio del arrendamiento, la continuación de éste quede asegurada con razonable certeza.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w:t>
      </w:r>
      <w:r w:rsidRPr="00401DFF">
        <w:rPr>
          <w:rFonts w:ascii="Times New Roman" w:eastAsia="Times New Roman" w:hAnsi="Times New Roman" w:cs="Times New Roman"/>
          <w:b/>
          <w:bCs/>
          <w:i/>
          <w:iCs/>
          <w:sz w:val="24"/>
          <w:szCs w:val="24"/>
          <w:lang w:eastAsia="es-CO"/>
        </w:rPr>
        <w:t xml:space="preserve"> inicio del arrendamiento </w:t>
      </w:r>
      <w:r w:rsidRPr="00401DFF">
        <w:rPr>
          <w:rFonts w:ascii="Times New Roman" w:eastAsia="Times New Roman" w:hAnsi="Times New Roman" w:cs="Times New Roman"/>
          <w:b/>
          <w:bCs/>
          <w:sz w:val="24"/>
          <w:szCs w:val="24"/>
          <w:lang w:eastAsia="es-CO"/>
        </w:rPr>
        <w:t>es la fecha más temprana entre la del acuerdo del arrendamiento y la fecha en que se comprometen las partes en relación con las principales estipulaciones del mismo. En esta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 clasificará el arrendamiento como operativo o como financiero;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el caso de tratarse de un arrendamiento financiero, se determinarán los importes que se reconocerán al comienzo del plazo de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w:t>
      </w:r>
      <w:r w:rsidRPr="00401DFF">
        <w:rPr>
          <w:rFonts w:ascii="Times New Roman" w:eastAsia="Times New Roman" w:hAnsi="Times New Roman" w:cs="Times New Roman"/>
          <w:b/>
          <w:bCs/>
          <w:i/>
          <w:iCs/>
          <w:sz w:val="24"/>
          <w:szCs w:val="24"/>
          <w:lang w:eastAsia="es-CO"/>
        </w:rPr>
        <w:t xml:space="preserve"> comienzo del plazo del arrendamiento</w:t>
      </w:r>
      <w:r w:rsidRPr="00401DFF">
        <w:rPr>
          <w:rFonts w:ascii="Times New Roman" w:eastAsia="Times New Roman" w:hAnsi="Times New Roman" w:cs="Times New Roman"/>
          <w:b/>
          <w:bCs/>
          <w:sz w:val="24"/>
          <w:szCs w:val="24"/>
          <w:lang w:eastAsia="es-CO"/>
        </w:rPr>
        <w:t xml:space="preserve"> es la fecha a partir de la cual el arrendatario tiene el derecho de utilizar el activo arrendado. Es la fecha del reconocimiento inicial del arrendamiento (es decir, del reconocimiento de activos, pasivos, ingresos o gastos derivados del arrendamiento, según proceda).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w:t>
      </w:r>
      <w:r w:rsidRPr="00401DFF">
        <w:rPr>
          <w:rFonts w:ascii="Times New Roman" w:eastAsia="Times New Roman" w:hAnsi="Times New Roman" w:cs="Times New Roman"/>
          <w:b/>
          <w:bCs/>
          <w:i/>
          <w:iCs/>
          <w:sz w:val="24"/>
          <w:szCs w:val="24"/>
          <w:lang w:eastAsia="es-CO"/>
        </w:rPr>
        <w:t xml:space="preserve"> plazo del arrendamiento </w:t>
      </w:r>
      <w:r w:rsidRPr="00401DFF">
        <w:rPr>
          <w:rFonts w:ascii="Times New Roman" w:eastAsia="Times New Roman" w:hAnsi="Times New Roman" w:cs="Times New Roman"/>
          <w:b/>
          <w:bCs/>
          <w:sz w:val="24"/>
          <w:szCs w:val="24"/>
          <w:lang w:eastAsia="es-CO"/>
        </w:rPr>
        <w:t>es el periodo no revocable por el cual el arrendatario ha contratado el arrendamiento del activo, junto con cualquier periodo adicional en el que éste tenga derecho a continuar con el arrendamiento, con o sin pago adicional, siempre que al inicio del arrendamiento se tenga la certeza razonable de que el arrendatario ejercitará tal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Pagos mínimos por el arrendamiento</w:t>
      </w:r>
      <w:r w:rsidRPr="00401DFF">
        <w:rPr>
          <w:rFonts w:ascii="Times New Roman" w:eastAsia="Times New Roman" w:hAnsi="Times New Roman" w:cs="Times New Roman"/>
          <w:b/>
          <w:bCs/>
          <w:sz w:val="24"/>
          <w:szCs w:val="24"/>
          <w:lang w:eastAsia="es-CO"/>
        </w:rPr>
        <w:t xml:space="preserve"> son los pagos que se requieren o pueden requerírsele al arrendatario durante el plazo del arrendamiento, excluyendo tanto las cuotas de carácter contingente como los costos de los servicios y los impuestos que ha de pagar el arrendador y le hayan de ser reembolsados. También se incluye: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 el caso del arrendatario, cualquier importe garantizado por él mismo o por un tercero vinculado con él;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el caso del arrendador, cualquier valor residual que se le garantice, ya sea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parte del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parte vinculada con éste;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una parte no vinculada con el arrendatario que sea capaz financieramente de atender a las obligaciones derivadas de la garantía prestada.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Sin embargo, si el arrendatario posee la opción de comprar el activo a un precio que se espera sea suficientemente más reducido que el valor razonable del activo en el momento en que la opción sea ejercitable, de forma que, al inicio del arrendamiento, se puede prever con razonable certeza que la opción será ejercida, los pagos mínimos por el arrendamiento comprenderán tanto los pagos mínimos a satisfacer en el plazo del mismo hasta la fecha esperada de ejercicio de la citada opción de compra, como el pago necesario para ejercitar esta opción de compra.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importe por el cual puede ser intercambiado un activo, o cancelado un pasivo, entre un comprador y un vendedor interesado y debidamente informado, que realizan una transacción libre.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Vida económica</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periodo durante el cual se espera que un activo sea utilizable económicamente, por parte de uno o más usuarios;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cantidad de unidades de producción o similares que se espera obtener del activo por parte de uno o más usuarios.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Vida útil</w:t>
      </w:r>
      <w:r w:rsidRPr="00401DFF">
        <w:rPr>
          <w:rFonts w:ascii="Times New Roman" w:eastAsia="Times New Roman" w:hAnsi="Times New Roman" w:cs="Times New Roman"/>
          <w:b/>
          <w:bCs/>
          <w:sz w:val="24"/>
          <w:szCs w:val="24"/>
          <w:lang w:eastAsia="es-CO"/>
        </w:rPr>
        <w:t xml:space="preserve"> es el periodo de tiempo estimado que se extiende, desde el inicio del plazo del arrendamiento, pero sin estar limitado por éste, a lo largo del cual la entidad espera consumir los beneficios económicos incorporados al activo arrendado.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Valor residual garantizado </w:t>
      </w:r>
      <w:r w:rsidRPr="00401DFF">
        <w:rPr>
          <w:rFonts w:ascii="Times New Roman" w:eastAsia="Times New Roman" w:hAnsi="Times New Roman" w:cs="Times New Roman"/>
          <w:b/>
          <w:bCs/>
          <w:sz w:val="24"/>
          <w:szCs w:val="24"/>
          <w:lang w:eastAsia="es-CO"/>
        </w:rPr>
        <w: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para el arrendatario, la parte del valor residual que ha sido garantizada por él mismo o por una parte vinculada con él (el importe de la garantía es la cuantía máxima que podrían, en cualquier caso, tener que pagar);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para el arrendador, la parte del valor residual que ha sido garantizada por el arrendatario o por una parte no vinculada con el arrendador, y que sea financieramente capaz de atender las obligaciones derivadas de la garantía prestada.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Valor residual no garantizado </w:t>
      </w:r>
      <w:r w:rsidRPr="00401DFF">
        <w:rPr>
          <w:rFonts w:ascii="Times New Roman" w:eastAsia="Times New Roman" w:hAnsi="Times New Roman" w:cs="Times New Roman"/>
          <w:b/>
          <w:bCs/>
          <w:sz w:val="24"/>
          <w:szCs w:val="24"/>
          <w:lang w:eastAsia="es-CO"/>
        </w:rPr>
        <w:t>es la parte del valor residual del activo arrendado, cuya realización por parte del arrendador no está asegurada o bien queda garantizada exclusivamente por una parte vinculada con 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Costos directos iniciales</w:t>
      </w:r>
      <w:r w:rsidRPr="00401DFF">
        <w:rPr>
          <w:rFonts w:ascii="Times New Roman" w:eastAsia="Times New Roman" w:hAnsi="Times New Roman" w:cs="Times New Roman"/>
          <w:b/>
          <w:bCs/>
          <w:sz w:val="24"/>
          <w:szCs w:val="24"/>
          <w:lang w:eastAsia="es-CO"/>
        </w:rPr>
        <w:t xml:space="preserve"> son los costos incrementales directamente imputables a la negociación y contratación de un arrendamiento, salvo si tales costos han sido incurridos por un arrendador que sea a la vez fabricante o distribuidor.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Inversión bruta en el arrendamiento</w:t>
      </w:r>
      <w:r w:rsidRPr="00401DFF">
        <w:rPr>
          <w:rFonts w:ascii="Times New Roman" w:eastAsia="Times New Roman" w:hAnsi="Times New Roman" w:cs="Times New Roman"/>
          <w:b/>
          <w:bCs/>
          <w:sz w:val="24"/>
          <w:szCs w:val="24"/>
          <w:lang w:eastAsia="es-CO"/>
        </w:rPr>
        <w:t xml:space="preserve"> es la suma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pagos mínimos a recibir por el arrendamiento financiero,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cualquier valor residual no garantizado que corresponda al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Inversión neta en el arrendamiento</w:t>
      </w:r>
      <w:r w:rsidRPr="00401DFF">
        <w:rPr>
          <w:rFonts w:ascii="Times New Roman" w:eastAsia="Times New Roman" w:hAnsi="Times New Roman" w:cs="Times New Roman"/>
          <w:b/>
          <w:bCs/>
          <w:sz w:val="24"/>
          <w:szCs w:val="24"/>
          <w:lang w:eastAsia="es-CO"/>
        </w:rPr>
        <w:t xml:space="preserve"> es la inversión bruta del arrendamiento descontada a la tasa de interés implícita en 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Ingresos financieros no devengados</w:t>
      </w:r>
      <w:r w:rsidRPr="00401DFF">
        <w:rPr>
          <w:rFonts w:ascii="Times New Roman" w:eastAsia="Times New Roman" w:hAnsi="Times New Roman" w:cs="Times New Roman"/>
          <w:b/>
          <w:bCs/>
          <w:sz w:val="24"/>
          <w:szCs w:val="24"/>
          <w:lang w:eastAsia="es-CO"/>
        </w:rPr>
        <w:t xml:space="preserve"> son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inversión bruta en el arrendamiento;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inversión neta en 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Tasa de interés implícita en el arrendamiento</w:t>
      </w:r>
      <w:r w:rsidRPr="00401DFF">
        <w:rPr>
          <w:rFonts w:ascii="Times New Roman" w:eastAsia="Times New Roman" w:hAnsi="Times New Roman" w:cs="Times New Roman"/>
          <w:b/>
          <w:bCs/>
          <w:sz w:val="24"/>
          <w:szCs w:val="24"/>
          <w:lang w:eastAsia="es-CO"/>
        </w:rPr>
        <w:t xml:space="preserve"> es la tasa de descuento que, al inicio del arrendamiento, produce la igualdad entre el valor presente total de (a) los pagos mínimos por el arrendamiento y (b) el valor residual no garantizado, y la suma de (i) el valor razonable del activo arrendado y (ii) cualquier costo directo inicial del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Tasa de interés incremental del endeudamiento del arrendatario </w:t>
      </w:r>
      <w:r w:rsidRPr="00401DFF">
        <w:rPr>
          <w:rFonts w:ascii="Times New Roman" w:eastAsia="Times New Roman" w:hAnsi="Times New Roman" w:cs="Times New Roman"/>
          <w:b/>
          <w:bCs/>
          <w:sz w:val="24"/>
          <w:szCs w:val="24"/>
          <w:lang w:eastAsia="es-CO"/>
        </w:rPr>
        <w:t>es la tasa de interés que el arrendatario habría de pagar en un arrendamiento similar o, si éste no fuera determinable, la tasa en el que incurriría aquél si pidiera prestados, en un plazo y con garantías similares, los fondos necesarios para comprar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Cuotas contingentes del arrendamiento</w:t>
      </w:r>
      <w:r w:rsidRPr="00401DFF">
        <w:rPr>
          <w:rFonts w:ascii="Times New Roman" w:eastAsia="Times New Roman" w:hAnsi="Times New Roman" w:cs="Times New Roman"/>
          <w:b/>
          <w:bCs/>
          <w:sz w:val="24"/>
          <w:szCs w:val="24"/>
          <w:lang w:eastAsia="es-CO"/>
        </w:rPr>
        <w:t xml:space="preserve"> son la parte de los pagos por arrendamiento cuyo importe no es fijo, sino que se basa en el importe futuro de un factor que varía por razones distintas del mero paso del tiempo (por ejemplo, un tanto por ciento de las ventas futuras, grado de utilización futura, índices de precios futuros, tasas de interés de mercado futuras, etc.).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Un acuerdo o un compromiso de arrendamiento puede, durante el periodo que media entre el inicio del arrendamiento y el comienzo del plazo de arrendamiento, incluir una cláusula para ajustar los pagos por arrendamiento a consecuencia de cambios en el costo de construcción o adquisición de la propiedad arrendada, o bien a consecuencia de cambios en otras medidas del costo o valor, tales como niveles generales de precios, o en los costos del arrendador por la financiación del arrendamiento. Si fuera así, para los propósitos de esta Norma, el efecto de tales cambios se considerará que han tenido lugar al inicio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definición de arrendamiento comprende contratos para el alquiler de activos, que contengan una cláusula en la que se otorgue al que alquila la opción de adquirir la propiedad del activo tras el cumplimiento de las condiciones acordadas. Tales contratos se conocen como contratos de arrendamiento-compra.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6A La NIC 17 utiliza el término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valor razonable</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de una forma que difiere en algunos aspectos de la definición de valor razonable de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sz w:val="24"/>
          <w:szCs w:val="24"/>
          <w:lang w:eastAsia="es-CO"/>
        </w:rPr>
        <w:t xml:space="preserve"> Por ello, al aplicar la NIC 17 una entidad medirá el valor razonable de acuerdo con esta NIC 17 y no de acuerdo con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Clasificación de los 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clasificación de los arrendamientos adoptada en esta Norma se basa en el grado en que los riesgos y ventajas, derivados de la propiedad del activo, afectan al arrendador o al arrendatario. Entre tales riesgos se incluyen la posibilidad de pérdidas por capacidad ociosa u obsolescencia tecnológica, así como las variaciones en el desempeño debidas a cambios en las condiciones económicas. Las ventajas pueden estar representadas por la expectativa de una operación rentable a lo largo de la vida económica del activo, así como por una ganancia por revalorización o por una realización del valor residual.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Un arrendamiento se clasificará como financiero cuando transfiera sustancialmente todos los riesgos y ventajas inherentes a la propiedad. Un arrendamiento se clasificará como operativo si no transfiere sustancialmente todos los riesgos y ventajas inherentes a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Puesto que la transacción entre un arrendador y un arrendatario se basa en un acuerdo de arrendamiento entre las partes, será necesario que para ambos se utilicen definiciones coherentes. La aplicación de estas definiciones a las diferentes circunstancias de las dos partes que intervienen en la operación puede tener como consecuencia que el mismo arrendamiento se clasifique de distinta forma por arrendador y arrendatario. Este podría ser el caso, por ejemplo, si el arrendador se beneficiara de una garantía referida al valor residual, aportada por una parte no vinculada con 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El que un arrendamiento sea financiero u operativo dependerá de la esencia económica y naturaleza de la transacción, más que de la mera forma del contrato</w:t>
      </w:r>
      <w:hyperlink r:id="rId23" w:anchor="bf16c5bd709cf14438db9eb9d1c8fcbfbaanf9" w:tgtFrame="_self" w:history="1">
        <w:r w:rsidRPr="00401DFF">
          <w:rPr>
            <w:rFonts w:ascii="Times New Roman" w:eastAsia="Times New Roman" w:hAnsi="Times New Roman" w:cs="Times New Roman"/>
            <w:color w:val="0000FF"/>
            <w:sz w:val="20"/>
            <w:szCs w:val="20"/>
            <w:u w:val="single"/>
            <w:vertAlign w:val="superscript"/>
            <w:lang w:eastAsia="es-CO"/>
          </w:rPr>
          <w:t>(18)</w:t>
        </w:r>
      </w:hyperlink>
      <w:r w:rsidRPr="00401DFF">
        <w:rPr>
          <w:rFonts w:ascii="Times New Roman" w:eastAsia="Times New Roman" w:hAnsi="Times New Roman" w:cs="Times New Roman"/>
          <w:sz w:val="24"/>
          <w:szCs w:val="24"/>
          <w:lang w:eastAsia="es-CO"/>
        </w:rPr>
        <w:t>. Ejemplos de situaciones que, por sí solas o de forma conjunta, normalmente conllevarían la clasificación de un arrendamiento como financiero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arrendamiento transfiere la propiedad del activo al arrendatario al finalizar el plazo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arrendatario tiene la opción de comprar el activo a un precio que se espera sea suficientemente inferior al valor razonable, en el momento en que la opción sea ejercitable, de modo que, al inicio del arrendamiento, se prevea con razonable certeza que tal opción será ejercida;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plazo del arrendamiento cubre la mayor parte de la vida económica del activo incluso si la propiedad no se transfiere al final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al inicio del arrendamiento, el valor presente de los pagos mínimos por el arrendamiento es al menos equivalente a la práctica totalidad del valor razonable del activo objeto de la operación;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activos arrendados son de una naturaleza tan especializada que sólo el arrendatario tiene la posibilidad de usarlos sin realizar en ellos modificaciones importantes.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 Otros indicadores de situaciones que podrían llevar, por sí solas o de forma conjunta con otras, a la clasificación de un arrendamiento como de carácter financiero, son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el arrendatario puede cancelar el contrato de arrendamiento, y las pérdidas sufridas por el arrendador a causa de tal cancelación fueran asumidas por 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pérdidas o ganancias derivadas de las fluctuaciones en el valor razonable del importe residual recaen sobre el arrendatario (por ejemplo en la forma de un descuento por importe similar al valor en venta del activo al final del arrendamiento);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arrendatario tiene la posibilidad de prorrogar el arrendamiento durante un segundo periodo, con unos pagos por arrendamiento que son sustancialmente inferiores a los habituales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Los ejemplos e indicadores contenidos en los párrafos 10 y 11 no son siempre concluyentes. Si resulta claro, por otras características, que el arrendamiento no transfiere sustancialmente todos los riesgos y ventajas inherentes a la propiedad, se clasificará como operativo. Por ejemplo, este podría ser el caso en el que se transfiera la propiedad del activo, al término del arrendamiento, por un pago variable que sea igual a su valor razonable en ese momento, o si existen pagos contingentes como consecuencia de los cuales el arrendatario no tiene sustancialmente todos esos riesgos y ventajas.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La clasificación del arrendamiento se hará al inicio del mismo. Si en algún otro momento el arrendador y el arrendatario acordaran cambiar las estipulaciones del contrato, salvo si el cambio fuera para renovarlo, de forma que esta modificación habría dado lugar a una clasificación diferente del arrendamiento, según los criterios establecidos en los párrafos 7 a 12, en el caso de que las condiciones se hubieran producido al inicio de la operación, el contrato revisado se considerará un nuevo arrendamiento para todo el plazo restante del arrendamiento. No obstante, los cambios en las estimaciones (por ejemplo las que suponen modificaciones en la vida económica o en el valor residual del activo arrendado) o los cambios en circunstancias (por ejemplo el incumplimiento por parte del arrendatario), no darán lugar a una nueva clasificación del arrendamiento a efectos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15A Cuando un arrendamiento incluya componentes de terrenos y de edificios conjuntamente, una entidad evaluará la clasificación de cada componente por separado como un arrendamiento financiero u operativo de acuerdo con los párrafos 7 a 13. Al determinar si el componente de terreno es un arrendamiento financiero u operativo, una consideración importante es que los terrenos normalmente tienen una vida económica indefinida.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 Cuando sea necesario para clasificar y contabilizar un arrendamiento de terrenos y construcciones, los pagos mínimos por el arrendamiento (incluyendo todo pago por adelantado) se distribuirán entre los componentes de terrenos y construcciones en proporción a los valores razonables relativos que representan los derechos de arrendamiento en los citados componentes de terrenos y construcciones en el inicio del arrendamiento. Si los pagos por el arrendamiento no pueden repartirse fiablemente entre estos dos componentes, todo el arrendamiento se clasificará como arrendamiento financiero, a menos que esté claro que ambos componentes son arrendamientos operativos, en cuyo caso todo el arrendamiento se clasificará como operativo.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En un arrendamiento conjunto de terrenos y construcciones en el que resulte insignificante el importe que, de acuerdo con el párrafo 20, se reconocería para el componente de terrenos, los citados terrenos y las construcciones pueden tratarse como una unidad individual a los efectos de la clasificación del arrendamiento y clasificarse como un arrendamiento financiero u operativo de acuerdo con los párrafos 7 a 13. En tal caso, se considerará la vida económica de los edificios como la que corresponda a la totalidad del activo arrendado.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La medición por separado de los componentes de terrenos y construcciones no será necesaria cuando los derechos del arrendatario, tanto en terrenos como en construcciones, sean clasificados como una propiedad de inversión de acuerdo con la NIC 40, y se adopte el modelo del valor razonable. Se requerirán cálculos detallados para hacer esta evaluación sólo si la clasificación de uno o ambos componentes podría resultar, en el caso de no realizarse tales cálculos, incierta.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Según la NIC 40, es posible que el arrendatario clasifique los derechos sobre un inmueble mantenido en régimen de arrendamiento operativo, como propiedad de inversión. Si esto sucediese, tales derechos sobre el inmueble se contabilizarán como si fueran un arrendamiento financiero y, además, se utilizará el modelo del valor razonable para el activo así reconocido. El arrendatario continuará la contabilización del arrendamiento como un arrendamiento financiero, incluso si un evento posterior cambiara la naturaleza de los derechos del arrendatario sobre el inmueble, de forma que no se pudiese seguir clasificando como propiedad de inversión. Este será el caso si, por ejemplo, 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ocupa el inmueble, que por tanto se clasificará como una propiedad ocupada por el dueño, por un costo atribuido igual a su valor razonable en la fecha en la que se produce el cambio de uso;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realiza una transacción de subarriendo, en la que transfiera, a un tercero no vinculado, substancialmente todos los riesgos y ventajas inherentes a la titularidad del derecho de arrendamiento. Dicho subarriendo se contabilizará, por parte del arrendatario, como un arrendamiento financiero al tercero, aunque éste pudiera registrarlo como un arrendamiento operativo.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los arrendamientos en los estados financieros de los arrendatarios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Al comienzo del plazo del arrendamiento financiero, éste se reconocerá, en el estado de situación financiera del arrendatario, como un activo y un pasivo por el mismo importe, igual al valor razonable del bien arrendado, o bien al valor presente de los pagos mínimos por el arrendamiento, si éste fuera menor, determinados al inicio del arrendamiento. Al calcular el valor presente de los pagos mínimos por el arrendamiento, se tomará como factor de descuento la tasa de interés implícita en el arrendamiento, siempre que sea practicable determinarla; de lo contrario se usará la tasa de interés incremental de los préstamos del arrendatario. Cualquier costo directo inicial del arrendatario se añadirá al importe reconocido como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Las transacciones y demás eventos se contabilizarán y presentarán de acuerdo con su fondo económico y realidad financiera, y no solamente en consideración a su forma legal. Mientras la forma legal de un acuerdo de arrendamiento puede significar que el arrendatario no adquiera la titularidad jurídica sobre el bien arrendado, en el caso de un arrendamiento financiero su fondo económico y realidad financiera implican que el arrendatario adquiere los beneficios económicos derivados del uso del activo arrendado durante la mayor parte de su vida económica, contrayendo al hacerlo, como contraprestación por tal derecho, una obligación de pago aproximadamente igual al inicio del arrendamiento, al valor razonable del activo más las cargas financieras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Si esta operación de arrendamiento no quedara reflejada en el estado de situación financiera del arrendatario, los recursos económicos y el nivel de obligaciones de una entidad estarían infravalorados, distorsionando las ratios financieras. Será apropiado, por tanto, que el arrendamiento financiero se reconozca, en el estado de situación financiera del arrendatario, como un activo y como una obligación de pagar cuotas de arrendamiento en el futuro. Al comienzo del plazo del arrendamiento, el activo y la obligación de pagar cuotas futuras, se reconocerán en el estado de situación financiera por los mismos importes, excepto si existen costos directos iniciales para el arrendatario, que se añadirán al importe reconocido como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No resultará adecuado presentar las obligaciones relativas a los bienes arrendados, en los estados financieros, como deducciones del valor de los activos correspondientes. En caso de que la entidad realice, en el estado de situación financiera, distinción entre pasivos corrientes y no corrientes, observará esta misma distinción para las deudas derivadas de los 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Es frecuente incurrir en ciertos costos directos iniciales al emprender actividades específicas de arrendamiento, tales como los que surgen al negociar y asegurar los acuerdos y contratos correspondientes. Los costos que sean directamente atribuibles a las actividades llevadas a cabo por parte del arrendatario en un arrendamiento financiero, se incluirán como parte del valor del activo reconocido en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25 Cada una de las cuotas del arrendamiento se dividirá en dos partes que representan, respectivamente, las cargas financieras y la reducción de la deuda viva. La carga financiera total se distribuirá entre los periodos que constituyen el plazo del arrendamiento, de manera que se obtenga una tasa de interés constante en cada periodo, sobre el saldo de la deuda pendiente de amortizar. Los pagos contingentes se cargarán como gastos en los periodos en los que sean incurridos.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En la práctica, y con la finalidad de simplificar los cálculos, el arrendatario podrá utilizar algún tipo de aproximación para distribuir las cargas financieras entre los periodos que constituyen el plazo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27 El arrendamiento financiero dará lugar tanto a un cargo por depreciación en los activos depreciables, como a un gasto financiero en cada periodo. La política de depreciación para activos depreciables arrendados será coherente con la seguida para el resto de activos depreciables que se posean, y la depreciación contabilizada se calculará sobre las bases establecidas en la NIC 16 </w:t>
      </w:r>
      <w:r w:rsidRPr="00401DFF">
        <w:rPr>
          <w:rFonts w:ascii="Times New Roman" w:eastAsia="Times New Roman" w:hAnsi="Times New Roman" w:cs="Times New Roman"/>
          <w:b/>
          <w:bCs/>
          <w:i/>
          <w:iCs/>
          <w:sz w:val="24"/>
          <w:szCs w:val="24"/>
          <w:lang w:eastAsia="es-CO"/>
        </w:rPr>
        <w:t>Propiedades, Planta y Equipo</w:t>
      </w:r>
      <w:r w:rsidRPr="00401DFF">
        <w:rPr>
          <w:rFonts w:ascii="Times New Roman" w:eastAsia="Times New Roman" w:hAnsi="Times New Roman" w:cs="Times New Roman"/>
          <w:b/>
          <w:bCs/>
          <w:sz w:val="24"/>
          <w:szCs w:val="24"/>
          <w:lang w:eastAsia="es-CO"/>
        </w:rPr>
        <w:t xml:space="preserve"> y en la NIC 38 </w:t>
      </w:r>
      <w:r w:rsidRPr="00401DFF">
        <w:rPr>
          <w:rFonts w:ascii="Times New Roman" w:eastAsia="Times New Roman" w:hAnsi="Times New Roman" w:cs="Times New Roman"/>
          <w:b/>
          <w:bCs/>
          <w:i/>
          <w:iCs/>
          <w:sz w:val="24"/>
          <w:szCs w:val="24"/>
          <w:lang w:eastAsia="es-CO"/>
        </w:rPr>
        <w:t>Activos Intangibles</w:t>
      </w:r>
      <w:r w:rsidRPr="00401DFF">
        <w:rPr>
          <w:rFonts w:ascii="Times New Roman" w:eastAsia="Times New Roman" w:hAnsi="Times New Roman" w:cs="Times New Roman"/>
          <w:b/>
          <w:bCs/>
          <w:sz w:val="24"/>
          <w:szCs w:val="24"/>
          <w:lang w:eastAsia="es-CO"/>
        </w:rPr>
        <w:t>. Si no existiese certeza razonable de que el arrendatario obtendrá la propiedad al término del plazo del arrendamiento, el activo se depreciará totalmente a lo largo de su vida útil o en el plazo del arrendamiento, según cuál sea menor.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El importe depreciable del activo arrendado se distribuirá entre cada uno de los periodos de uso esperado, de acuerdo con una base sistemática, coherente con la política de depreciación que el arrendatario haya adoptado con respecto a los demás activos depreciables que posea. En caso de que exista certeza razonable de que el arrendatario obtendrá la propiedad al finalizar el plazo del arrendamiento, el periodo de utilización esperado será la vida útil del activo; en otro caso, el activo se depreciará a lo largo de su vida útil o en el plazo del arrendamiento, según cual sea menor.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El arrendamiento financiero dará lugar a un cargo por depreciación y a otro de tipo financiero en cada periodo, pero la suma de esos importes no será igual a la cuota a pagar en el periodo y, por tanto, no será adecuado considerar como gasto simplemente la cuota a pagar en el mismo. De acuerdo con lo anterior, es improbable que el activo y el pasivo correspondientes al arrendamiento sigan siendo de igual importe una vez iniciado 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Para determinar si el activo arrendado ha visto deteriorado su valor, la entidad aplicará la NIC 36 </w:t>
      </w:r>
      <w:r w:rsidRPr="00401DFF">
        <w:rPr>
          <w:rFonts w:ascii="Times New Roman" w:eastAsia="Times New Roman" w:hAnsi="Times New Roman" w:cs="Times New Roman"/>
          <w:i/>
          <w:iCs/>
          <w:sz w:val="24"/>
          <w:szCs w:val="24"/>
          <w:lang w:eastAsia="es-CO"/>
        </w:rPr>
        <w:t>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31 Además de cumplir los requisitos informativos fijados en la NIIF 7 </w:t>
      </w:r>
      <w:r w:rsidRPr="00401DFF">
        <w:rPr>
          <w:rFonts w:ascii="Times New Roman" w:eastAsia="Times New Roman" w:hAnsi="Times New Roman" w:cs="Times New Roman"/>
          <w:b/>
          <w:bCs/>
          <w:i/>
          <w:iCs/>
          <w:sz w:val="24"/>
          <w:szCs w:val="24"/>
          <w:lang w:eastAsia="es-CO"/>
        </w:rPr>
        <w:t xml:space="preserve">Instrumentos Financieros: Información a Revelar, </w:t>
      </w:r>
      <w:r w:rsidRPr="00401DFF">
        <w:rPr>
          <w:rFonts w:ascii="Times New Roman" w:eastAsia="Times New Roman" w:hAnsi="Times New Roman" w:cs="Times New Roman"/>
          <w:b/>
          <w:bCs/>
          <w:sz w:val="24"/>
          <w:szCs w:val="24"/>
          <w:lang w:eastAsia="es-CO"/>
        </w:rPr>
        <w:t>los arrendatarios revelarán en sus estados financieros la siguiente información, referida a los arrendamientos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Para cada clase de activos, el importe neto en libros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Una conciliación entre el importe total de los pagos del arrendamiento mínimos futuros al final del periodo sobre el que se informa, y su valor presente. Además, una entidad revelará el total de pagos del arrendamiento mínimos futuros al final del periodo sobre el que se informa, y de su valor presente, para cada uno de los siguientes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hasta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entre uno y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Cuotas contingentes reconocidas como gasto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total de los pagos futuros mínimos por subarriendo que se espera recibir, al final del periodo sobre el que se informa, por los subarriendos operativos no cancelables.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Una descripción general de los acuerdos significativos de arrendamiento donde se incluirán, sin limitarse a ellos, los siguientes 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bases para la determinación de cualquier cuota de carácter contingente que se haya pactado;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existencia y, en su caso, los plazos de renovación o las opciones de compra y las cláusulas de actualización o escalonamiento;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las restricciones impuestas a la entidad en virtud de los contratos de arrendamiento, tales como las que se refieran a la distribución de dividendos, al endeudamiento adicional o a nuevos contratos de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Además de lo anterior, serán aplicables a los arrendatarios las exigencias de información fijadas por la NIC 16, NIC 36, NIC 38, NIC 40 y NIC 41, para los activos arrendados en régimen de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w:t>
      </w:r>
      <w:r w:rsidRPr="00401DFF">
        <w:rPr>
          <w:rFonts w:ascii="Times New Roman" w:eastAsia="Times New Roman" w:hAnsi="Times New Roman" w:cs="Times New Roman"/>
          <w:sz w:val="24"/>
          <w:szCs w:val="24"/>
          <w:lang w:eastAsia="es-CO"/>
        </w:rPr>
        <w:t>Las cuotas derivadas de los arrendamientos operativos se reconocerán como gasto de forma lineal, durante el transcurso del plazo del arrendamiento, salvo que resulte más representativa otra base sistemática de reparto por reflejar más adecuadamente el patrón temporal de los beneficios del arrendamiento para el usuario</w:t>
      </w:r>
      <w:hyperlink r:id="rId24" w:anchor="bf1d27b2ea937be4b718a60cf61fbbbb9c6nf9" w:tgtFrame="_self" w:history="1">
        <w:r w:rsidRPr="00401DFF">
          <w:rPr>
            <w:rFonts w:ascii="Times New Roman" w:eastAsia="Times New Roman" w:hAnsi="Times New Roman" w:cs="Times New Roman"/>
            <w:color w:val="0000FF"/>
            <w:sz w:val="20"/>
            <w:szCs w:val="20"/>
            <w:u w:val="single"/>
            <w:vertAlign w:val="superscript"/>
            <w:lang w:eastAsia="es-CO"/>
          </w:rPr>
          <w:t>(219)</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Para los arrendamientos operativos, los pagos correspondientes a las cuotas de arrendamiento (excluyendo los costos por otros servicios tales como seguros o mantenimiento) se reconocerán como gastos de forma lineal, a menos que resulte más apropiado el uso de otra base de carácter sistemático que recoja, de forma más </w:t>
      </w:r>
      <w:r w:rsidRPr="00401DFF">
        <w:rPr>
          <w:rFonts w:ascii="Times New Roman" w:eastAsia="Times New Roman" w:hAnsi="Times New Roman" w:cs="Times New Roman"/>
          <w:sz w:val="24"/>
          <w:szCs w:val="24"/>
          <w:lang w:eastAsia="es-CO"/>
        </w:rPr>
        <w:lastRenderedPageBreak/>
        <w:t>representativa, el patrón de generación de beneficios para el usuario, independientemente de la forma concreta en que se realicen los pagos de las cuotas.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Además de los requerimientos informativos fijados en la NIIF 7, los arrendatarios revelarán, en sus estados financieros, la siguiente información referida a los 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total de pagos futuros mínimos del arrendamiento, derivados de contratos de arrendamiento operativo no cancelables, que se vayan a satisfacer en los siguientes plazos: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hasta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entre uno y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total de los pagos futuros mínimos por subarriendo que se espera recibir, al final del periodo sobre el que se informa, por los subarriendos operativos no cancelables.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Cuotas de arrendamientos y subarriendos operativos reconocidas como gastos del periodo, revelando por separado los importes de los pagos mínimos por arrendamiento, las cuotas contingentes y las cuotas de subarriendo.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Una descripción general de los acuerdos significativos de arrendamiento concluidos por el arrendatario, donde se incluirán, sin limitarse a ellos, los siguientes 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bases para la determinación de cualquier cuota de carácter contingente que se haya pactado;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existencia y, en su caso, los plazos de renovación o las opciones de compra y las cláusulas de actualización o escalonamiento;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las restricciones impuestas a la entidad en virtud de los contratos de arrendamiento financiero, tales como las que se refieran a la distribución de dividendos, al endeudamiento adicional o a nuevos contratos de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los arrendamientos en los estados financieros de los arrendadores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36 Los arrendadores reconocerán en su estado de situación financiera los activos que mantengan en arrendamientos financieros y los presentarán como una partida por cobrar, por un importe igual al de la inversión neta en 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En una operación de arrendamiento financiero, sustancialmente todos los riesgos y ventajas inherentes a la propiedad son transferidos por el arrendador, y por ello, las sucesivas cuotas a cobrar por el mismo se consideran como reembolsos del principal y remuneración financiera del arrendador por su inversión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Es frecuente que el arrendador incurra en ciertos costos directos iniciales, entre los que se incluyen comisiones, honorarios jurídicos y costos internos que son incrementales y directamente atribuibles a la negociación y contratación del arrendamiento. De ellos se excluyen los costos de estructura indirectos, tales como los incurridos por un equipo de ventas y comercialización. En el caso de arrendamientos financieros distintos de aquéllos en los que está implicado un productor o distribuidor que también es arrendador, los costos directos iniciales se incluirán en la medición inicial de los derechos de cobro por el arrendamiento financiero, y disminuirán el importe de los ingresos reconocidos a lo largo del plazo de arrendamiento. La tasa de interés implícita del arrendamiento se define de forma que los costos directos iniciales se incluyen automáticamente en los derechos de cobro del arrendamiento financiero; esto es, no hay necesidad de añadirlos de forma independiente. Los costos incurridos por productores o distribuidores, que también son arrendadores, en relación con la negociación y contratación de un arrendamiento, se excluyen de la definición de costos directos iniciales. En consecuencia, éstos se excluirán de la inversión neta del arrendamiento y se reconocerán como gastos cuando se reconozca el beneficio de la venta, lo que para un arrendamiento financiero tiene lugar normalmente al comienzo del plazo de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El reconocimiento de los ingresos financieros, se basará en una pauta que refleje, en cada uno de los periodos, una tasa de rendimiento constante sobre la inversión financiera neta que el arrendador ha realizado en el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Un arrendador aspira a distribuir el ingreso financiero sobre una base sistemática y racional, a lo largo del plazo del arrendamiento. Esta distribución se basará en una pauta que refleje un rendimiento constante en cada periodo sobre la inversión neta relacionada con el arrendamiento financiero. Los pagos del arrendamiento relativos a cada periodo, una vez excluidos los costos por servicios, se destinarán a cubrir la inversión bruta en el arrendamiento, reduciendo tanto el principal como los ingresos financieros no devengados.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Las estimaciones de los valores residuales no garantizados, utilizados al computar la inversión bruta del arrendador en el arrendamiento, serán objeto de revisiones regulares. Si se hubiera producido una reducción permanente en la estimación del valor residual no garantizado, se procedería a revisar la distribución del ingreso financiero no devengado a lo largo del plazo del arrendamiento, y cualquier reducción respecto a las cantidades de ingresos ya devengados se reconocerá inmediatamente.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41A Un activo sometido a un arrendamiento financiero, que haya sido clasificado como mantenido para la venta (o incluido en un grupo de activos para su disposición clasificado como mantenido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xml:space="preserve"> se contabilizará según lo establecido en esa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Los arrendadores que son también fabricantes o distribuidores reconocerán los resultados derivados de la venta en el periodo, de acuerdo con las políticas contables utilizadas por la entidad para el resto de las operaciones de venta directa. Si se han aplicado tasas de interés artificialmente bajas, el resultado por la venta se reducirá al que se hubiera obtenido de haber aplicado tasas de interés de mercado. Los costos incurridos por el fabricante o el distribuidor que sea también arrendador, y estén relacionados con la negociación o la contratación del arrendamiento, se reconocerán como un gasto cuando se reconozca el resultado en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Los fabricantes o distribuidores ofrecen a menudo a sus clientes la posibilidad de comprar o alquilar un activo. El arrendamiento financiero de un activo, cuando el arrendador es también fabricante o distribuidor, dará lugar a dos tipos de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pérdida o ganancia equivalente al resultado de la venta directa del activo arrendado, a precios normales de venta, teniendo en cuenta todo tipo de descuentos comerciales y rebajas que sean aplicables;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ganancia financiera que se obtenga en el transcurso del periodo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El ingreso de actividades ordinarias por venta registrado al comienzo del plazo del arrendamiento financiero, por un arrendador que sea fabricante o distribuidor, es igual al valor razonable del activo o, si fuera menor, al valor presente de los pagos mínimos por el arrendamiento, descontados a una tasa de interés de mercado. El costo de la venta reconocido al comienzo del plazo del arrendamiento es el costo de la propiedad arrendada o la cantidad por la que estuviese contabilizada si fuera diferente, menos el valor presente del valor residual no garantizado. La diferencia entre el ingreso de actividades ordinarias y el costo de la venta es la ganancia en la venta, que se reconocerá como tal de acuerdo con las políticas seguidas por la entidad para las operaciones de venta directa.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Los fabricantes o distribuidores que son también arrendadores, aplican a veces tasas de interés artificialmente bajas a fin de atraer a los clientes. El uso de dichas tasas podría significar el reconocimiento, en el momento de la venta, de una porción excesiva del resultado total de la transacción. En el caso de que se empleen tasas de interés artificialmente bajas, el resultado de la venta quedará reducido al que se hubiera obtenido de aplicar una tasa de interés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Los costos directos iniciales, en los casos de arrendadores que son fabricantes o distribuidores, se reconocerán como gastos al comienzo del plazo del arrendamiento, puesto que están relacionados principalmente con la obtención de las ganancias del fabricante o distribuidor en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47 Además de cumplir los requisitos informativos fijados en la NIIF 7</w:t>
      </w:r>
      <w:r w:rsidRPr="00401DFF">
        <w:rPr>
          <w:rFonts w:ascii="Times New Roman" w:eastAsia="Times New Roman" w:hAnsi="Times New Roman" w:cs="Times New Roman"/>
          <w:b/>
          <w:bCs/>
          <w:i/>
          <w:iCs/>
          <w:sz w:val="24"/>
          <w:szCs w:val="24"/>
          <w:lang w:eastAsia="es-CO"/>
        </w:rPr>
        <w:t>,</w:t>
      </w:r>
      <w:r w:rsidRPr="00401DFF">
        <w:rPr>
          <w:rFonts w:ascii="Times New Roman" w:eastAsia="Times New Roman" w:hAnsi="Times New Roman" w:cs="Times New Roman"/>
          <w:b/>
          <w:bCs/>
          <w:sz w:val="24"/>
          <w:szCs w:val="24"/>
          <w:lang w:eastAsia="es-CO"/>
        </w:rPr>
        <w:t xml:space="preserve"> los arrendadores revelarán en sus estados financieros la siguiente información, referida a los arrendamientos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conciliación entre la inversión bruta en el arrendamiento al final del periodo sobre el que se informa y el valor presente de los pagos mínimos a recibir en esa misma fecha. Además, la entidad revelará, al final del periodo sobre el que se informa, la inversión bruta en el arrendamiento y el valor presente de los pagos mínimos a recibir en esa misma fecha, para cada uno de los siguientes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hasta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entre uno y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ingresos financieros no acumulados (o no devengados);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los valores residuales no garantizados reconocidos a favor del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las correcciones de valor acumuladas que cubran insolvencias relativas a los pagos mínimos por el arrendamiento pendientes de cobro;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las cuotas contingentes reconocidas en los ingresos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una descripción general de los acuerdos de arrendamiento significativos concluidos por 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A menudo resulta útil informar, como indicador del crecimiento en la actividad arrendadora, sobre la inversión bruta en arrendamientos financieros conseguida en el periodo, deducidos los correspondientes ingresos financieros no acumulados (o no devengados), a la que se restarán los importes de los contratos de arrendamiento cancelados en ese mismo intervalo de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49 Los arrendadores presentarán en su estado de situación financiera, los activos dedicados a arrendamientos operativos de acuerdo con la naturaleza de tales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50</w:t>
      </w:r>
      <w:r w:rsidRPr="00401DFF">
        <w:rPr>
          <w:rFonts w:ascii="Times New Roman" w:eastAsia="Times New Roman" w:hAnsi="Times New Roman" w:cs="Times New Roman"/>
          <w:sz w:val="24"/>
          <w:szCs w:val="24"/>
          <w:lang w:eastAsia="es-CO"/>
        </w:rPr>
        <w:t>Los ingresos procedentes de los arrendamientos operativos se reconocerán como ingresos de forma lineal a lo largo del plazo de arrendamiento, salvo que resulte más representativa otra base sistemática de reparto, por reflejar más adecuadamente el patrón temporal de consumo de los beneficios derivados del uso del activo arrendado en cuestión</w:t>
      </w:r>
      <w:hyperlink r:id="rId25" w:anchor="bf172a69ed670c64372b3eaf382aa70bb5cnf9" w:tgtFrame="_self" w:history="1">
        <w:r w:rsidRPr="00401DFF">
          <w:rPr>
            <w:rFonts w:ascii="Times New Roman" w:eastAsia="Times New Roman" w:hAnsi="Times New Roman" w:cs="Times New Roman"/>
            <w:color w:val="0000FF"/>
            <w:sz w:val="20"/>
            <w:szCs w:val="20"/>
            <w:u w:val="single"/>
            <w:vertAlign w:val="superscript"/>
            <w:lang w:eastAsia="es-CO"/>
          </w:rPr>
          <w:t>(3)</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51 Los costos incurridos en la obtención de ingresos por arrendamiento, incluyendo la depreciación del bien, se reconocerán como gastos. Los ingresos por arrendamiento (excluyendo lo que se reciba por servicios tales como seguro y conservación) se reconocerán de una forma lineal en el plazo del arrendamiento, incluso si los cobros no se perciben con arreglo a tal base, a menos que otra fórmula sistemática sea más representativa del patrón temporal con el que los beneficios derivados del uso del activo arrendado disminuyen.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 Los costos directos iniciales, incurridos por el arrendador en la negociación y contratación de un arrendamiento operativo, se añadirán al importe en libros del activo arrendado y se reconocerán como gasto a lo largo del plazo de arrendamiento, sobre la misma base que los ingresos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La depreciación de los activos depreciables arrendados se efectuará de forma coherente con las políticas normalmente seguidas por el arrendador para activos similares, y se calculará con arreglo a las bases establecidas en la NIC 16 y en la NIC 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Para determinar si el activo arrendado ha visto deteriorado su valor, la entidad aplicará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El arrendador, que sea a la vez fabricante o distribuidor de los bienes arrendados, no reconocerá ningún resultado por la venta cuando celebre un contrato de arrendamiento operativo, puesto que la operación no es en ningún modo equivalente a una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56 Además de cumplir con los requerimientos informativos fijados en la NIIF 7, los arrendadores revelarán, en sus estados financieros, la siguiente información referida a los 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total de los pagos mínimos futuros del arrendamiento correspondiente a los arrendamientos operativos no cancelables, así como los importes que corresponden a los siguientes plazos: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hasta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entre uno y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total de las cuotas de carácter contingente reconocidas como ingreso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descripción general de las condiciones de los arrendamientos acordados por 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57 Además, será también de aplicación para los arrendadores de activos en régimen de arrendamiento operativo, los requisitos de información exigidos en la NIC 16, la NIC 36, la NIC 38, la NIC 40 y la NIC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de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Una venta con arrendamiento posterior es una transacción que implica la enajenación de un activo y su posterior arrendamiento al vendedor. Las cuotas del arrendamiento y el precio de venta son usualmente interdependientes, puesto que se negocian simultáneamente. El tratamiento contable de las operaciones de venta con arrendamiento posterior dependerá del tipo de arrendamiento implicado en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59 Si una venta con arrendamiento posterior resulta en un arrendamiento financiero, cualquier exceso del importe de la venta sobre el importe en libros del activo enajenado no se reconocerá inmediatamente como resultado en los estados financieros del vendedor arrendatario. Este exceso se diferirá y amortizará a lo largo del plazo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Si el arrendamiento posterior es un arrendamiento financiero, la operación es un medio por el cual el arrendador suministra financiación al arrendatario con el activo como garantía. Por esta razón, no será apropiado considerar el exceso del importe de la venta sobre el importe en libros del activo como un resultado realizado. Este exceso se diferirá y amortizará a lo largo del plazo del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Si una venta con arrendamiento posterior resultase ser un arrendamiento operativo, y quedase claro que la operación se ha establecido a su valor razonable, cualquier resultado se reconocerá inmediatamente como tal. Si el precio de venta fuese inferior al valor razonable, todo resultado se reconocerá inmediatamente, excepto si la pérdida resultase compensada por cuotas futuras por debajo de los precios de mercado, en cuyo caso se diferirá y amortizará en proporción a las cuotas pagadas durante el periodo en el cual se espera utilizar el activo. Si el precio de venta fuese superior al valor razonable, dicho exceso se diferirá y amortizará en el periodo durante el cual se espere utilizar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Si el arrendamiento posterior fuese un arrendamiento operativo, y tanto las cuotas como el precio se estableciesen utilizando valores razonables, se habrá producido efectivamente una operación normal de venta y se reconocerá inmediatamente cualquier resultado derivado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En los contratos de arrendamiento operativo, si el valor razonable del bien en el momento de la venta con arrendamiento posterior fuera inferior a su importe en libros, la pérdida derivada de la diferencia entre ambas cifras se reconocerá inmediatamente.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Sin embargo, para los arrendamientos financieros, tal ajuste no será necesario, salvo que se haya producido un deterioro del valor, en cuyo caso el importe en libros se rebajará hasta que alcance el importe recuperable,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65 Las obligaciones sobre revelación de información, establecidas tanto para los arrendadores como para los arrendatarios, serán igualmente aplicables a las ventas con arrendamiento posterior. En el caso de la descripción general de los acuerdos relevantes de los arrendamientos, será oportuno revelar las disposiciones no habituales que se hayan incluido en los acuerdos, o bien en los términos de las transacciones de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66 Las operaciones de venta con arrendamiento posterior pueden cumplir las condiciones para tener que informar por separado de ellas según la 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67 Conforme a lo establecido en el párrafo 68, se aconseja la aplicación retroactiva de esta Norma, pero no se obliga a ello. Si no se aplicase la Norma de forma retroactiva, se considerará que el saldo de cualquier arrendamiento financiero preexistente ha sido determinado de forma apropiada por parte del arrendador, el cual procederá en adelante a contabilizarlo, de acuerdo con el contenido de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68</w:t>
      </w:r>
      <w:r w:rsidRPr="00401DFF">
        <w:rPr>
          <w:rFonts w:ascii="Times New Roman" w:eastAsia="Times New Roman" w:hAnsi="Times New Roman" w:cs="Times New Roman"/>
          <w:sz w:val="24"/>
          <w:szCs w:val="24"/>
          <w:lang w:eastAsia="es-CO"/>
        </w:rPr>
        <w:t>La entidad que previamente haya aplicado la NIC 17 (revisada en 1997) aplicará las modificaciones contenidas por esta Norma de forma retroactiva para todos los arrendamientos, o bien, si la NIC 17 (revisada en 1997) no se aplicó retroactivamente, para todos los arrendamientos que hayan comenzado desde que se aplicó por primera vez la citada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68A Una entidad evaluará nuevamente la clasificación de los componentes de terrenos de aquellos arrendamientos que no hayan vencido en la fecha en que la entidad adopte las modificaciones a que hace referencia el párrafo 69A sobre la base de la información existente al comienzo de dichos arrendamientos. Reconocerá un arrendamiento recién clasificado como arrendamiento financiero, de forma retroactiva de acuerdo con la NIC 8 </w:t>
      </w:r>
      <w:r w:rsidRPr="00401DFF">
        <w:rPr>
          <w:rFonts w:ascii="Times New Roman" w:eastAsia="Times New Roman" w:hAnsi="Times New Roman" w:cs="Times New Roman"/>
          <w:b/>
          <w:bCs/>
          <w:i/>
          <w:iCs/>
          <w:sz w:val="24"/>
          <w:szCs w:val="24"/>
          <w:lang w:eastAsia="es-CO"/>
        </w:rPr>
        <w:t>Políticas Contables, Cambios en Estimaciones Contables y Errores</w:t>
      </w:r>
      <w:r w:rsidRPr="00401DFF">
        <w:rPr>
          <w:rFonts w:ascii="Times New Roman" w:eastAsia="Times New Roman" w:hAnsi="Times New Roman" w:cs="Times New Roman"/>
          <w:b/>
          <w:bCs/>
          <w:sz w:val="24"/>
          <w:szCs w:val="24"/>
          <w:lang w:eastAsia="es-CO"/>
        </w:rPr>
        <w:t>. Sin embargo, si una entidad no tiene la información necesaria para aplicar las modificaciones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aplicará las modificaciones de esos arrendamientos sobre la base de los hechos y circunstancias existentes en la fecha en que adopte las modificaciones;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reconocerá el activo y pasivo relacionados con el arrendamiento de terrenos recién clasificado como un arrendamiento financiero, a sus valores razonables en esa fecha; las diferencias entre dichos valores razonables se reconocerán en las ganancias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69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69A Como parte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se eliminaron los párrafos 14 y 15 y se añadieron los párrafos 15A y 68A. Una entidad aplicará esas modificaciones a periodos anuales que comiencen a partir del 1 de enero de 2010.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17 (revisada en 1997)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70 Esta Norma deroga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(revisada en 1997).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Véase también la SIC-27 </w:t>
      </w:r>
      <w:r w:rsidRPr="00401DFF">
        <w:rPr>
          <w:rFonts w:ascii="Times New Roman" w:eastAsia="Times New Roman" w:hAnsi="Times New Roman" w:cs="Times New Roman"/>
          <w:i/>
          <w:iCs/>
          <w:sz w:val="24"/>
          <w:szCs w:val="24"/>
          <w:lang w:eastAsia="es-CO"/>
        </w:rPr>
        <w:t>Evaluación de la Esencia de las Transacciones que Adoptan la Forma Legal de un Arrendamiento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(19) Véase también la SIC-15 </w:t>
      </w:r>
      <w:r w:rsidRPr="00401DFF">
        <w:rPr>
          <w:rFonts w:ascii="Times New Roman" w:eastAsia="Times New Roman" w:hAnsi="Times New Roman" w:cs="Times New Roman"/>
          <w:i/>
          <w:iCs/>
          <w:sz w:val="24"/>
          <w:szCs w:val="24"/>
          <w:lang w:eastAsia="es-CO"/>
        </w:rPr>
        <w:t>Arrendamientos Operativos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Véase también la SIC-15 </w:t>
      </w:r>
      <w:r w:rsidRPr="00401DFF">
        <w:rPr>
          <w:rFonts w:ascii="Times New Roman" w:eastAsia="Times New Roman" w:hAnsi="Times New Roman" w:cs="Times New Roman"/>
          <w:i/>
          <w:iCs/>
          <w:sz w:val="24"/>
          <w:szCs w:val="24"/>
          <w:lang w:eastAsia="es-CO"/>
        </w:rPr>
        <w:t>Arrendamientos Operativos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ingresos son definidos, en el </w:t>
      </w:r>
      <w:r w:rsidRPr="00401DFF">
        <w:rPr>
          <w:rFonts w:ascii="Times New Roman" w:eastAsia="Times New Roman" w:hAnsi="Times New Roman" w:cs="Times New Roman"/>
          <w:i/>
          <w:iCs/>
          <w:sz w:val="24"/>
          <w:szCs w:val="24"/>
          <w:lang w:eastAsia="es-CO"/>
        </w:rPr>
        <w:t>Marco Conceptual para la Preparación y Presentación de Estados Financieros</w:t>
      </w:r>
      <w:hyperlink r:id="rId26" w:anchor="bf1221af3811b3d42d9ada29904dc4dfaa3nf9" w:tgtFrame="_self" w:history="1">
        <w:r w:rsidRPr="00401DFF">
          <w:rPr>
            <w:rFonts w:ascii="Times New Roman" w:eastAsia="Times New Roman" w:hAnsi="Times New Roman" w:cs="Times New Roman"/>
            <w:color w:val="0000FF"/>
            <w:sz w:val="20"/>
            <w:szCs w:val="20"/>
            <w:u w:val="single"/>
            <w:vertAlign w:val="superscript"/>
            <w:lang w:eastAsia="es-CO"/>
          </w:rPr>
          <w:t>(21)</w:t>
        </w:r>
      </w:hyperlink>
      <w:r w:rsidRPr="00401DFF">
        <w:rPr>
          <w:rFonts w:ascii="Times New Roman" w:eastAsia="Times New Roman" w:hAnsi="Times New Roman" w:cs="Times New Roman"/>
          <w:sz w:val="24"/>
          <w:szCs w:val="24"/>
          <w:lang w:eastAsia="es-CO"/>
        </w:rPr>
        <w:t>, como incrementos en los beneficios económicos, producidos a lo largo del periodo contable, en forma de entradas o incrementos de valor de los activos, o bien como disminuciones de los pasivos, que dan como resultado aumentos del patrimonio y no están relacionados con las aportaciones de los propietarios de la entidad. El concepto de ingreso comprende tanto los ingresos de actividades ordinarias como las ganancias. Los ingresos de actividades ordinarias propiamente dichos surgen en el curso de las actividades ordinarias de la entidad y adoptan una gran variedad de nombres, tales como ventas, comisiones, intereses, dividendos y regalías. El objetivo de esta Norma es establecer el tratamiento contable de los ingresos de actividades ordinarias que surgen de ciertos tipos de transacciones y otros eventos.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principal preocupación en la contabilización de ingresos de actividades ordinarias es determinar cuándo deben ser reconocidos. El ingreso de actividades ordinarias es reconocido cuando es probable que los beneficios económicos futuros fluyan a la entidad y estos beneficios puedan ser medidos con fiabilidad. Esta Norma identifica las circunstancias en las cuales se cumplen estos criterios para que los ingresos de actividades ordinarias sean reconocidos. También suministra una guía práctica sobre la aplicación de tales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debe ser aplicada al contabilizar ingresos de actividades ordinarias procedentes de las siguientes transacciones y sucesos: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prestación de servicios;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uso, por parte de terceros, de activos de la entidad que produzcan intereses, regalías y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Esta Norma deroga la anterior NIC 18 </w:t>
      </w:r>
      <w:r w:rsidRPr="00401DFF">
        <w:rPr>
          <w:rFonts w:ascii="Times New Roman" w:eastAsia="Times New Roman" w:hAnsi="Times New Roman" w:cs="Times New Roman"/>
          <w:i/>
          <w:iCs/>
          <w:sz w:val="24"/>
          <w:szCs w:val="24"/>
          <w:lang w:eastAsia="es-CO"/>
        </w:rPr>
        <w:t>Reconocimiento de los Ingresos,</w:t>
      </w:r>
      <w:r w:rsidRPr="00401DFF">
        <w:rPr>
          <w:rFonts w:ascii="Times New Roman" w:eastAsia="Times New Roman" w:hAnsi="Times New Roman" w:cs="Times New Roman"/>
          <w:sz w:val="24"/>
          <w:szCs w:val="24"/>
          <w:lang w:eastAsia="es-CO"/>
        </w:rPr>
        <w:t xml:space="preserve"> aprobada en 1982.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 término “productos” incluye tanto los producidos por la entidad para ser vendidos, como los adquiridos para su reventa, tales como las mercaderías de los comercios al por menor o los terrenos u otras propiedades que se tienen para revenderlas a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La prestación de servicios implica, normalmente, la ejecución, por parte de la entidad, de un conjunto de tareas acordadas en un contrato, con una duración determinada en el tiempo. Los servicios pueden prestarse en el transcurso de un único periodo o a lo largo de varios periodos contables. Algunos contratos para la prestación de servicios se relacionan directamente con contratos de construcción, por ejemplo aquéllos que realizan los arquitectos o la gerencia de los proyectos. Los ingresos de actividades ordinarias derivados de tales contratos no son abordados en esta Norma, sino que se contabilizan de acuerdo con los requisitos que, para los contratos de construcción, se especifican en la 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El uso, por parte de terceros, de activos de la entidad, da lugar a ingresos que adoptan la forma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intereses–cargos por el uso de efectivo, de equivalentes al efectivo o por el mantenimiento de deudas para con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regalías-cargos por el uso de activos a largo plazo de la entidad, tales como patentes, marcas, derechos de autor o aplicaciones informáticas;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dividendos-distribuciones de ganancias a los poseedores de participaciones en la propiedad de las entidades, en proporción al porcentaje que supongan sobre el capital o sobre una clase particular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Esta Norma no trata de los ingresos de actividades ordinarias procedentes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acuerdos de arrendamiento financiero (véase la NIC 17 </w:t>
      </w:r>
      <w:r w:rsidRPr="00401DFF">
        <w:rPr>
          <w:rFonts w:ascii="Times New Roman" w:eastAsia="Times New Roman" w:hAnsi="Times New Roman" w:cs="Times New Roman"/>
          <w:i/>
          <w:iCs/>
          <w:sz w:val="24"/>
          <w:szCs w:val="24"/>
          <w:lang w:eastAsia="es-CO"/>
        </w:rPr>
        <w:t>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 dividendos producto de inversiones que se contabilizan por el método de la participación (véase la NIC 28 </w:t>
      </w:r>
      <w:r w:rsidRPr="00401DFF">
        <w:rPr>
          <w:rFonts w:ascii="Times New Roman" w:eastAsia="Times New Roman" w:hAnsi="Times New Roman" w:cs="Times New Roman"/>
          <w:i/>
          <w:iCs/>
          <w:sz w:val="24"/>
          <w:szCs w:val="24"/>
          <w:lang w:eastAsia="es-CO"/>
        </w:rPr>
        <w:t>Contabilización de Inversiones en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contratos de seguro bajo el alcance de la NIIF 4 </w:t>
      </w:r>
      <w:r w:rsidRPr="00401DFF">
        <w:rPr>
          <w:rFonts w:ascii="Times New Roman" w:eastAsia="Times New Roman" w:hAnsi="Times New Roman" w:cs="Times New Roman"/>
          <w:i/>
          <w:iCs/>
          <w:sz w:val="24"/>
          <w:szCs w:val="24"/>
          <w:lang w:eastAsia="es-CO"/>
        </w:rPr>
        <w:t>Contratos de Seguros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cambios en el valor razonable de activos financieros y pasivos financieros, o su disposición (véase la NIIF 9 </w:t>
      </w:r>
      <w:r w:rsidRPr="00401DFF">
        <w:rPr>
          <w:rFonts w:ascii="Times New Roman" w:eastAsia="Times New Roman" w:hAnsi="Times New Roman" w:cs="Times New Roman"/>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cambios en el valor de otros activos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reconocimiento inicial y cambios en el valor razonable de los activos biológicos relacionados con la actividad agrícola (véase la NIC 41 </w:t>
      </w:r>
      <w:r w:rsidRPr="00401DFF">
        <w:rPr>
          <w:rFonts w:ascii="Times New Roman" w:eastAsia="Times New Roman" w:hAnsi="Times New Roman" w:cs="Times New Roman"/>
          <w:i/>
          <w:iCs/>
          <w:sz w:val="24"/>
          <w:szCs w:val="24"/>
          <w:lang w:eastAsia="es-CO"/>
        </w:rPr>
        <w:t>Agricultura);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reconocimiento inicial de los productos agrícolas (véase la NIC 41);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extracción de minerales en yacimientos.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Ingreso de actividades ordinarias</w:t>
      </w:r>
      <w:r w:rsidRPr="00401DFF">
        <w:rPr>
          <w:rFonts w:ascii="Times New Roman" w:eastAsia="Times New Roman" w:hAnsi="Times New Roman" w:cs="Times New Roman"/>
          <w:b/>
          <w:bCs/>
          <w:sz w:val="24"/>
          <w:szCs w:val="24"/>
          <w:lang w:eastAsia="es-CO"/>
        </w:rPr>
        <w:t xml:space="preserve"> es la entrada bruta de beneficios económicos, durante el periodo, surgidos en el curso de las actividades ordinarias de una entidad, siempre que tal entrada dé lugar a un aumento en el patrimonio, que no esté relacionado con las aportaciones de los propietarios de ese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Los ingresos de actividades ordinarias comprenden solamente las entradas brutas de beneficios económicos recibidos y por recibir, por parte de la entidad, por cuenta propia. Las cantidades recibidas por cuenta de terceros, tales como impuestos sobre las ventas, sobre productos o servicios o sobre el valor añadido, no constituyen entradas de beneficios económicos para la entidad y no producen aumentos en su patrimonio. Por tanto, tales entradas se excluirán de los ingresos de actividades ordinarias. De la misma forma, en una relación de comisión, entre un principal y un comisionista, las entradas brutas de beneficios económicos del comisionista incluyen importes recibidos por cuenta del principal, que no suponen aumentos en el patrimonio de la entidad. Los importes recibidos por cuenta del principal no son ingresos de actividades ordinarias. En vez de ello, el ingreso de actividades ordinarias es el importe de la comisión.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los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9 Los ingresos de actividades ordinarias se medirán al valor razonable de la contraprestación recibida o por recibir</w:t>
      </w:r>
      <w:hyperlink r:id="rId27" w:anchor="bf1909cfefb9d804e78b00f874df1565672nf9" w:tgtFrame="_self" w:history="1">
        <w:r w:rsidRPr="00401DFF">
          <w:rPr>
            <w:rFonts w:ascii="Times New Roman" w:eastAsia="Times New Roman" w:hAnsi="Times New Roman" w:cs="Times New Roman"/>
            <w:color w:val="0000FF"/>
            <w:sz w:val="20"/>
            <w:szCs w:val="20"/>
            <w:u w:val="single"/>
            <w:vertAlign w:val="superscript"/>
            <w:lang w:eastAsia="es-CO"/>
          </w:rPr>
          <w:t>(2)</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El importe de los ingresos de actividades ordinarias derivados de una transacción se determina, normalmente, por acuerdo entre la entidad y el vendedor o usuario del activo. Se medirán al valor razonable de la contrapartida, recibida o por recibir, teniendo en cuenta el importe de cualquier descuento, bonificación o rebaja comercial que la entidad pueda otorgar.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En la mayoría de los casos, la contrapartida revestirá la forma de efectivo o equivalentes al efectivo, y por tanto el ingreso de actividades ordinarias se mide por la cantidad de efectivo o equivalentes al efectivo, recibidos o por recibir. No obstante, cuando la entrada de efectivo o de equivalentes al efectivo se difiera en el tiempo, el valor razonable de la contrapartida puede ser menor que la cantidad nominal de efectivo cobrada o por cobrar. Por ejemplo, la entidad puede conceder al cliente un crédito sin intereses o acordar la recepción de un efecto comercial, cargando una tasa de interés menor que la del mercado, como contrapartida de la venta de bienes. Cuando el acuerdo constituye efectivamente una transacción financiera, el valor razonable de la contrapartida se determinará por medio del descuento de todos los cobros futuros, utilizando una tasa de interés imputada para la actualización. La tasa de interés imputada a la operación será, de entre las dos siguientes, la que mejor se pueda determinar: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 bien la tasa vigente para un instrumento similar cuya calificación crediticia sea parecida a la que tiene el cliente que lo acepta;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o bien la tasa de interés que iguala el nominal del instrumento utilizado, debidamente descontado, al precio al contado de los bienes o servicios vendidos.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diferencia entre el valor razonable y el importe nominal de la contrapartida se reconoce como ingreso de actividades ordinarias por intereses, de acuerdo con los párrafos 29 y 30 de esta Norma, y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Cuando se intercambien o permuten bienes o servicios por otros bienes o servicios de naturaleza similar, tal cambio no se considerará como una transacción que produce ingresos de actividades ordinarias. Con frecuencia, este es el caso de mercaderías como el aceite o la leche, en las que los proveedores intercambian o permutan inventarios en diversos lugares, con el fin de satisfacer pedidos en un determinado lugar. Cuando los bienes se vendan, o los servicios se presten, recibiendo en contrapartida bienes o servicios de naturaleza diferente, el intercambio se considera como una transacción que produce ingresos de actividades ordinarias. Tales ingresos de actividades ordinarias se miden por el valor razonable de los bienes o servicios recibidos, ajustado por cualquier eventual cantidad de efectivo u otros medios equivalentes transferidos en la operación. En el caso de no poder medir con fiabilidad el valor de los bienes o servicios recibidos, los ingresos de actividades ordinarias se medirán según el valor razonable de los bienes o servicios entregados, ajustado igualmente por cualquier eventual importe de efectivo u otros medios equivalentes al efectivo transferidos en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Identificación de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Normalmente, el criterio usado para el reconocimiento de ingresos de actividades ordinarias en esta Norma se aplicará por separado a cada transacción. No obstante, en determinadas circunstancias, es necesario aplicar tal criterio de reconocimiento, por separado, a los componentes identificables de una única transacción, con el fin de reflejar la sustancia de la operación. Por ejemplo, cuando el precio de venta de un producto incluye una cantidad identificable a cambio de algún servicio futuro, tal importe se diferirá y reconocerá como ingreso de actividades ordinarias en el intervalo de tiempo durante el que tal servicio será ejecutado. A la inversa, el criterio de reconocimiento será de aplicación a dos o más transacciones, conjuntamente, cuando las mismas están ligadas de manera que el efecto comercial no puede ser entendido sin referencia al conjunto completo de transacciones. Por ejemplo, una entidad puede vender bienes y, al mismo tiempo, hacer un contrato para recomprar esos bienes más tarde, con lo que se niega el efecto sustantivo de la operación, en cuyo caso las dos transacciones han de ser contabilizadas de forma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Los ingresos de actividades ordinarias procedentes de la venta de bienes deben ser reconocidos y registrados en los estados financieros cuando se cumplen todas y cada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ha transferido al comprador los riesgos y ventajas, de tipo significativo, derivados de la propiedad de los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entidad no conserva para sí ninguna implicación en la gestión corriente de los bienes vendidos, en el grado usualmente asociado con la propiedad, ni retiene el control efectivo sobre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los ingresos de actividades ordinarias pueda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sea probable que la entidad reciba los beneficios económicos asociados con la transacción;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los costos incurridos, o por incurrir, en relación con la transacción pueden ser medidos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El proceso de evaluación de cuándo una entidad ha transferido al comprador los riesgos y ventajas significativos, que implica la propiedad, requiere un examen de las circunstancias de la transacción. En la mayoría de los casos, la transferencia de los riesgos y ventajas de la propiedad coincidirá con la transferencia de la titularidad legal o el traspaso de la posesión al comprador. Este es el caso en la mayor parte de las ventas al por menor. En otros casos, por el contrario, la transferencia de los riesgos y las ventajas de la propiedad tendrá lugar en un momento diferente del correspondiente a la transferencia de la titularidad legal o el traspaso de la posesión de los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 Si la entidad retiene, de forma significativa, riesgos de la propiedad, la transacción no será una venta y por tanto no se reconocerán los ingresos de actividades ordinarias. Una entidad puede retener riesgos significativos de diferentes formas. Ejemplos de situaciones en las que la entidad puede conservar riesgos y ventajas significativas, correspondientes a la propiedad,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la entidad asume obligaciones derivadas del funcionamiento insatisfactorio de los productos, que no entran en las condiciones normales de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la recepción de los ingresos de actividades ordinarias de una determinada venta es de naturaleza contingente porque depende de la obtención, por parte del comprador, de ingresos de actividades ordinarias derivados de la venta posterior de los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cuando los bienes se venden junto con la instalación de los mismos y la instalación es una parte sustancial del contrato, siempre que ésta no haya sido todavía completada por parte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el comprador tiene el derecho de rescindir la operación por una razón especificada en el contrato de venta y la entidad tiene incertidumbre acerca de la probabilidad de devolución.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una entidad conserva sólo una parte insignificante de los riesgos y las ventajas derivados de la propiedad, la transacción es una venta y por tanto se procederá a reconocer los ingresos de actividades ordinarias. Por ejemplo, un vendedor puede retener, con el único propósito de asegurar el cobro de la deuda, la titularidad legal de los bienes. En tal caso, si la entidad ha transferido los riesgos y ventajas significativos, derivados de la propiedad, la transacción es una venta y se procede a reconocer los ingresos de actividades ordinarias derivados de la misma. Otro ejemplo de una entidad que retiene sólo una parte insignificante del riesgo que comporta la propiedad, puede ser la venta al por menor, cuando se garantiza la devolución del importe si el consumidor no queda satisfecho. En estos casos, los ingresos de actividades ordinarias se reconocen en el momento de la venta, siempre que el vendedor pueda estimar con fiabilidad las devoluciones futuras, y reconozca una deuda por los reembolsos a efectuar, basándose en su experiencia previa o en otros factores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Los ingresos de actividades ordinarias se reconocerán sólo cuando sea probable que los beneficios económicos asociados con la transacción fluyan a la entidad. En algunos casos, esto puede no ser probable hasta que se reciba la contraprestación o hasta que desaparezca una determinada incertidumbre. Por ejemplo, en una venta a un país extranjero puede existir incertidumbre sobre si el gobierno extranjero concederá permiso para que la contrapartida sea remitida. Cuando tal permiso se conceda, la incertidumbre desaparecerá y se procederá entonces al reconocimiento del ingreso. No obstante, cuando surge alguna incertidumbre sobre el grado de recuperabilidad de un saldo ya incluido entre los ingresos de actividades ordinarias, la cantidad incobrable o la cantidad respecto a la cual el cobro ha dejado de ser probable se procede a reconocerlo como un gasto, en lugar de ajustar el importe del ingreso originalmente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19 Los ingresos de actividades ordinarias y los gastos, relacionados con una misma transacción o evento, se reconocerán de forma simultánea; este proceso se denomina habitualmente con el nombre de correlación de gastos con ingresos. Los gastos, junto con las garantías y otros costos a incurrir tras la entrega de los bienes, podrán ser medidos con fiabilidad cuando las otras condiciones para el reconocimiento de los ingresos de actividades ordinarias hayan sido cumplidas. No obstante, los ingresos de actividades ordinarias no pueden reconocerse cuando los gastos correlacionados no puedan ser medidos con fiabilidad; en tales casos, cualquier contraprestación ya recibida por la venta de los bienes se registrará como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Cuando el resultado de una transacción, que suponga la prestación de servicios, pueda ser estimado con fiabilidad, los ingresos de actividades ordinarias asociados con la operación deben reconocerse, considerando el grado de terminación de la prestación final del periodo sobre el que se informa. El resultado de una transacción puede ser estimado con fiabilidad cuando se cumplen todas y cada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los ingresos de actividades ordinarias pueda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sea probable que la entidad reciba los beneficios económicos asociados con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grado de realización de la transacción, al final del periodo sobre el que se informa, pueda ser medido con fiabilidad;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los costos incurridos en la transacción y los costos hasta completarla puedan ser medidos con fiabilidad</w:t>
      </w:r>
      <w:hyperlink r:id="rId28" w:anchor="bf1cb98d902c94b4d29a02c8fec062e5e58nf9" w:tgtFrame="_self" w:history="1">
        <w:r w:rsidRPr="00401DFF">
          <w:rPr>
            <w:rFonts w:ascii="Times New Roman" w:eastAsia="Times New Roman" w:hAnsi="Times New Roman" w:cs="Times New Roman"/>
            <w:color w:val="0000FF"/>
            <w:sz w:val="20"/>
            <w:szCs w:val="20"/>
            <w:u w:val="single"/>
            <w:vertAlign w:val="superscript"/>
            <w:lang w:eastAsia="es-CO"/>
          </w:rPr>
          <w:t>(3)</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El reconocimiento de los ingresos de actividades ordinarias por referencia al grado de realización de una transacción se denomina habitualmente con el nombre de método del porcentaje de realización. Bajo este método, los ingresos de actividades ordinarias se reconocen en los periodos contables en los cuales tiene lugar la prestación del servicio. El reconocimiento de los ingresos de actividades ordinarias con esta base suministrará información útil sobre la medida de la actividad de servicio y su ejecución en un determinado periodo. La NIC 11, exige también la utilización de esta base de reconocimiento de los ingresos de actividades ordinarias. Los requerimientos de esa Norma son, por lo general, aplicables al reconocimiento de los ingresos de actividades ordinarias y gastos asociados con una operación que implique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Los ingresos de actividades ordinarias se reconocerán sólo cuando sea probable que los beneficios económicos asociados con la transacción fluyan a la entidad. No obstante, cuando surge alguna incertidumbre sobre el grado de recuperabilidad de un saldo ya incluido entre los ingresos de actividades ordinarias, la cantidad incobrable o la cantidad respecto a la cual el cobro ha dejado de ser probable se procede a reconocerlo como un gasto, en lugar de ajustar el importe del ingreso originalmente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23 Una entidad será, por lo general, capaz de hacer estimaciones fiables después de que ha acordado, con las otras partes de la operación,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derechos exigibles por cada uno de los implicados, acerca del servicio que las partes han de suministrar o recibir;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contrapartida del intercambio;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forma y plazos de pago.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Normalmente, es también necesario para la entidad disponer de un sistema presupuestario financiero y un sistema de información que sean efectivos. La entidad revisará y, si es necesario, modificará las estimaciones del ingreso de actividades ordinarias por recibir a medida que el servicio se va prestando.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necesidad de tales revisiones no indica, necesariamente, que el desenlace de la operación de prestación no pueda ser estimado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El grado de realización de una transacción puede determinarse mediante varios métodos. Cada entidad usa el método que mide con más fiabilidad los servicios ejecutados. Entre los métodos a emplear se encuentran, dependiendo de la naturaleza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 inspección de los trabajos ejecutados;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proporción que los servicios ejecutados hasta la fecha como porcentaje del total de servicios a prestar;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proporción que los costos incurridos hasta la fecha suponen sobre el costo total estimado de la operación, calculada de manera que sólo los costos que reflejen servicios ya ejecutados se incluyan entre los costos incurridos hasta la fecha y sólo los costos que reflejan servicios ejecutados o por ejecutar se incluyan en la estimación de los costos totales de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Ni los pagos a cuenta ni los anticipos recibidos de los clientes reflejan, forzosamente, el porcentaje del servicio prestado hasta la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A efectos prácticos, en el caso de que los servicios se presten a través de un número indeterminado de actos, a lo largo de un periodo de tiempo especificado, los ingresos de actividades ordinarias se podrán reconocer de forma lineal a lo largo del intervalo de tiempo citado, a menos que haya evidencia de que otro método representa mejor el porcentaje de realización en cada momento. Cuando un acto específico sea mucho más significativo que el resto de los actos, el reconocimiento de los ingresos de actividades ordinarias se pospondrá hasta que el mismo haya sido ejecutado.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26 Cuando el resultado de una transacción, que implique la prestación de servicios, no pueda ser estimado de forma fiable, los ingresos de actividades ordinarias </w:t>
      </w:r>
      <w:r w:rsidRPr="00401DFF">
        <w:rPr>
          <w:rFonts w:ascii="Times New Roman" w:eastAsia="Times New Roman" w:hAnsi="Times New Roman" w:cs="Times New Roman"/>
          <w:b/>
          <w:bCs/>
          <w:sz w:val="24"/>
          <w:szCs w:val="24"/>
          <w:lang w:eastAsia="es-CO"/>
        </w:rPr>
        <w:lastRenderedPageBreak/>
        <w:t>correspondientes deben ser reconocidos como tales sólo en la cuantía de los gastos reconocidos que se consideren recuperables.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Durante los primeros momentos de una transacción que implique prestación de servicios, se da a menudo el caso de que el desenlace de la misma no puede ser estimado de forma fiable. No obstante, puede ser probable que la entidad recupere los costos incurridos en la operación. En tal caso, se reconocerán los ingresos de actividades ordinarias solo en la cuantía de los costos incurridos que se espere recuperar. Dado que el desenlace de la transacción no puede estimarse de forma fiable, no se reconocerá ganancia alguna procedente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Cuando el resultado final de una transacción no pueda estimarse de forma fiable, y no sea probable que se recuperen tampoco los costos incurridos en la misma, no se reconocerán ingresos de actividades ordinarias, pero se procederá a reconocer los costos incurridos como gastos del periodo. Cuando desaparezcan las incertidumbres que impedían la estimación fiable del correcto desenlace del contrato, se procederá a reconocer los ingresos de actividades ordinarias derivados, pero utilizando lo previsto en el párrafo 20, en lugar de lo establecido en el párrafo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Intereses, regalías y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29 Los ingresos de actividades ordinarias derivados del uso, por parte de terceros, de activos de la entidad que producen intereses, regalías y dividendos deben ser reconocidos de acuerdo con las bases establecidas en el párrafo 30, siempre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sea probable que la entidad reciba los beneficios económicos asociados con la transacción;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los ingresos de actividades ordinarias pueda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Los ingresos de actividades ordinarias deben reconocerse de acuerdo con las siguientes bases: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intereses deberán reconocerse utilizando el método del tipo de interés efectivo, como se establece en la NIC 39, párrafos 9 y GA5 a GA8;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regalías deben ser reconocidas utilizando la base de acumulación (o devengo), de acuerdo con la sustancia del acuerdo en que se basan;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dividendos deben reconocerse cuando se establezca el derecho a recibirlos por parte del accionista.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32 Cuando se cobran los intereses de una determinada inversión, y parte de los mismos se han acumulado (o devengado) con anterioridad a su adquisición, se procederá a distribuir el interés total entre los periodos pre y post adquisición, procediendo a reconocer como ingresos de actividades ordinarias sólo los que corresponden al periodo posterior a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Las regalías se consideran acumuladas (o devengadas) de acuerdo con los términos del acuerdo en que se basan y son reconocidas como tales con este criterio, a menos que, considerando la sustancia del susodicho acuerdo, sea más apropiado reconocer los ingresos de actividades ordinarias derivados utilizando otro criterio más sistemático y racional.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Los ingresos de actividades ordinarias se reconocerán sólo cuando sea probable que los beneficios económicos asociados con la transacción fluyan a la entidad. No obstante, cuando surge alguna incertidumbre sobre el grado de recuperabilidad de un saldo ya incluido entre los ingresos de actividades ordinarias, la cantidad incobrable o la cantidad respecto a la cual el cobro ha dejado de ser probable se procede a reconocerlo como un gasto, en lugar de ajustar el importe del ingreso originalmente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políticas contables adoptadas para el reconocimiento de los ingresos de actividades ordinarias, incluyendo los métodos utilizados para determinar el grado de realización de las operaciones de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cuantía de cada categoría significativa de ingresos de actividades ordinarias, reconocida durante el periodo, con indicación expresa de los ingresos de actividades ordinarias procedentes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regalías;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dividendos;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los ingresos de actividades ordinarias producidos por intercambios de bienes o servicios incluidos en cada una de las categorías anteriores de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36 La entidad revelará cualquier tipo de pasivos contingentes y activos contingentes,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Los </w:t>
      </w:r>
      <w:r w:rsidRPr="00401DFF">
        <w:rPr>
          <w:rFonts w:ascii="Times New Roman" w:eastAsia="Times New Roman" w:hAnsi="Times New Roman" w:cs="Times New Roman"/>
          <w:sz w:val="24"/>
          <w:szCs w:val="24"/>
          <w:lang w:eastAsia="es-CO"/>
        </w:rPr>
        <w:lastRenderedPageBreak/>
        <w:t>activos y pasivos de tipo contingente pueden surgir de partidas tales como costos de garantías, reclamaciones, multas o pérdidas eventuales.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Esta Norma Internacional de Contabilidad tendrá vigencia para los estados financieros que cubran periodos que comiencen a partir del 1 de enero de 1995.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38 </w:t>
      </w:r>
      <w:r w:rsidRPr="00401DFF">
        <w:rPr>
          <w:rFonts w:ascii="Times New Roman" w:eastAsia="Times New Roman" w:hAnsi="Times New Roman" w:cs="Times New Roman"/>
          <w:i/>
          <w:iCs/>
          <w:sz w:val="24"/>
          <w:szCs w:val="24"/>
          <w:lang w:eastAsia="es-CO"/>
        </w:rPr>
        <w:t xml:space="preserve">Costo de una Inversión en una Subsidiaria, Entidad Controlada de Forma Conjunta o Asociada </w:t>
      </w:r>
      <w:r w:rsidRPr="00401DFF">
        <w:rPr>
          <w:rFonts w:ascii="Times New Roman" w:eastAsia="Times New Roman" w:hAnsi="Times New Roman" w:cs="Times New Roman"/>
          <w:sz w:val="24"/>
          <w:szCs w:val="24"/>
          <w:lang w:eastAsia="es-CO"/>
        </w:rPr>
        <w:t xml:space="preserve">(Modificaciones a la NIIF 1 </w:t>
      </w:r>
      <w:r w:rsidRPr="00401DFF">
        <w:rPr>
          <w:rFonts w:ascii="Times New Roman" w:eastAsia="Times New Roman" w:hAnsi="Times New Roman" w:cs="Times New Roman"/>
          <w:i/>
          <w:iCs/>
          <w:sz w:val="24"/>
          <w:szCs w:val="24"/>
          <w:lang w:eastAsia="es-CO"/>
        </w:rPr>
        <w:t xml:space="preserve">Adopción por Primera vez de las Normas Internacionales de Información Financiera </w:t>
      </w:r>
      <w:r w:rsidRPr="00401DFF">
        <w:rPr>
          <w:rFonts w:ascii="Times New Roman" w:eastAsia="Times New Roman" w:hAnsi="Times New Roman" w:cs="Times New Roman"/>
          <w:sz w:val="24"/>
          <w:szCs w:val="24"/>
          <w:lang w:eastAsia="es-CO"/>
        </w:rPr>
        <w:t xml:space="preserve">y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emitido en mayo de 2008, modificó el párrafo 32. Una entidad aplicará esas modificaciones de forma prospectiva en los periodos anuales que comiencen a partir del 1 enero de 2009. Se permite su aplicación anticipada. Si una entidad aplicara a periodos anteriores las modificaciones correspondientes de los párrafos 4 y 38A de la NIC 27 a periodos anteriores, aplicará al mismo tiempo, las modificaciones del párrafo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La NIIF 9 emitida en octubre de 2010, modificó el párrafo 6(d) y el párrafo 11 y eliminó el párrafo 39.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 Las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 en mayo de 2011, modificó el párrafo 6(b). Una entidad aplicará esas modificaciones cuando aplique la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NIIF 13, emitida en mayo de 2011 modificó la definición de valor razonable del párrafo 7.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(21)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del IASC se adoptó por el IASB en 2001.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Véase también la SIC-31 </w:t>
      </w:r>
      <w:r w:rsidRPr="00401DFF">
        <w:rPr>
          <w:rFonts w:ascii="Times New Roman" w:eastAsia="Times New Roman" w:hAnsi="Times New Roman" w:cs="Times New Roman"/>
          <w:i/>
          <w:iCs/>
          <w:sz w:val="24"/>
          <w:szCs w:val="24"/>
          <w:lang w:eastAsia="es-CO"/>
        </w:rPr>
        <w:t>Ingresos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Permutas de Servicios de Publicidad.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(23) Véase también la SIC-27 </w:t>
      </w:r>
      <w:r w:rsidRPr="00401DFF">
        <w:rPr>
          <w:rFonts w:ascii="Times New Roman" w:eastAsia="Times New Roman" w:hAnsi="Times New Roman" w:cs="Times New Roman"/>
          <w:i/>
          <w:iCs/>
          <w:sz w:val="24"/>
          <w:szCs w:val="24"/>
          <w:lang w:eastAsia="es-CO"/>
        </w:rPr>
        <w:t>Evaluación de la Esencia de las Transacciones que Adoptan la Forma Legal de un Arrendamiento</w:t>
      </w:r>
      <w:r w:rsidRPr="00401DFF">
        <w:rPr>
          <w:rFonts w:ascii="Times New Roman" w:eastAsia="Times New Roman" w:hAnsi="Times New Roman" w:cs="Times New Roman"/>
          <w:sz w:val="24"/>
          <w:szCs w:val="24"/>
          <w:lang w:eastAsia="es-CO"/>
        </w:rPr>
        <w:t xml:space="preserve"> y la SIC-31 </w:t>
      </w:r>
      <w:r w:rsidRPr="00401DFF">
        <w:rPr>
          <w:rFonts w:ascii="Times New Roman" w:eastAsia="Times New Roman" w:hAnsi="Times New Roman" w:cs="Times New Roman"/>
          <w:i/>
          <w:iCs/>
          <w:sz w:val="24"/>
          <w:szCs w:val="24"/>
          <w:lang w:eastAsia="es-CO"/>
        </w:rPr>
        <w:t>Ingresos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Permutas de Servicios de Publicidad</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El objetivo de esta Norma es prescribir el tratamiento contable y la información a revelar sobre los beneficios a los empleados. La Norma requiere que una entidad reconozca: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pasivo cuando el empleado ha prestado servicios a cambio de beneficios a los empleados a pagar en el futuro;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gasto cuando la entidad consume el beneficio económico procedente del servicio prestado por el empleado a cambio de los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 Esta Norma se aplicará por los empleadores al contabilizar todos los beneficios a los empleados, excepto aquéllos a las que sea de aplicación la NIIF 2 </w:t>
      </w:r>
      <w:r w:rsidRPr="00401DFF">
        <w:rPr>
          <w:rFonts w:ascii="Times New Roman" w:eastAsia="Times New Roman" w:hAnsi="Times New Roman" w:cs="Times New Roman"/>
          <w:b/>
          <w:bCs/>
          <w:i/>
          <w:iCs/>
          <w:sz w:val="24"/>
          <w:szCs w:val="24"/>
          <w:lang w:eastAsia="es-CO"/>
        </w:rPr>
        <w:t>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Norma no trata de la información que deben suministrar los planes de beneficios a los empleados (véase la NIC 26 </w:t>
      </w:r>
      <w:r w:rsidRPr="00401DFF">
        <w:rPr>
          <w:rFonts w:ascii="Times New Roman" w:eastAsia="Times New Roman" w:hAnsi="Times New Roman" w:cs="Times New Roman"/>
          <w:i/>
          <w:iCs/>
          <w:sz w:val="24"/>
          <w:szCs w:val="24"/>
          <w:lang w:eastAsia="es-CO"/>
        </w:rPr>
        <w:t>Contabilización e Información Financiera sobre Planes de Beneficios por Retiro).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Los beneficios a los empleados a los que se aplica esta Norma comprenden los que proceden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planes u otro tipo de acuerdos formales celebrados entre una entidad y sus empleados, ya sea individualmente, con grupos particulares de empleados o con sus representantes;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requerimientos legales o acuerdos tomados en determinados sectores industriales, mediante los cuales las entidades se ven obligadas a realizar aportaciones a planes nacionales, provinciales, sectoriales u otros de carácter multi-patronal;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prácticas no formalizadas que generan obligaciones implícitas. Estas prácticas no formalizadas dan lugar a obligaciones implícitas, cuando la entidad no tenga alternativa realista diferente de la de pagar los beneficios a los empleados. Un ejemplo de una obligación implícita es cuando un cambio en las prácticas no formalizadas de la entidad causaría un daño inaceptable en las relaciones con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beneficios a los empleados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beneficios a los empleados a corto plazo, tales como los siguientes, si se esperan liquidar totalmente antes de los doce meses posteriores al final del periodo anual sobre el que se informa en el que los empleados presten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sueldos, salarios y aportaciones a la seguridad social;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derechos por permisos retribuidos y ausencia retribuida por enfermedad;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participación en ganancias e 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(iv) beneficios no monetarios a los empleados actuales (tales como atenciones médicas, alojamiento, automóviles y entrega de bienes y servicios gratuitos o parcialmente subvencionados).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Beneficios post-empleo; tales como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beneficios por retiro (por ejemplo pensiones y pagos únicos por retiro);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otros beneficios post-empleo, tales como los seguros de vida y los beneficios de atención médica posteriores al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Otros beneficios a los empleados a largo plazo, tales como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ausencias retribuidas a largo plazo, tales como vacaciones tras largos periodos de servicio o años sabáticos;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premios de antigüedad u otros beneficios por largo tiempo de servicio;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los beneficios por invalidez permanente;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Beneficios por 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beneficios a los empleados comprenden los proporcionados a los empleados o a quienes dependen o son beneficiarios de ellos, y pueden ser liquidados mediante pagos (o el suministro de bienes o servicios) realizados directamente a los empleados, a sus cónyuges, hijos u otras personas dependientes de aquéllos, o a terceros, tales como compañías de seguros.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Un empleado puede prestar servicios en la entidad a tiempo completo o a tiempo parcial, de forma permanente, ocasional o temporal. A efectos de esta Norma, empleados incluye también a los directores y a otro personal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Beneficios a los empleados</w:t>
      </w:r>
      <w:r w:rsidRPr="00401DFF">
        <w:rPr>
          <w:rFonts w:ascii="Times New Roman" w:eastAsia="Times New Roman" w:hAnsi="Times New Roman" w:cs="Times New Roman"/>
          <w:b/>
          <w:bCs/>
          <w:sz w:val="24"/>
          <w:szCs w:val="24"/>
          <w:lang w:eastAsia="es-CO"/>
        </w:rPr>
        <w:t xml:space="preserve"> son todas las formas de contraprestación concedida por una entidad a cambio de los servicios prestados por los empleados o por indemnizaciones por cese.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Beneficios a los empleados a corto plazo,</w:t>
      </w:r>
      <w:r w:rsidRPr="00401DFF">
        <w:rPr>
          <w:rFonts w:ascii="Times New Roman" w:eastAsia="Times New Roman" w:hAnsi="Times New Roman" w:cs="Times New Roman"/>
          <w:b/>
          <w:bCs/>
          <w:sz w:val="24"/>
          <w:szCs w:val="24"/>
          <w:lang w:eastAsia="es-CO"/>
        </w:rPr>
        <w:t xml:space="preserve"> son beneficios a los empleados (diferentes de las indemnizaciones por cese) que se espera liquidar totalmente antes de los doce </w:t>
      </w:r>
      <w:r w:rsidRPr="00401DFF">
        <w:rPr>
          <w:rFonts w:ascii="Times New Roman" w:eastAsia="Times New Roman" w:hAnsi="Times New Roman" w:cs="Times New Roman"/>
          <w:b/>
          <w:bCs/>
          <w:sz w:val="24"/>
          <w:szCs w:val="24"/>
          <w:lang w:eastAsia="es-CO"/>
        </w:rPr>
        <w:lastRenderedPageBreak/>
        <w:t>meses siguientes al final del periodo anual sobre el que se informa en el que los empleados hayan prestado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Beneficios post-empleo </w:t>
      </w:r>
      <w:r w:rsidRPr="00401DFF">
        <w:rPr>
          <w:rFonts w:ascii="Times New Roman" w:eastAsia="Times New Roman" w:hAnsi="Times New Roman" w:cs="Times New Roman"/>
          <w:b/>
          <w:bCs/>
          <w:sz w:val="24"/>
          <w:szCs w:val="24"/>
          <w:lang w:eastAsia="es-CO"/>
        </w:rPr>
        <w:t>son beneficios a los empleados (diferentes de las indemnizaciones por cese y beneficios a los empleados a corto plazo) que se pagan después de completar su periodo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Otros beneficios a los empleados a largo plazo,</w:t>
      </w:r>
      <w:r w:rsidRPr="00401DFF">
        <w:rPr>
          <w:rFonts w:ascii="Times New Roman" w:eastAsia="Times New Roman" w:hAnsi="Times New Roman" w:cs="Times New Roman"/>
          <w:b/>
          <w:bCs/>
          <w:sz w:val="24"/>
          <w:szCs w:val="24"/>
          <w:lang w:eastAsia="es-CO"/>
        </w:rPr>
        <w:t xml:space="preserve"> son todos los beneficios a los empleados diferentes de los beneficios a los empleados a corto plazo, beneficios posteriores al periodo de empleo e indemnizaciones por cese.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Beneficios por terminación</w:t>
      </w:r>
      <w:r w:rsidRPr="00401DFF">
        <w:rPr>
          <w:rFonts w:ascii="Times New Roman" w:eastAsia="Times New Roman" w:hAnsi="Times New Roman" w:cs="Times New Roman"/>
          <w:b/>
          <w:bCs/>
          <w:sz w:val="24"/>
          <w:szCs w:val="24"/>
          <w:lang w:eastAsia="es-CO"/>
        </w:rPr>
        <w:t xml:space="preserve"> son los beneficios a los empleados proporcionados por la terminación del periodo de empleo de un empleado como consecuencia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decisión de la entidad de terminar el contrato del empleado antes de la fecha normal de retiro;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decisión del empleado de aceptar una oferta de beneficios a cambio de la terminación de un contrato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relacionadas con la clasificación de los planes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Planes de beneficios post-empleo</w:t>
      </w:r>
      <w:r w:rsidRPr="00401DFF">
        <w:rPr>
          <w:rFonts w:ascii="Times New Roman" w:eastAsia="Times New Roman" w:hAnsi="Times New Roman" w:cs="Times New Roman"/>
          <w:b/>
          <w:bCs/>
          <w:sz w:val="24"/>
          <w:szCs w:val="24"/>
          <w:lang w:eastAsia="es-CO"/>
        </w:rPr>
        <w:t xml:space="preserve"> son acuerdos, formales o informales, en los que una entidad se compromete a suministrar beneficios a uno o más empleados tras la terminación de su periodo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Planes de aportaciones definidas </w:t>
      </w:r>
      <w:r w:rsidRPr="00401DFF">
        <w:rPr>
          <w:rFonts w:ascii="Times New Roman" w:eastAsia="Times New Roman" w:hAnsi="Times New Roman" w:cs="Times New Roman"/>
          <w:b/>
          <w:bCs/>
          <w:sz w:val="24"/>
          <w:szCs w:val="24"/>
          <w:lang w:eastAsia="es-CO"/>
        </w:rPr>
        <w:t>son planes de beneficios post-empleo, en los cuales la entidad realiza aportaciones de carácter predeterminado a una entidad separada (un fondo) y no tiene obligación legal ni implícita de realizar aportaciones adicionales, en el caso de que el fondo no tenga suficientes activos para atender los beneficios a los empleados que se relacionen con los servicios que éstos han prestado en el periodo presente y en los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Planes de beneficios definidos</w:t>
      </w:r>
      <w:r w:rsidRPr="00401DFF">
        <w:rPr>
          <w:rFonts w:ascii="Times New Roman" w:eastAsia="Times New Roman" w:hAnsi="Times New Roman" w:cs="Times New Roman"/>
          <w:b/>
          <w:bCs/>
          <w:sz w:val="24"/>
          <w:szCs w:val="24"/>
          <w:lang w:eastAsia="es-CO"/>
        </w:rPr>
        <w:t xml:space="preserve"> son planes de beneficios post-empleo diferentes de los planes de aportaciones 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Planes multi-patronales </w:t>
      </w:r>
      <w:r w:rsidRPr="00401DFF">
        <w:rPr>
          <w:rFonts w:ascii="Times New Roman" w:eastAsia="Times New Roman" w:hAnsi="Times New Roman" w:cs="Times New Roman"/>
          <w:b/>
          <w:bCs/>
          <w:sz w:val="24"/>
          <w:szCs w:val="24"/>
          <w:lang w:eastAsia="es-CO"/>
        </w:rPr>
        <w:t>son planes de aportaciones definidas (diferentes de los planes gubernamentales) o de los de beneficios definidos (diferentes de los planes gubernamentales), en los cuales: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 juntan los activos aportados por distintas entidades que no están bajo control común;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se utilizan dichos activos para proporcionar beneficios a los empleados de más de una entidad, teniendo en cuenta que tanto las aportaciones como los niveles de </w:t>
      </w:r>
      <w:r w:rsidRPr="00401DFF">
        <w:rPr>
          <w:rFonts w:ascii="Times New Roman" w:eastAsia="Times New Roman" w:hAnsi="Times New Roman" w:cs="Times New Roman"/>
          <w:b/>
          <w:bCs/>
          <w:sz w:val="24"/>
          <w:szCs w:val="24"/>
          <w:lang w:eastAsia="es-CO"/>
        </w:rPr>
        <w:lastRenderedPageBreak/>
        <w:t>beneficios se determinan sin tener en cuenta la identidad de la entidad, ni de los empleados cubiertos por 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relacionadas con el pasivo (activo) por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pasivo (activo) por beneficios definidos neto</w:t>
      </w:r>
      <w:r w:rsidRPr="00401DFF">
        <w:rPr>
          <w:rFonts w:ascii="Times New Roman" w:eastAsia="Times New Roman" w:hAnsi="Times New Roman" w:cs="Times New Roman"/>
          <w:b/>
          <w:bCs/>
          <w:sz w:val="24"/>
          <w:szCs w:val="24"/>
          <w:lang w:eastAsia="es-CO"/>
        </w:rPr>
        <w:t xml:space="preserve"> es el déficit o superávit, ajustado por los efectos de limitar un activo por beneficios definidos neto a un techo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déficit o superávit</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valor presente de la obligación por beneficios definidos menos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valor razonable de los activos del plan (si los hubiera).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techo del activo</w:t>
      </w:r>
      <w:r w:rsidRPr="00401DFF">
        <w:rPr>
          <w:rFonts w:ascii="Times New Roman" w:eastAsia="Times New Roman" w:hAnsi="Times New Roman" w:cs="Times New Roman"/>
          <w:b/>
          <w:bCs/>
          <w:sz w:val="24"/>
          <w:szCs w:val="24"/>
          <w:lang w:eastAsia="es-CO"/>
        </w:rPr>
        <w:t xml:space="preserve"> es el valor presente de cualesquiera beneficios económicos disponibles en forma de reembolsos del plan o reducciones en las aportaciones futuras al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valor presente de las obligaciones por beneficios definidos</w:t>
      </w:r>
      <w:r w:rsidRPr="00401DFF">
        <w:rPr>
          <w:rFonts w:ascii="Times New Roman" w:eastAsia="Times New Roman" w:hAnsi="Times New Roman" w:cs="Times New Roman"/>
          <w:b/>
          <w:bCs/>
          <w:sz w:val="24"/>
          <w:szCs w:val="24"/>
          <w:lang w:eastAsia="es-CO"/>
        </w:rPr>
        <w:t xml:space="preserve"> es el valor presente, sin deducir los activos del plan, de los pagos futuros esperados que son necesarios para liquidar las obligaciones derivadas de los servicios prestados por los empleados en el periodo presente y en los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Los activos del plan</w:t>
      </w:r>
      <w:r w:rsidRPr="00401DFF">
        <w:rPr>
          <w:rFonts w:ascii="Times New Roman" w:eastAsia="Times New Roman" w:hAnsi="Times New Roman" w:cs="Times New Roman"/>
          <w:b/>
          <w:bCs/>
          <w:sz w:val="24"/>
          <w:szCs w:val="24"/>
          <w:lang w:eastAsia="es-CO"/>
        </w:rPr>
        <w:t xml:space="preserve">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activos mantenidos por un fondo de beneficios a largo plazo para los empleados;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pólizas de seguro aptas.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 xml:space="preserve">activos mantenidos por un fondo de beneficios a largo plazo para los empleados </w:t>
      </w:r>
      <w:r w:rsidRPr="00401DFF">
        <w:rPr>
          <w:rFonts w:ascii="Times New Roman" w:eastAsia="Times New Roman" w:hAnsi="Times New Roman" w:cs="Times New Roman"/>
          <w:b/>
          <w:bCs/>
          <w:sz w:val="24"/>
          <w:szCs w:val="24"/>
          <w:lang w:eastAsia="es-CO"/>
        </w:rPr>
        <w:t>son activos (diferentes de los instrumentos financieros no transferibles emitidos por la entidad que informa)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son poseídos por una entidad (un fondo) que está separada legalmente de la entidad que informa, y existen solamente para pagar o financiar beneficios a los empleados;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están disponibles para ser usados sólo con el fin de pagar o financiar beneficios a los empleados, no están disponibles para hacer frente a las deudas con los acreedores de la entidad que informa (ni siquiera en caso de quiebra) y no pueden retornar a esta entidad salvo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los activos que quedan en el fondo sean suficientes para atender todas las obligaciones relacionadas con los beneficios a los empleados del plan o de la entidad que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 los activos retornen a la entidad que informa para reembolsar los beneficios a los empleados ya pagados.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Una póliza de seguro apta</w:t>
      </w:r>
      <w:r w:rsidRPr="00401DFF">
        <w:rPr>
          <w:rFonts w:ascii="Times New Roman" w:eastAsia="Times New Roman" w:hAnsi="Times New Roman" w:cs="Times New Roman"/>
          <w:b/>
          <w:bCs/>
          <w:sz w:val="24"/>
          <w:szCs w:val="24"/>
          <w:lang w:eastAsia="es-CO"/>
        </w:rPr>
        <w:t xml:space="preserve"> es una póliza de seguro</w:t>
      </w:r>
      <w:hyperlink r:id="rId29" w:anchor="bf12d028e50b93c40d886f12ad80f7fccacnf9" w:tgtFrame="_self" w:history="1">
        <w:r w:rsidRPr="00401DFF">
          <w:rPr>
            <w:rFonts w:ascii="Times New Roman" w:eastAsia="Times New Roman" w:hAnsi="Times New Roman" w:cs="Times New Roman"/>
            <w:color w:val="0000FF"/>
            <w:sz w:val="20"/>
            <w:szCs w:val="20"/>
            <w:u w:val="single"/>
            <w:vertAlign w:val="superscript"/>
            <w:lang w:eastAsia="es-CO"/>
          </w:rPr>
          <w:t>(24)</w:t>
        </w:r>
      </w:hyperlink>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b/>
          <w:bCs/>
          <w:sz w:val="24"/>
          <w:szCs w:val="24"/>
          <w:lang w:eastAsia="es-CO"/>
        </w:rPr>
        <w:t xml:space="preserve">emitida por un asegurador que no es una parte relacionada de la entidad que informa (según se la define en la NIC 24 </w:t>
      </w:r>
      <w:r w:rsidRPr="00401DFF">
        <w:rPr>
          <w:rFonts w:ascii="Times New Roman" w:eastAsia="Times New Roman" w:hAnsi="Times New Roman" w:cs="Times New Roman"/>
          <w:b/>
          <w:bCs/>
          <w:i/>
          <w:iCs/>
          <w:sz w:val="24"/>
          <w:szCs w:val="24"/>
          <w:lang w:eastAsia="es-CO"/>
        </w:rPr>
        <w:t>Informaciones a Revelar sobre Partes Relacionadas),</w:t>
      </w:r>
      <w:r w:rsidRPr="00401DFF">
        <w:rPr>
          <w:rFonts w:ascii="Times New Roman" w:eastAsia="Times New Roman" w:hAnsi="Times New Roman" w:cs="Times New Roman"/>
          <w:b/>
          <w:bCs/>
          <w:sz w:val="24"/>
          <w:szCs w:val="24"/>
          <w:lang w:eastAsia="es-CO"/>
        </w:rPr>
        <w:t xml:space="preserve"> cuando las indemnizaciones provenientes de la póliza: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sólo pueden ser usadas para pagar o financiar beneficios a los empleados según un plan de beneficios definido;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no están disponibles para hacer frente a la deuda con los acreedores de la entidad que informa (ni siquiera en caso de quiebra) y no pueden ser pagados a esta entidad salvo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indemnizaciones representen activos excedentarios, que la póliza no necesita para cumplir el resto de las obligaciones relacionadas con los beneficios a los empleados;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las indemnizaciones retornan a la entidad que informa para reembolsarle por beneficios a los empleados que ella ya ha pagado.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importe por el cual puede ser intercambiado un activo o liquidado un pasivo, entre un comprador y un vendedor interesados y debidamente informados, que realizan una transacción en condiciones de independencia mutua.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relacionadas con el costo de los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 del servicio</w:t>
      </w:r>
      <w:r w:rsidRPr="00401DFF">
        <w:rPr>
          <w:rFonts w:ascii="Times New Roman" w:eastAsia="Times New Roman" w:hAnsi="Times New Roman" w:cs="Times New Roman"/>
          <w:b/>
          <w:bCs/>
          <w:sz w:val="24"/>
          <w:szCs w:val="24"/>
          <w:lang w:eastAsia="es-CO"/>
        </w:rPr>
        <w:t xml:space="preserve"> comprende: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w:t>
      </w:r>
      <w:r w:rsidRPr="00401DFF">
        <w:rPr>
          <w:rFonts w:ascii="Times New Roman" w:eastAsia="Times New Roman" w:hAnsi="Times New Roman" w:cs="Times New Roman"/>
          <w:b/>
          <w:bCs/>
          <w:i/>
          <w:iCs/>
          <w:sz w:val="24"/>
          <w:szCs w:val="24"/>
          <w:lang w:eastAsia="es-CO"/>
        </w:rPr>
        <w:t xml:space="preserve">Costo de los servicios presente, </w:t>
      </w:r>
      <w:r w:rsidRPr="00401DFF">
        <w:rPr>
          <w:rFonts w:ascii="Times New Roman" w:eastAsia="Times New Roman" w:hAnsi="Times New Roman" w:cs="Times New Roman"/>
          <w:b/>
          <w:bCs/>
          <w:sz w:val="24"/>
          <w:szCs w:val="24"/>
          <w:lang w:eastAsia="es-CO"/>
        </w:rPr>
        <w:t>que es el incremento, en el valor presente de una obligación por beneficios definidos, que procede de servicios prestados por los empleados en el periodo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w:t>
      </w:r>
      <w:r w:rsidRPr="00401DFF">
        <w:rPr>
          <w:rFonts w:ascii="Times New Roman" w:eastAsia="Times New Roman" w:hAnsi="Times New Roman" w:cs="Times New Roman"/>
          <w:b/>
          <w:bCs/>
          <w:i/>
          <w:iCs/>
          <w:sz w:val="24"/>
          <w:szCs w:val="24"/>
          <w:lang w:eastAsia="es-CO"/>
        </w:rPr>
        <w:t>costo de servicios pasados,</w:t>
      </w:r>
      <w:r w:rsidRPr="00401DFF">
        <w:rPr>
          <w:rFonts w:ascii="Times New Roman" w:eastAsia="Times New Roman" w:hAnsi="Times New Roman" w:cs="Times New Roman"/>
          <w:b/>
          <w:bCs/>
          <w:sz w:val="24"/>
          <w:szCs w:val="24"/>
          <w:lang w:eastAsia="es-CO"/>
        </w:rPr>
        <w:t xml:space="preserve"> que es el cambio en el valor presente de la obligación por beneficios definidos por servicios prestados por los empleados en periodos anteriores, procedentes de una modificación del plan (la introducción o retirada de un plan de beneficios definidos o cambios en éste) o una reducción (una reducción significativa por la entidad en el número de empleados cubiertos por un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ganancias o pérdidas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Interés neto sobre el pasivo (activo) por beneficios definidos neto</w:t>
      </w:r>
      <w:r w:rsidRPr="00401DFF">
        <w:rPr>
          <w:rFonts w:ascii="Times New Roman" w:eastAsia="Times New Roman" w:hAnsi="Times New Roman" w:cs="Times New Roman"/>
          <w:b/>
          <w:bCs/>
          <w:sz w:val="24"/>
          <w:szCs w:val="24"/>
          <w:lang w:eastAsia="es-CO"/>
        </w:rPr>
        <w:t xml:space="preserve"> es el cambio durante el periodo en el pasivo (activo) por beneficios definidos neto que surge del paso del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Las </w:t>
      </w:r>
      <w:r w:rsidRPr="00401DFF">
        <w:rPr>
          <w:rFonts w:ascii="Times New Roman" w:eastAsia="Times New Roman" w:hAnsi="Times New Roman" w:cs="Times New Roman"/>
          <w:b/>
          <w:bCs/>
          <w:i/>
          <w:iCs/>
          <w:sz w:val="24"/>
          <w:szCs w:val="24"/>
          <w:lang w:eastAsia="es-CO"/>
        </w:rPr>
        <w:t xml:space="preserve">nuevas mediciones del pasivo (activo) por beneficios definidos neto </w:t>
      </w:r>
      <w:r w:rsidRPr="00401DFF">
        <w:rPr>
          <w:rFonts w:ascii="Times New Roman" w:eastAsia="Times New Roman" w:hAnsi="Times New Roman" w:cs="Times New Roman"/>
          <w:b/>
          <w:bCs/>
          <w:sz w:val="24"/>
          <w:szCs w:val="24"/>
          <w:lang w:eastAsia="es-CO"/>
        </w:rPr>
        <w:t>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ganancias y pérdidas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rendimiento de los activos del plan, excluyendo los importes incluidos en el interés neto sobre el pasivo (activo) por beneficios definidos neto;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cambios en el efecto del techo del activo, excluyendo los importes incluidos en el interés neto sobre el pasivo (activo) por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Ganancias y pérdidas actuariales</w:t>
      </w:r>
      <w:r w:rsidRPr="00401DFF">
        <w:rPr>
          <w:rFonts w:ascii="Times New Roman" w:eastAsia="Times New Roman" w:hAnsi="Times New Roman" w:cs="Times New Roman"/>
          <w:b/>
          <w:bCs/>
          <w:sz w:val="24"/>
          <w:szCs w:val="24"/>
          <w:lang w:eastAsia="es-CO"/>
        </w:rPr>
        <w:t xml:space="preserve"> son cambios en el valor presente de la obligación por beneficios definidos procedente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ajustes por experiencia (los efectos de las diferencias entre las suposiciones actuariales previas y los sucesos efectivamente ocurridos en 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efectos de los cambios en las suposiciones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rendimiento de los activos del plan</w:t>
      </w:r>
      <w:r w:rsidRPr="00401DFF">
        <w:rPr>
          <w:rFonts w:ascii="Times New Roman" w:eastAsia="Times New Roman" w:hAnsi="Times New Roman" w:cs="Times New Roman"/>
          <w:b/>
          <w:bCs/>
          <w:sz w:val="24"/>
          <w:szCs w:val="24"/>
          <w:lang w:eastAsia="es-CO"/>
        </w:rPr>
        <w:t xml:space="preserve"> es la participación, dividendos y otros ingresos que provienen de los activos del plan, junto con las ganancias o pérdidas realizadas y no realizadas de los activos del plan, menos: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costos de gestión de los activos del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impuestos por pagar por el plan por sí mismo, distintos de los impuestos incluidos en los supuestos actuariales utilizados para medir el valor presente de la obligación por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liquidación</w:t>
      </w:r>
      <w:r w:rsidRPr="00401DFF">
        <w:rPr>
          <w:rFonts w:ascii="Times New Roman" w:eastAsia="Times New Roman" w:hAnsi="Times New Roman" w:cs="Times New Roman"/>
          <w:b/>
          <w:bCs/>
          <w:sz w:val="24"/>
          <w:szCs w:val="24"/>
          <w:lang w:eastAsia="es-CO"/>
        </w:rPr>
        <w:t xml:space="preserve"> es una transacción que elimina todas las obligaciones legales o implícitas posteriores para parte o todos los beneficios proporcionados según un plan de beneficios definidos, distinta de un pago de beneficios a los empleados o en nombre de éstos que está establecida en las condiciones del plan e incluida en los supuestos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a los empleados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Los beneficios a los empleados a corto plazo, incluyen elementos tales como los siguientes, si se esperan liquidar totalmente antes de doce meses después del final del periodo anual sobre el que se informa en el que los empleados presten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sueldos, salarios y aportaciones a la seguridad social;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derechos por permisos retribuidos y ausencia retribuida por enfermedad;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participación en ganancias e incentivos;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beneficios no monetarios a los empleados actuales (tales como atenciones médicas, alojamiento, automóviles y entrega de bienes y servicios gratuitos o parcialmente subvencionados).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Una entidad no necesita reclasificar un beneficio a los empleados a corto plazo si las expectativas de la entidad sobre el calendario de la liquidación cambian temporalmente. Sin embargo, si las características del beneficio cambian (tales como un cambio de un beneficio no acumulativo a uno acumulativo) o si un cambio en las expectativas del calendario de liquidación no es temporal, entonces la entidad considerará si el beneficio todavía cumple la definición de beneficios a los empleados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Todos los beneficios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Cuando un empleado haya prestado sus servicios a una entidad durante el periodo contable, ésta reconocerá el importe (sin descontar) de los beneficios a corto plazo que ha de pagar por tales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como un pasivo (gasto acumulado o devengado), después de deducir cualquier importe ya satisfecho. Si el importe ya pagado es superior al importe sin descontar de los beneficios, una entidad reconocerá ese exceso como un activo (pago anticipado de un gasto), en la medida en que el pago anticipado vaya a dar lugar, por ejemplo, a una reducción en los pagos futuros o a un reembolso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como un gasto, a menos que otra NIIF requiera o permita la inclusión de los mencionados beneficios en el costo de un activo (véase, por ejemplo la NIC 2 </w:t>
      </w:r>
      <w:r w:rsidRPr="00401DFF">
        <w:rPr>
          <w:rFonts w:ascii="Times New Roman" w:eastAsia="Times New Roman" w:hAnsi="Times New Roman" w:cs="Times New Roman"/>
          <w:b/>
          <w:bCs/>
          <w:i/>
          <w:iCs/>
          <w:sz w:val="24"/>
          <w:szCs w:val="24"/>
          <w:lang w:eastAsia="es-CO"/>
        </w:rPr>
        <w:t>Inventarios,</w:t>
      </w:r>
      <w:r w:rsidRPr="00401DFF">
        <w:rPr>
          <w:rFonts w:ascii="Times New Roman" w:eastAsia="Times New Roman" w:hAnsi="Times New Roman" w:cs="Times New Roman"/>
          <w:b/>
          <w:bCs/>
          <w:sz w:val="24"/>
          <w:szCs w:val="24"/>
          <w:lang w:eastAsia="es-CO"/>
        </w:rPr>
        <w:t xml:space="preserve"> y la NIC 16 </w:t>
      </w:r>
      <w:r w:rsidRPr="00401DFF">
        <w:rPr>
          <w:rFonts w:ascii="Times New Roman" w:eastAsia="Times New Roman" w:hAnsi="Times New Roman" w:cs="Times New Roman"/>
          <w:b/>
          <w:bCs/>
          <w:i/>
          <w:iCs/>
          <w:sz w:val="24"/>
          <w:szCs w:val="24"/>
          <w:lang w:eastAsia="es-CO"/>
        </w:rPr>
        <w:t>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En los párrafos 13, 16 y 19 se explica la forma en que una entidad aplicará el párrafo 11 a los beneficios a los empleados a corto plazo en forma de ausencias retribuidas, participación en ganancias y planes de 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Ausencias retribuidas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Una entidad reconocerá el costo esperado de los beneficios a los empleados a corto plazo en forma de ausencias retribuidas, según el párrafo 11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 el caso de ausencias retribuidas cuyos derechos se van acumulando, a medida que los empleados prestan los servicios que incrementan su derecho a ausencias retribuidas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el caso de ausencias retribuidas no acumulativas, cuando las mismas se hayan producido.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14 Una entidad puede pagar a los empleados dándoles el derecho a ausentarse por razones muy variadas, incluyendo vacaciones, enfermedad o incapacidad transitoria, maternidad o paternidad, pertenencia a jurados y realización del servicio militar. Los derechos que pueden dar lugar a las ausencias son de dos categorías: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acumulativos;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acumulativos.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Las ausencias retribuidas acumuladas son aquéllas cuyo disfrute se aplaza, de forma que pueden ser utilizadas en periodos futuros si en el presente no se ha hecho uso del derecho correspondiente. Las ausencias retribuidas con derechos de carácter acumulativo pueden ser irrevocables (en otras palabras, los empleados tienen derecho a recibir una compensación en efectivo por las no disfrutadas en caso de abandonar la entidad) o no irrevocables (cuando los empleados no tienen derecho a recibir una compensación en efectivo por las no disfrutadas en caso de abandonar la entidad). Una obligación surge a medida que los empleados prestan servicios que incrementan su derecho a ausencias retribuidas en el futuro. La obligación existe, y se reconocerá incluso si las ausencias retribuidas son no irrevocables, aunque la posibilidad de que los empleados puedan abandonar la entidad antes de utilizar un derecho no irrevocable acumulado afecte a la medición de esa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Una entidad medirá el costo esperado de las ausencias retribuidas acumuladas, en función de los importes adicionales que espera pagar como consecuencia de los derechos no utilizados que tiene acumulados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 El método especificado en el párrafo anterior mide las obligaciones según los importes de los pagos adicionales que la entidad espera realizar, solo por el hecho de que el derecho a las ausencias retribuidas es acumulativo. En muchos casos, una entidad puede no necesitar hacer cálculos detallados para estimar que no tiene obligaciones significativas por ausencias retribuidas no utilizadas. Por ejemplo, es probable que una obligación por ausencias por enfermedad sólo sea significativa si existe el entendimiento, formal o informal, de que ausencias por enfermedad retribuidas no utilizadas puedan ser disfrutadas como vacaciones anuales pagadas.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65"/>
      </w:tblGrid>
      <w:tr w:rsidR="00401DFF" w:rsidRPr="00401DFF" w:rsidTr="00401DFF">
        <w:trPr>
          <w:tblCellSpacing w:w="15" w:type="dxa"/>
          <w:jc w:val="center"/>
        </w:trPr>
        <w:tc>
          <w:tcPr>
            <w:tcW w:w="88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 los párrafos 16 y 17</w:t>
            </w:r>
          </w:p>
        </w:tc>
      </w:tr>
      <w:tr w:rsidR="00401DFF" w:rsidRPr="00401DFF" w:rsidTr="00401DFF">
        <w:trPr>
          <w:tblCellSpacing w:w="15" w:type="dxa"/>
          <w:jc w:val="center"/>
        </w:trPr>
        <w:tc>
          <w:tcPr>
            <w:tcW w:w="88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tiene 100 empleados, cada uno de los cuales tiene derecho a ausentarse cinco días laborables al año por enfermedad. Los derechos correspondientes no utilizados pueden ser trasladados y disfrutados durante el año siguiente. Las sucesivas ausencias son deducidas, en primer lugar, de los derechos del año corriente, y luego se aplican los derechos no utilizados en el año anterior (una base LIFO). A 31 de diciembre del año 20X1, el promedio de derechos no utilizados por los empleados es de dos días por trabajador. La entidad espera, a partir de la experiencia acumulada, que se espera continuará en el futuro, que 92 empleados harán uso de no más de cinco días de ausencia retribuida por enfermedad corta en el periodo 20X2, mientras que los restantes ocho empleados se tomarán un promedio de seis días y medio cada uno.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lastRenderedPageBreak/>
              <w:t xml:space="preserve">La entidad espera pagar una cantidad adicional equivalente a 12 días de ausencia retribuida por enfermedad corta, como resultado de los derechos no utilizados que tiene acumulados a 31 de diciembre del año 20X1 (un día y medio por cada uno de los ocho empleados). Por tanto, la entidad reconocerá un pasivo igual a 12 días de ausencia retribuida por enfermedad corta.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18 Los derechos correspondientes a ausencias retribuidas no acumulativas no se trasladan al futuro: caducan si no son utilizados enteramente en el periodo presente y no dan a los empleados el derecho a cobrar su importe en metálico en caso de abandonar la entidad. Este es el caso más común en las ausencias retribuidas por enfermedad (en la medida en que los derechos no usados en el pasado no incrementen los derechos futuros) por maternidad o paternidad y en los de ausencias retribuidas por pertenencia a un jurado o por servicio militar. Una entidad no reconocerá pasivos o gastos hasta el momento de la ausencia, puesto que los servicios prestados por los empleados no aumentan el importe de los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en ganancias y planes de 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De acuerdo con el párrafo 11, una entidad reconocerá el costo esperado de la participación en ganancias o de los planes de incentivos por parte de los trabajadores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tiene una obligación presente, legal o implícita, de hacer tales pagos como consecuencia de sucesos pasados;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pueda realizarse una estimación fiable de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Existe una obligación presente cuando, y sólo cuando, la entidad no tiene otra alternativa realista que realizar los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En algunos planes de participación en las ganancias, los empleados sólo recibirán una parte de éstas si permanecen en la entidad durante un periodo de tiempo especificado. Estos planes crean una obligación implícita a medida que los empleados prestan los servicios que incrementan el importe a pagar si permanecieran en servicio hasta el final del periodo especificado. La medición de esta obligación implícita refleja la posibilidad de que algunos de los empleados puedan abandonar la entidad sin recibir los pagos por participación en las ganancias.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20</w:t>
            </w:r>
          </w:p>
        </w:tc>
      </w:tr>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plan de participación en las ganancias requiere que una entidad pague una porción específica de sus ganancias netas del periodo a los empleados que hayan prestado sus servicios durante todo el año. Si ningún empleado abandona la entidad durante el año, el total de pagos por participación en las ganancias ascenderá al 3% de las ganancias. La entidad estima que la rotación del personal reducirá los pagos al 2,5% de las ganancias.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La entidad reconocerá un pasivo y un gasto por el 2,5% de las ganancias.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21 Es posible que una entidad no tenga la obligación legal de pagar incentivos. No obstante, en algunos casos, puede tener la costumbre de pagar incentivos a sus empleados. En estos casos, la entidad tendrá una obligación implícita, puesto que no tiene ninguna alternativa realista que no sea la de pagar los incentivos. La medición de esta obligación implícita, reflejará la posibilidad de que algunos empleados puedan abandonar la entidad sin recibir los 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entidad podrá realizar una estimación fiable de sus obligaciones legales o implícitas, como consecuencia de planes de participación en ganancias o de incentivos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condiciones formales de los correspondientes planes contengan una fórmula para determinar el importe del beneficio;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determine los importes a pagar antes de que los estados financieros sean autorizados para su emisión;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experiencia pasada suministre evidencia clara acerca del importe de la obligación implícita por parte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Las obligaciones relacionadas con los planes de participación en ganancias e incentivos son consecuencia de los servicios prestados por los empleados, y no de transacciones con los propietarios de la entidad. Por tanto, una entidad reconocerá el costo de planes de participación en ganancias e incentivos, como un gasto y no como una distribución de la ganancia.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Si los pagos por participaciones en las ganancias e incentivos no se espera que se liquiden completamente dentro de los doce meses posteriores al cierre del periodo anual sobre el que se informa en el que los empleados prestan los servicios relacionados, esos pagos se tratarán como otros beneficios a los empleados a largo plazo (véanse los párrafos 153 a 158).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Aunque esta Norma no requiere la presentación de información a revelar específica sobre los beneficios a los empleados a corto plazo, otras NIIF pueden hacerlo. Por ejemplo, la NIC 24 requiere información a revelar sobre los beneficios a los empleados del personal clave de la gerencia. La NIC 1 </w:t>
      </w:r>
      <w:r w:rsidRPr="00401DFF">
        <w:rPr>
          <w:rFonts w:ascii="Times New Roman" w:eastAsia="Times New Roman" w:hAnsi="Times New Roman" w:cs="Times New Roman"/>
          <w:i/>
          <w:iCs/>
          <w:sz w:val="24"/>
          <w:szCs w:val="24"/>
          <w:lang w:eastAsia="es-CO"/>
        </w:rPr>
        <w:t xml:space="preserve">Presentación de Estados Financieros </w:t>
      </w:r>
      <w:r w:rsidRPr="00401DFF">
        <w:rPr>
          <w:rFonts w:ascii="Times New Roman" w:eastAsia="Times New Roman" w:hAnsi="Times New Roman" w:cs="Times New Roman"/>
          <w:sz w:val="24"/>
          <w:szCs w:val="24"/>
          <w:lang w:eastAsia="es-CO"/>
        </w:rPr>
        <w:t>obliga a revelar información sobre los gastos por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post-empleo: distinción entre planes de aportaciones definidas y planes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Los beneficios post-empleo incluyen elementos tales como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beneficios por retiro (por ejemplo pensiones y pagos únicos por retiro);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otros beneficios post-empleo, tales como los seguros de vida y los beneficios de atención médica posteriores al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acuerdos por los cuales una entidad proporciona beneficios posteriores al periodo de empleo son planes de beneficios post-empleo. Una entidad aplicará esta Norma a todos estos acuerdos, con independencia de que los mismos involucren el establecimiento de una entidad separada para recibir las aportaciones y pagar los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Los planes de beneficio post-empleo se pueden clasificar como planes de aportaciones definidas o de beneficios definidos, según la esencia económica que se derive de los principales términos y condiciones contenidos en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Según los planes de aportaciones definidas, la obligación legal o implícita de la entidad se limita al importe que haya acordado aportar al fondo. De esta forma, el importe de los beneficios post-empleo a recibir por el empleado estará determinado por el importe de las aportaciones pagadas por la entidad (y eventualmente el empleado) a un plan de beneficios post-empleo o a una compañía de seguros, junto con los rendimientos de las inversiones procedentes de las aportaciones. En consecuencia, el riesgo actuarial (de que los beneficios sean menores que los esperados) y el riesgo de inversión (de que los activos invertidos sean insuficientes para atender los beneficios esperados) son asumidos, en sustancia, por el empleado.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Se dan ejemplos de casos en que las obligaciones de una entidad no están limitadas por el importe con el que acuerda contribuir al fondo, cuando ella ha contraído una obligación, legal o implícita, a través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fórmula de beneficios del plan que no está vinculada únicamente al importe de aportaciones y requiere que la entidad proporcione aportaciones adicionales si los activos son insuficientes para atender los beneficios de la fórmula de beneficios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garantía, ya sea indirectamente a través de un plan o directamente, de un rendimiento específico para las aportaciones;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prácticas habituales de la entidad dan lugar al nacimiento de una obligación implícita. Por ejemplo, una obligación implícita puede surgir cuando una entidad tiene un historial de aumentos de los beneficios, para que los antiguos empleados recuperen el poder adquisitivo perdido por la inflación, aunque no exista la obligación legal de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En los planes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obligación de la entidad consiste en suministrar los beneficios acordados a los empleados actuales y anteriores;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tanto el riesgo actuarial (de que los beneficios tengan un costo mayor que el esperado) como el riesgo de inversión son asumidos, esencialmente, por la propia entidad. Si los </w:t>
      </w:r>
      <w:r w:rsidRPr="00401DFF">
        <w:rPr>
          <w:rFonts w:ascii="Times New Roman" w:eastAsia="Times New Roman" w:hAnsi="Times New Roman" w:cs="Times New Roman"/>
          <w:sz w:val="24"/>
          <w:szCs w:val="24"/>
          <w:lang w:eastAsia="es-CO"/>
        </w:rPr>
        <w:lastRenderedPageBreak/>
        <w:t>resultados actuariales o de la inversión son peores de lo esperado, las obligaciones de la entidad pueden verse aumentadas.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Los párrafos 32 a 49 explican la distinción entre planes de aportaciones definidas y planes de beneficios definidos en el contexto de planes multi-patronales, los planes de beneficios definidos que comparten riesgos entre entidades bajo control común, planes gubernamentales y beneficios asegurados.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multi-patronales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Una entidad clasificará un plan multi-patronal como plan de aportaciones definidas o de beneficios definidos, en función de las cláusulas del mismo (incluyendo cualquier obligación implícita que vaya más allá de los términos pactados formalmente).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 Si una entidad participa en un plan de beneficios definidos multi-patronal, a menos que aplique el párrafo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contabilizará su parte proporcional de la obligación por beneficios definidos, de los activos del plan y de los costos asociados con el plan, tal como lo haría en el caso de cualquier otro plan de beneficios definidos;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revelará la información requerida por los párrafos 135 a 148 [excluyendo el párrafo 148(d)].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Cuando no se disponga de información suficiente para utilizar la contabilidad de los planes de beneficios definidos para los planes de beneficios definidos multi-patronales,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contabilizará el plan de acuerdo con los párrafos 51 y 52 como si fuera un plan de aportaciones definidas;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revelará la información requerida en el párrafo 148.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Este es un ejemplo de plan de beneficios definidos multi-patronal: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plan está financiado por pagos sobre la marcha: las aportaciones se establecen al nivel que se espera que sea suficiente para pagar los beneficios que venzan en el mismo periodo; y los beneficios futuros acumulados durante el periodo presente serán pagados con las contribuciones futuras;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beneficios a pagar a los empleados se calculan en función de sus años de servicio, y las entidades participantes no tienen la posibilidad realista de retirarse del plan sin efectuar una aportación por los beneficios acumulados por los empleados hasta la fecha de desvinculación. Este plan crea un riesgo actuarial para la entidad: si el costo final de los beneficios ya acumulados al final del periodo sobre el que se informa es mayor de lo </w:t>
      </w:r>
      <w:r w:rsidRPr="00401DFF">
        <w:rPr>
          <w:rFonts w:ascii="Times New Roman" w:eastAsia="Times New Roman" w:hAnsi="Times New Roman" w:cs="Times New Roman"/>
          <w:sz w:val="24"/>
          <w:szCs w:val="24"/>
          <w:lang w:eastAsia="es-CO"/>
        </w:rPr>
        <w:lastRenderedPageBreak/>
        <w:t>esperado, la entidad tendrá que incrementar sus aportaciones o persuadir a los empleados de que acepten una reducción de sus beneficios. Por tanto, este es un plan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Cuando una entidad disponga de información suficiente acerca de un plan de beneficios definidos multi-patronal, contabilizará su parte proporcional de la obligación por beneficios definidos, de los activos del plan y de los costos post-empleo asociados con el plan, de la misma forma que lo haría con cualquier otro plan de beneficios definidos. Sin embargo, una entidad puede no ser capaz de identificar su participación en la posición financiera subyacente y en los rendimientos del plan con una fiabilidad que sea suficiente como para poder contabilizarlos. Esto puede ocurrir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plan expone a las entidades participantes a riesgos actuariales asociados con los empleados actuales o anteriores de otras entidades, y como consecuencia de ello no existe ningún procedimiento coherente y fiable para distribuir las obligaciones, los activos del plan y el costo entre las entidades individuales participantes del plan;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no tiene acceso a información suficiente acerca del plan para satisfacer los requerimientos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esos casos, una entidad contabilizará el plan como si fuera de aportaciones definidas, y revelará la información requerida por el párrafo 148.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Puede existir un acuerdo contractual, entre el plan multi-patronal y sus participantes, que determine cómo se distribuirá el superávit del mismo (o cómo se financiará el déficit) entre los participantes. Un participante en un plan multi-patronal sujeto a este tipo de acuerdo, que contabilice el plan como uno de aportaciones definidas según el párrafo 34, reconocerá el activo o pasivo que surja del acuerdo contractual, y contabilizará el correspondiente ingreso o gasto, en el resultado del periodo.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25"/>
      </w:tblGrid>
      <w:tr w:rsidR="00401DFF" w:rsidRPr="00401DFF" w:rsidTr="00401DFF">
        <w:trPr>
          <w:tblCellSpacing w:w="15" w:type="dxa"/>
          <w:jc w:val="center"/>
        </w:trPr>
        <w:tc>
          <w:tcPr>
            <w:tcW w:w="82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37</w:t>
            </w:r>
          </w:p>
        </w:tc>
      </w:tr>
      <w:tr w:rsidR="00401DFF" w:rsidRPr="00401DFF" w:rsidTr="00401DFF">
        <w:trPr>
          <w:tblCellSpacing w:w="15" w:type="dxa"/>
          <w:jc w:val="center"/>
        </w:trPr>
        <w:tc>
          <w:tcPr>
            <w:tcW w:w="82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participa en un plan de beneficios definidos multi-patronal que no elabora valoraciones del plan según la NIC 19. Por lo tanto, la contabilización del plan se realiza como si fuera uno de aportaciones definidas. Una valoración del fondo no realizada de acuerdo con la NIC 19, muestra un déficit en el plan de 100 millones de u.m.</w:t>
            </w:r>
            <w:hyperlink r:id="rId30" w:anchor="bf135d4df08e0b948d192781b7821719466nf9" w:tgtFrame="_self" w:history="1">
              <w:r w:rsidRPr="00401DFF">
                <w:rPr>
                  <w:rFonts w:ascii="Times New Roman" w:eastAsia="Times New Roman" w:hAnsi="Times New Roman" w:cs="Times New Roman"/>
                  <w:color w:val="0000FF"/>
                  <w:sz w:val="20"/>
                  <w:szCs w:val="20"/>
                  <w:u w:val="single"/>
                  <w:vertAlign w:val="superscript"/>
                  <w:lang w:eastAsia="es-CO"/>
                </w:rPr>
                <w:t>(25)</w:t>
              </w:r>
            </w:hyperlink>
            <w:r w:rsidRPr="00401DFF">
              <w:rPr>
                <w:rFonts w:ascii="Times New Roman" w:eastAsia="Times New Roman" w:hAnsi="Times New Roman" w:cs="Times New Roman"/>
                <w:sz w:val="24"/>
                <w:szCs w:val="24"/>
                <w:lang w:eastAsia="es-CO"/>
              </w:rPr>
              <w:t>. De acuerdo con un contrato, el plan ha programado aportaciones de los empleadores participantes en el mismo, que eliminarán el déficit a lo largo de los próximos cinco años. Las aportaciones totales de la entidad según dicho contrato ascienden a 8 millones de u.m.</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La entidad reconocerá un pasivo por las aportaciones, que se ajustará en función del valor temporal del dinero, así como un gasto de igual importe en el resultado del periodo</w:t>
            </w:r>
            <w:r w:rsidRPr="00401DFF">
              <w:rPr>
                <w:rFonts w:ascii="Times New Roman" w:eastAsia="Times New Roman" w:hAnsi="Times New Roman" w:cs="Times New Roman"/>
                <w:sz w:val="24"/>
                <w:szCs w:val="24"/>
                <w:lang w:eastAsia="es-CO"/>
              </w:rPr>
              <w:t>.</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38 Los planes multi-patronales son diferentes de los planes administrados colectivamente. Un plan administrado colectivamente es una mera agregación de planes individuales, combinados para permitir que los empleadores participantes combinen sus activos a efectos </w:t>
      </w:r>
      <w:r w:rsidRPr="00401DFF">
        <w:rPr>
          <w:rFonts w:ascii="Times New Roman" w:eastAsia="Times New Roman" w:hAnsi="Times New Roman" w:cs="Times New Roman"/>
          <w:sz w:val="24"/>
          <w:szCs w:val="24"/>
          <w:lang w:eastAsia="es-CO"/>
        </w:rPr>
        <w:lastRenderedPageBreak/>
        <w:t>de realizar inversiones, y reducir los costos de administración y gestión, pero los derechos de los distintos empleadores se mantienen segregados en beneficio exclusivo de sus propios empleados. Los planes administrados colectivamente no plantean problemas contables particulares porque la información para tratarlos como otros planes individuales está siempre disponible, y porque estos planes no exponen a las entidades participantes a los riesgos actuariales asociados con empleados presentes o retirados de otras entidades. Las definiciones ofrecidas en esta Norma requieren que una entidad clasifique a un plan administrado colectivamente como un plan de aportaciones definidas o de beneficios definidos, de acuerdo con las cláusulas del plan (incluyendo cualquier obligación implícita de la entidad que vaya más allá de las condiciones formales).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39 Para determinar cuándo reconocer, y la forma de medir, un pasivo relacionado con la liquidación de un plan de beneficios definidos multi-patronal, o la retirada de la entidad de un plan de beneficios definidos multi-patronal, una entidad aplicará la NIC 37 </w:t>
      </w:r>
      <w:r w:rsidRPr="00401DFF">
        <w:rPr>
          <w:rFonts w:ascii="Times New Roman" w:eastAsia="Times New Roman" w:hAnsi="Times New Roman" w:cs="Times New Roman"/>
          <w:b/>
          <w:bCs/>
          <w:i/>
          <w:iCs/>
          <w:sz w:val="24"/>
          <w:szCs w:val="24"/>
          <w:lang w:eastAsia="es-CO"/>
        </w:rPr>
        <w:t>Provisiones, Pasivos Contingentes y Activos Contingentes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de beneficios definidos que comparten riesgos entre entidades bajo control común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Los planes de beneficios definidos en los que se comparten riesgos entre varias entidades bajo control común, por ejemplo entre una controladora y sus subsidiarias, no son planes multi-patronales.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Una entidad que participe en este tipo de plan obtendrá información sobre el plan en su conjunto, medido de acuerdo con esta Norma, sobre la base de supuestos aplicables a la totalidad del plan. Si existiera un acuerdo contractual o una política establecida de cargar, a las entidades individuales del grupo, el costo del beneficio definido neto del plan en su conjunto, medido de acuerdo con esta Norma, la entidad reconocerá en sus estados financieros separados o individuales, el costo del beneficio definido neto cargado de esta forma. Si no hubiese ningún acuerdo ni política establecida, se reconocerá el costo del beneficio definido neto en los estados financieros separados o individuales de la entidad del grupo que sea legalmente el empleador que patrocina el plan. Las demás entidades del grupo reconocerán, en sus estados financieros individuales o separados, un costo igual a sus aportaciones a pagar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participación en este plan es una transacción con partes relacionadas, para cada entidad individual del grupo. Una entidad revelará, en sus estados financieros separados o individuales, la siguiente información requerida por el párrafo 149.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Una entidad contabilizará un plan gubernamental de la misma manera que los planes multi-patronales (véanse los párrafos 32 a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 Los planes gubernamentales son establecidos por la legislación para cubrir a todas las entidades (o bien todas las entidades de una misma categoría concreta, por ejemplo un sector industrial específico) y se administran por autoridades nacionales o locales, o por </w:t>
      </w:r>
      <w:r w:rsidRPr="00401DFF">
        <w:rPr>
          <w:rFonts w:ascii="Times New Roman" w:eastAsia="Times New Roman" w:hAnsi="Times New Roman" w:cs="Times New Roman"/>
          <w:sz w:val="24"/>
          <w:szCs w:val="24"/>
          <w:lang w:eastAsia="es-CO"/>
        </w:rPr>
        <w:lastRenderedPageBreak/>
        <w:t>otro organismo (por ejemplo una agencia autónoma creada específicamente para este propósito) que no está sujeto al control o influencia de la entidad que informa. Algunos planes se establecen, por una entidad, con el fin de proporcionar beneficios obligatorios que sustituyen a los beneficios que debiera cubrir en otro caso un plan gubernamental y aportan algunos beneficios de forma voluntaria. Estos planes no son planes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La calificación de los planes gubernamentales, como de aportaciones o de beneficios definidos, se hace atendiendo a la naturaleza de las obligaciones de las entidades que participan en el plan. Muchos de los planes gubernamentales se financian por medio de pagos sobre la marcha: las aportaciones se hacen según un nivel que se espera que sea suficiente para pagar los beneficios requeridos en el mismo periodo; los beneficios futuros acumulados (o devengados) durante el periodo presente se afrontarán con las futuras aportaciones. Sin embargo, en la mayoría de los planes gubernamentales, la entidad no tiene obligación legal ni implícita de pagar esos beneficios futuros: su única obligación es pagar las aportaciones a medida que se realizan los pagos a los empleados, de forma que si la entidad deja de emplear a beneficiarios del plan gubernamental, no tendrá obligación de seguir pagando los beneficios acumulados (o devengados) por los años de servicio anteriores de sus empleados. Por esta razón, los planes gubernamentales se clasifican normalmente como planes de aportaciones definidas. Sin embargo, cuando un plan gubernamental es un plan de beneficios definidos una entidad aplicará los párrafos 32 a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asegurados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46 Una entidad puede financiar un plan de beneficios post-empleo mediante el pago de las primas de una póliza de seguros. La entidad tratará este plan como un plan de aportaciones definidas, a menos que tenga la obligación legal o implícita (ya sea directamente o indirectamente a través del plan)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pagar a los empleados los beneficios directamente en el momento en que sean exigibles;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pagar cantidades adicionales si el asegurador no paga todos los beneficios relativos a los servicios prestados por los empleados en el periodo presente y en los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la entidad conserva esta obligación, legal o implícita, tratará el plan como un plan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Los beneficios asegurados por una póliza de seguros no tienen que tener una relación directa o automática con la obligación de la entidad respecto a los beneficios a sus empleados. Los planes de beneficios post-empleo, que involucren pólizas de seguro, están sujetos a la misma distinción entre contabilización y financiación que los otros planes financiados.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48 Cuando una entidad financia sus obligaciones por beneficios post-empleo mediante aportaciones a una póliza de seguros, en la cual conserva la obligación legal o implícita (ya sea directamente por sí misma, indirectamente a través del plan, a través de un mecanismo para hacer futuras primas o a través de una relación con una parte relacionada con la </w:t>
      </w:r>
      <w:r w:rsidRPr="00401DFF">
        <w:rPr>
          <w:rFonts w:ascii="Times New Roman" w:eastAsia="Times New Roman" w:hAnsi="Times New Roman" w:cs="Times New Roman"/>
          <w:sz w:val="24"/>
          <w:szCs w:val="24"/>
          <w:lang w:eastAsia="es-CO"/>
        </w:rPr>
        <w:lastRenderedPageBreak/>
        <w:t>entidad aseguradora), el pago de las primas de seguro no equivale a un acuerdo de aportaciones definidas. De este hecho se sigue que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contabilizará la póliza de seguro apta como un activo del plan (véase el párrafo 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reconocerá las demás pólizas de seguro como derechos de reembolso (si las pólizas satisfacen las condiciones del párrafo 116).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Cuando la póliza de seguros está a nombre de uno de un participante del plan especificado, o de un grupo de participantes del plan, y la entidad no tiene obligación legal ni implícita de cubrir cualesquiera pérdidas derivadas de la póliza, la entidad no tiene obligación de pagar beneficios a los empleados, y el asegurador es el responsable exclusivo de tales pagos. El pago de las primas de seguro fijadas en estos contratos es, en esencia, la liquidación de la obligación por beneficios a los empleados, en lugar de una inversión para satisfacer la obligación. En consecuencia, la entidad deja de poseer un activo o un pasivo. Por ello, una entidad tratará tales pagos como contribuciones a un plan de aportaciones 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post-empleo: planes de aportaciones 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La contabilización de los planes de aportaciones definidas es sencilla, puesto que la obligación de la entidad que informa en sus estados financieros, para cada periodo, estará determinada por los importes a aportar en ese periodo. En consecuencia, no se requieren suposiciones actuariales para medir la obligación o el gasto, y por tanto no existe la posibilidad de que se den ganancias o pérdidas actuariales. Además, las obligaciones se miden sobre una base sin descontar, excepto cuando no se esperen liquidar totalmente antes de doce meses tras el cierre del periodo anual sobre el que se informa en que los empleados han prestado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Cuando un empleado ha prestado sus servicios a la entidad durante un periodo, la entidad reconocerá la aportación a realizar al plan de aportaciones definidas a cambio de tales servicios simultáneamente: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como un pasivo (gastos acumulados o devengados), después de deducir cualquier importe ya satisfecho. Si la aportación ya pagada es superior a las aportaciones debidas por los servicios hasta el final del periodo sobre el que se informa, una entidad reconocerá ese exceso como un activo (pago anticipado de un gasto) en la medida que el pago anticipado vaya a dar lugar, por ejemplo, a una reducción en los pagos futuros o a un reembolso del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como un gasto, a menos que otra NIIF requiera o permita la inclusión de la aportación en el costo de un activo (véase, por ejemplo la NIC 2 y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52 Cuando las contribuciones a un plan de aportaciones definidas no se esperen liquidar totalmente antes de doce meses tras el final del periodo anual sobre el que se informa en que los empleados prestaron los servicios relacionados, éstas se descontarán, utilizando la tasa de descuento especificada en el párrafo 83.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La entidad revelará el importe reconocido como gasto en los planes de aportaciones 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En el caso de que fuera requerido por la NIC 24, la entidad revelará información sobre las contribuciones relativas a los planes de aportaciones definidas del personal clave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post-empleo: planes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La contabilización de los planes de beneficios definidos es compleja, puesto que se requieren suposiciones actuariales para medir la obligación contraída y el gasto, y existe la posibilidad de obtener ganancias o pérdidas actuariales. Más aún, las obligaciones se miden según una base descontada, puesto que existe la posibilidad de que sean liquidadas muchos años después de que los empleados hayan prestado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Los planes de beneficios definidos pueden no estar financiados a través de un fondo, o por el contrario pueden estar financiados, total o parcialmente, mediante aportaciones realizadas por la entidad, y algunas veces por los empleados, a otra entidad, o a un fondo, que está separada legalmente de la entidad que informa, y es la encargada de pagar los beneficios a los empleados. El pago de los beneficios financiados a través de un fondo, cuando se convierten en exigibles, depende no sólo de la situación financiera y el rendimiento de las inversiones del fondo, sino también de la capacidad y la voluntad de la entidad para cubrir cualquier insuficiencia de los activos del fondo. Por tanto, la entidad es, en esencia, el tomador de los riesgos actuariales y de inversión asociados con el plan. En consecuencia, el gasto que se reconocerá en un plan de los beneficios definidos no es necesariamente el importe de la aportación al plan en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La contabilización, por parte de la entidad, de los planes de beneficios definidos, supone los siguientes pasos: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determinar el déficit o superávit. Esto implica: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Utilizar técnicas actuariales, el método de la unidad de crédito proyectada para hacer una estimación fiable del costo final para la entidad del beneficio que los empleados tienen acumulado (devengado) a cambio de sus servicios en los periodos presente y anteriores (véanse los párrafos 67 a 69). Esto requiere que una entidad determine la cuantía de los beneficios que resultan atribuibles al periodo presente y a los anteriores (véanse los </w:t>
      </w:r>
      <w:r w:rsidRPr="00401DFF">
        <w:rPr>
          <w:rFonts w:ascii="Times New Roman" w:eastAsia="Times New Roman" w:hAnsi="Times New Roman" w:cs="Times New Roman"/>
          <w:sz w:val="24"/>
          <w:szCs w:val="24"/>
          <w:lang w:eastAsia="es-CO"/>
        </w:rPr>
        <w:lastRenderedPageBreak/>
        <w:t>párrafos 70 a 74), y que realice las estimaciones (suposiciones actuariales) respecto a las variables demográficas (tales como rotación de los empleados y mortalidad) y financieras (tales como incrementos futuros en los salarios y en los costos de asistencia médica) que influyen en el costo de los beneficios (véanse los párrafos 75 a 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Descontar ese beneficio para determinar el valor presente de la obligación por beneficios definidos y el costo de los servicios presentes (véanse los párrafos 67 a 69 y 83 a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Deducir el valor razonable de los activos del plan (véanse los párrafos 113 a 115) del valor presente de la obligación por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Determinar el importe del pasivo (activo) por beneficios definidos neto como el importe del déficit o superávit en (a) ajustado por los efectos de limitar un activo por beneficios definidos neto a un techo del activo (véase el párrafo 64).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Determinar los importes a reconocer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costo del servicio presente (véanse los párrafos 70 a 74);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cualquier costo por servicios pasados y la ganancia o pérdida en el momento de la liquidación (véanse los párrafos 99 a 112).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interés neto sobre el pasivo (activo) por beneficios definidos neto (véanse los párrafos 123 a 126).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Determinar las nuevas mediciones del pasivo (activo) por beneficios definidos neto a reconocer en otro resultado integral, que comprende: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ganancias y pérdidas actuariales (véanse los párrafos 128 y 129);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rendimiento de los activos del plan, excluyendo los importes incluidos en el interés neto sobre el pasivo (activo) por beneficios definidos neto (véase el párrafo 130);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los cambios en el efecto del techo del activo (véase el párrafo 64), excluyendo los importes incluidos en el interés neto sobre el pasivo (activo) por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una entidad mantiene más de un plan de beneficios definidos, aplicará estos procedimientos a cada uno de los planes significativos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58 Una entidad determinará el pasivo (activo) por beneficios definidos neto con una regularidad suficiente para que los importes reconocidos en los estados financieros no difieran significativamente de los importes que podrían determinarse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59 Esta Norma recomienda, pero no requiere, que la entidad implique a un actuario cualificado en la medición de todas las obligaciones de carácter significativo derivadas de los beneficios post-empleo. Por razones prácticas, una entidad puede solicitar un actuario cualificado para llevar a cabo una valoración detallada de la obligación antes del final del periodo sobre el que se informa. No obstante, los resultados de esa valoración se actualizarán para cualesquiera transacciones significativas y otros cambios significativos en circunstancias (incluyendo cambios en los precios del mercado y tasas de interés) hasta 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En algunos casos, la utilización de estimaciones, promedios o métodos abreviados de cálculo pueden suministrar una aproximación fiable de los procedimientos ilustrados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las obligaciones implícitas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Una entidad contabilizará no sólo sus obligaciones legales, según los términos formales del plan de beneficios definidos, sino también las obligaciones implícitas que surjan de prácticas no formalizadas. Estas prácticas no formalizadas dan lugar a obligaciones implícitas, cuando la entidad no tenga alternativa realista diferente de la de pagar los beneficios a los empleados. Un ejemplo de una obligación implícita es cuando un cambio en las prácticas no formalizadas de la entidad causaría un daño inaceptable en las relaciones con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Los términos formales de un plan de beneficios definidos pueden permitir a una entidad finalizar su obligación para con el plan. No obstante, resultará por lo general difícil para una entidad poner fin a su obligación para con el plan (sin realizar pagos) si desea conservar a sus empleados. Por ello, en ausencia de evidencia en sentido contrario, en la contabilización de los beneficios post-empleo se asume que una entidad, que está prometiendo actualmente tales beneficios, continuará haciéndolo durante el resto de la vida activa de sus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Una entidad reconocerá el pasivo (activo) por beneficios definidos neto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64 Cuando una entidad tenga un superávit en un plan de beneficios definidos, medirá el activo por beneficios definidos neto al menor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superávit en el plan de beneficios definidos;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techo del activo, determinado utilizando la tasa de descuento especificada en el párrafo 83.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65 Un activo por beneficios definidos neto puede surgir cuando un plan de beneficios definidos ha sido sobrefinanciado o cuando han surgido ganancias actuariales. Una entidad reconocerá un activo por beneficios definidos neto en estos casos porque: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controla un recurso económico, que es la capacidad para utilizar el superávit en la generación de beneficios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ese control es el resultado de sucesos pasados (aportaciones efectuadas por la entidad y servicios prestados por los trabajadores);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beneficios económicos futuros estarán disponibles para la entidad en forma de reducciones en las aportaciones futuras o en forma de reembolsos directamente a la entidad o a otro plan con déficit. El techo del activo es el valor presente de esos beneficios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 valor presente de las obligaciones por beneficios definidos y costo de los servicios del periodo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 El costo final de un plan de beneficios definidos puede estar influido por numerosas variables, tales como los salarios finales, la rotación y mortalidad de los empleados, aportaciones de los empleados y tendencias de los costos de atención médica. El costo final del plan es incierto, y esta incertidumbre es probable que persista durante un largo periodo de tiempo. Con el fin de medir el valor presente de las obligaciones por beneficios post-empleo, y el costo del servicio del periodo presente relacionado, es necesario: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aplicar un método de medición actuarial (véanse los párrafos 67 a 69);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distribuir los beneficios entre los periodos de servicio (véanse los párrafos 70 a 74);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realizar suposiciones actuariales (véanse los párrafos 75 a 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Método de valoración actuarial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67 Una entidad utilizará el método de la unidad de crédito proyectada para determinar el valor presente de sus obligaciones por beneficios definidos, y el costo del servicio presente relacionado y, en su caso, el costo de servicios pasados.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En el método de la unidad de crédito proyectada (también denominado a veces método de los beneficios acumulados (devengados) en proporción a los servicios prestados, o método de los beneficios por año de servicio), se completa cada periodo se servicio como generador de una unidad adicional de derecho a los beneficios (véanse los párrafos 70 a 74) y se mide cada unidad de forma separada para conformar la obligación final (véanse los párrafos 75 a 98).</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270" w:type="dxa"/>
          <w:left w:w="270" w:type="dxa"/>
          <w:bottom w:w="15" w:type="dxa"/>
          <w:right w:w="270" w:type="dxa"/>
        </w:tblCellMar>
        <w:tblLook w:val="04A0" w:firstRow="1" w:lastRow="0" w:firstColumn="1" w:lastColumn="0" w:noHBand="0" w:noVBand="1"/>
      </w:tblPr>
      <w:tblGrid>
        <w:gridCol w:w="8958"/>
      </w:tblGrid>
      <w:tr w:rsidR="00401DFF" w:rsidRPr="00401DFF" w:rsidTr="00401DFF">
        <w:trPr>
          <w:tblCellSpacing w:w="15" w:type="dxa"/>
          <w:jc w:val="center"/>
        </w:trPr>
        <w:tc>
          <w:tcPr>
            <w:tcW w:w="114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68</w:t>
            </w:r>
          </w:p>
        </w:tc>
      </w:tr>
      <w:tr w:rsidR="00401DFF" w:rsidRPr="00401DFF" w:rsidTr="00401DFF">
        <w:trPr>
          <w:tblCellSpacing w:w="15" w:type="dxa"/>
          <w:jc w:val="center"/>
        </w:trPr>
        <w:tc>
          <w:tcPr>
            <w:tcW w:w="1149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entidad debe pagar, al finalizar el periodo de contrato de sus trabajadores, un beneficio consistente en una suma única de dinero, igual a un 1 por ciento del salario final por cada </w:t>
            </w:r>
            <w:r w:rsidRPr="00401DFF">
              <w:rPr>
                <w:rFonts w:ascii="Times New Roman" w:eastAsia="Times New Roman" w:hAnsi="Times New Roman" w:cs="Times New Roman"/>
                <w:sz w:val="24"/>
                <w:szCs w:val="24"/>
                <w:lang w:eastAsia="es-CO"/>
              </w:rPr>
              <w:lastRenderedPageBreak/>
              <w:t xml:space="preserve">año de servicio. El salario del año 1 es de 10.000 u.m. y se supone que aumentará a razón del 7 por ciento anual compuesto. La tasa de descuento utilizada es el 10 por ciento anual. La tabla siguiente muestra cómo se conforma la obligación por un empleado que se espera que abandone la entidad al final del año 5, suponiendo que no se produzcan cambios en las suposiciones actuariales. Por razones de simplicidad, este ejemplo ignora el ajuste adicional que sería necesario para reflejar la probabilidad de que el empleado puede abandonar la entidad en una fecha anterior o posterior.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22"/>
              <w:gridCol w:w="1312"/>
              <w:gridCol w:w="885"/>
              <w:gridCol w:w="1017"/>
              <w:gridCol w:w="1037"/>
              <w:gridCol w:w="974"/>
              <w:gridCol w:w="591"/>
            </w:tblGrid>
            <w:tr w:rsidR="00401DFF" w:rsidRPr="00401DFF" w:rsidTr="00401DFF">
              <w:trPr>
                <w:tblCellSpacing w:w="15" w:type="dxa"/>
                <w:jc w:val="center"/>
              </w:trPr>
              <w:tc>
                <w:tcPr>
                  <w:tcW w:w="4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Año</w:t>
                  </w:r>
                </w:p>
              </w:tc>
              <w:tc>
                <w:tcPr>
                  <w:tcW w:w="12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w:t>
                  </w:r>
                </w:p>
              </w:tc>
              <w:tc>
                <w:tcPr>
                  <w:tcW w:w="85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w:t>
                  </w:r>
                </w:p>
              </w:tc>
              <w:tc>
                <w:tcPr>
                  <w:tcW w:w="9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3</w:t>
                  </w:r>
                </w:p>
              </w:tc>
              <w:tc>
                <w:tcPr>
                  <w:tcW w:w="105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4</w:t>
                  </w:r>
                </w:p>
              </w:tc>
              <w:tc>
                <w:tcPr>
                  <w:tcW w:w="9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5</w:t>
                  </w:r>
                </w:p>
              </w:tc>
              <w:tc>
                <w:tcPr>
                  <w:tcW w:w="6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4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2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u.m.</w:t>
                  </w:r>
                </w:p>
              </w:tc>
              <w:tc>
                <w:tcPr>
                  <w:tcW w:w="855"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u.m.</w:t>
                  </w:r>
                </w:p>
              </w:tc>
              <w:tc>
                <w:tcPr>
                  <w:tcW w:w="9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u.m.</w:t>
                  </w:r>
                </w:p>
              </w:tc>
              <w:tc>
                <w:tcPr>
                  <w:tcW w:w="105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u.m.</w:t>
                  </w:r>
                </w:p>
              </w:tc>
              <w:tc>
                <w:tcPr>
                  <w:tcW w:w="99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u.m.</w:t>
                  </w:r>
                </w:p>
              </w:tc>
              <w:tc>
                <w:tcPr>
                  <w:tcW w:w="6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4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Beneficios atribuidos a</w:t>
                  </w:r>
                </w:p>
              </w:tc>
              <w:tc>
                <w:tcPr>
                  <w:tcW w:w="12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85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9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64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405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años anteriores</w:t>
                  </w:r>
                </w:p>
              </w:tc>
              <w:tc>
                <w:tcPr>
                  <w:tcW w:w="5970" w:type="dxa"/>
                  <w:gridSpan w:val="6"/>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7B843504" wp14:editId="19F2DFFA">
                            <wp:extent cx="3420110" cy="3408045"/>
                            <wp:effectExtent l="0" t="0" r="0" b="0"/>
                            <wp:docPr id="9" name="Rectángulo 9" descr="D2784(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0110" cy="340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9" o:spid="_x0000_s1026" alt="D2784(6).png" style="width:269.3pt;height:26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" filled="f" stroked="f">
                            <o:lock v:ext="edit" aspectratio="t"/>
                            <w10:anchorlock/>
                          </v:rect>
                        </w:pict>
                      </mc:Fallback>
                    </mc:AlternateContent>
                  </w:r>
                </w:p>
              </w:tc>
            </w:tr>
            <w:tr w:rsidR="00401DFF" w:rsidRPr="00401DFF" w:rsidTr="00401DFF">
              <w:trPr>
                <w:tblCellSpacing w:w="15" w:type="dxa"/>
                <w:jc w:val="center"/>
              </w:trPr>
              <w:tc>
                <w:tcPr>
                  <w:tcW w:w="4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periodo corriente (1% del salario final)</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periodo corriente y anteriores</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Importe inicial de la obligación</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Interés al 10%</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Costo de los servicios del periodo corriente</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405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Importe final de la obligación</w:t>
                  </w:r>
                </w:p>
              </w:tc>
              <w:tc>
                <w:tcPr>
                  <w:tcW w:w="0" w:type="auto"/>
                  <w:gridSpan w:val="6"/>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Notas:</w:t>
            </w:r>
            <w:r w:rsidRPr="00401DFF">
              <w:rPr>
                <w:rFonts w:ascii="Times New Roman" w:eastAsia="Times New Roman" w:hAnsi="Times New Roman" w:cs="Times New Roman"/>
                <w:i/>
                <w:iCs/>
                <w:sz w:val="24"/>
                <w:szCs w:val="24"/>
                <w:lang w:eastAsia="es-CO"/>
              </w:rPr>
              <w:br/>
              <w:t>1 El importe inicial de la obligación es el valor presente de los beneficios atribuidos a los años anteriores.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2 El costo del servicio presente en el valor presente de los beneficios atribuidos a este periodo.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3 El importe final de la obligación es el valor presente de los beneficios atribuidos al periodo corriente y a los anteriores.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69 Una entidad descontará el importe total de la obligación por beneficios post-empleo, incluso si una parte de la misma se espera que sea liquidada antes de los doce meses siguientes al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Reparto de los beneficios entre los periodos de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70 Al determinar el valor presente de sus obligaciones por beneficios definidos, así como los costos del servicio presente relacionados y, en su caso, los costos de servicio </w:t>
      </w:r>
      <w:r w:rsidRPr="00401DFF">
        <w:rPr>
          <w:rFonts w:ascii="Times New Roman" w:eastAsia="Times New Roman" w:hAnsi="Times New Roman" w:cs="Times New Roman"/>
          <w:b/>
          <w:bCs/>
          <w:sz w:val="24"/>
          <w:szCs w:val="24"/>
          <w:lang w:eastAsia="es-CO"/>
        </w:rPr>
        <w:lastRenderedPageBreak/>
        <w:t>pasado, una entidad distribuirá los beneficios entre los periodos de servicio, utilizando la fórmula de los beneficios del plan. No obstante, si los servicios prestados por un empleado en años posteriores van a originar un nivel significativamente más alto de beneficios que el alcanzado en los años anteriores, la entidad repartirá linealmente el beneficio en el intervalo de tiempo que medie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fecha a partir de la cual el servicio prestado por el empleado le da derecho al beneficio según el plan (con independencia de que los beneficios estén condicionados a los servicios futuros) hasta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fecha en la que los servicios posteriores a prestar por el empleado le generen derecho a importes adicionales no significativos del beneficio según el plan, salvo por causa de los eventuales incrementos de salarios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71 El método de la unidad de crédito proyectada requiere que una entidad atribuya parte de los beneficios al periodo corriente (con el fin de determinar el costo del servicio presente) y parte a los periodos presente y en anteriores (con el fin de determinar el valor presente de las obligaciones por beneficios definidos). Una entidad repartirá los beneficios entre los periodos en los que surge la obligación de pago sobre los beneficios post-empleo. Esta obligación surge a medida que los empleados prestan los servicios, a cambio de beneficios post-empleo por los que una entidad espera pagar en periodos futuros sobre los que se informa. Las técnicas actuariales permiten que una entidad mida esa obligación con la suficiente fiabilidad como para justificar el reconocimiento de un pasivo.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7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ilustrativos del párrafo 71</w:t>
            </w:r>
          </w:p>
        </w:tc>
      </w:tr>
      <w:tr w:rsidR="00401DFF" w:rsidRPr="00401DFF" w:rsidTr="00401DFF">
        <w:trPr>
          <w:tblCellSpacing w:w="15" w:type="dxa"/>
          <w:jc w:val="center"/>
        </w:trPr>
        <w:tc>
          <w:tcPr>
            <w:tcW w:w="897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 plan de beneficios definidos consiste en pagar, en el momento del retiro, una suma única de 100 u.m. por cada año de servicio.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Se atribuye un beneficio de 100 u.m. a cada año. El costo del servicio presente es el valor presente de 100 u.m. El valor presente de la obligación por el plan de beneficios definidos es el valor presente de 100 u.m. multiplicado por el número de años de servicio hasta el final del periodo sobre el que se informa.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Si el beneficio se tuviera que pagar inmediatamente después de que el empleado abandonase la entidad, el costo del servicio presente y el valor presente de la obligación por beneficios definidos tendrían en cuenta la fecha esperada del retiro. Así, por el descuento de los importes, tales cantidades serán menores que las que se deberían calcular si el empleado fuera a retirarse al final del periodo sobre el que se informa.</w:t>
            </w:r>
          </w:p>
        </w:tc>
      </w:tr>
      <w:tr w:rsidR="00401DFF" w:rsidRPr="00401DFF" w:rsidTr="00401DFF">
        <w:trPr>
          <w:tblCellSpacing w:w="15" w:type="dxa"/>
          <w:jc w:val="center"/>
        </w:trPr>
        <w:tc>
          <w:tcPr>
            <w:tcW w:w="897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r w:rsidR="00401DFF" w:rsidRPr="00401DFF" w:rsidTr="00401DFF">
        <w:trPr>
          <w:tblCellSpacing w:w="15" w:type="dxa"/>
          <w:jc w:val="center"/>
        </w:trPr>
        <w:tc>
          <w:tcPr>
            <w:tcW w:w="898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ilustrativos del párrafo 71</w:t>
            </w:r>
          </w:p>
        </w:tc>
      </w:tr>
      <w:tr w:rsidR="00401DFF" w:rsidRPr="00401DFF" w:rsidTr="00401DFF">
        <w:trPr>
          <w:tblCellSpacing w:w="15" w:type="dxa"/>
          <w:jc w:val="center"/>
        </w:trPr>
        <w:tc>
          <w:tcPr>
            <w:tcW w:w="898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 plan proporciona una pensión mensual del 0,2 por ciento del salario final por cada año de servicio. La pensión es pagadera a partir de la edad de 65 años.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El beneficio que iguala el valor presente, a la fecha esperada de retiro, de una pensión del 0,2 ciento del salario estimado final a pagar desde fecha esperada del retiro hasta la fecha esperada del deceso se atribuye a cada año de servicio. El costo del servicio presente es el valor presente de ese beneficio. El valor presente de las obligaciones por beneficios </w:t>
            </w:r>
            <w:r w:rsidRPr="00401DFF">
              <w:rPr>
                <w:rFonts w:ascii="Times New Roman" w:eastAsia="Times New Roman" w:hAnsi="Times New Roman" w:cs="Times New Roman"/>
                <w:i/>
                <w:iCs/>
                <w:sz w:val="24"/>
                <w:szCs w:val="24"/>
                <w:lang w:eastAsia="es-CO"/>
              </w:rPr>
              <w:lastRenderedPageBreak/>
              <w:t xml:space="preserve">definidos es el valor presente de los pagos de pensión mensuales del 0,2 por ciento del salario final, multiplicado por el número de años de servicio hasta el final del periodo sobre el que se informa. El costo del servicio presente y el valor presente de las obligaciones por beneficios definidos se descuentan porque los pagos por pensiones comienzan cuando el empleado cumple 65 años.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72 Los servicios prestados por los empleados darán lugar, en un plan de beneficios definidos, a una obligación de pago, incluso si los beneficios están condicionados a la existencia de una relación laboral en el futuro (en otras palabras, no están consolidados). Los años de servicio anteriores a la fecha de la consolidación (irrevocabilidad) de los derechos darán lugar a una obligación implícita porque, al final de cada periodo sucesivo sobre el que se informa, se verá reducido el importe del servicio futuro que un empleado tendrá que prestar antes de pasar a tener derecho al beneficio. Al medir su obligación por beneficios definidos, una entidad considerará la probabilidad de que algunos empleados puedan no satisfacer los requerimientos para consolidar (convertir en irrevocables) los derechos. De forma similar, aunque ciertos beneficios post-empleo, como los gastos por atención sanitaria, pasan a ser pagaderos solo si ocurre un suceso especificado cuando un empleado deja de estar contratado, se crea una obligación a medida que el empleado va prestando los servicios que le dan derecho al beneficio, cuando el citado suceso tenga lugar. La probabilidad de que el suceso específico ocurra, afectará a la medición de la obligación, pero no determina si existe o no la obligación.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1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ilustrativos del párrafo 72</w:t>
            </w:r>
          </w:p>
        </w:tc>
      </w:tr>
      <w:tr w:rsidR="00401DFF" w:rsidRPr="00401DFF" w:rsidTr="00401DFF">
        <w:trPr>
          <w:tblCellSpacing w:w="15" w:type="dxa"/>
          <w:jc w:val="center"/>
        </w:trPr>
        <w:tc>
          <w:tcPr>
            <w:tcW w:w="910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 determinado plan paga un beneficio de 100 u.m. por cada año de servicio. El derecho a recibirlo se consolida después de diez años de servicio.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Se atribuye un beneficio de 100 u.m. a cada año. En cada uno de los primeros diez años, el costo del servicio presente y el valor presente de la obligación reflejan la probabilidad de que el empleado no complete los diez años de servicio.</w:t>
            </w:r>
            <w:r w:rsidRPr="00401DFF">
              <w:rPr>
                <w:rFonts w:ascii="Times New Roman" w:eastAsia="Times New Roman" w:hAnsi="Times New Roman" w:cs="Times New Roman"/>
                <w:sz w:val="24"/>
                <w:szCs w:val="24"/>
                <w:lang w:eastAsia="es-CO"/>
              </w:rPr>
              <w:br/>
              <w:t>2 Un plan paga un beneficio de 100 u.m. por cada año de servicio, excluyendo los servicios prestados antes de cumplir los 25 años. Los beneficios son irrevocables (se consolidan) inmediatamente.</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No se atribuirán beneficios al servicio antes de que el empleado cumpla 25 años, puesto que el servicio anterior a esa fecha no da derecho a beneficios (ni condicionados ni no condicionados). Se atribuye un beneficio de 100 u.m. a cada año siguiente.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73 La obligación se incrementa hasta el momento en que cualquier servicio posterior prestado por el empleado no lleve a un importe significativo de aumento en los beneficios posteriores. Por ello, todos los beneficios se atribuyen a periodos que terminen en esa fecha y a los que sean anteriores a la misma. Los beneficios se distribuirán a periodos contables individuales utilizando la fórmula del plan de beneficios. No obstante, si los servicios prestados por un empleado en los años posteriores pueden darle derecho a recibir un beneficio sustancialmente superior al que tenía en años anteriores, una entidad distribuirá el beneficio de forma lineal, hasta la fecha en la cual los servicios adicionales prestados por el empleado no le den derecho a recibir una cantidad de beneficio significativamente mayor. </w:t>
      </w:r>
      <w:r w:rsidRPr="00401DFF">
        <w:rPr>
          <w:rFonts w:ascii="Times New Roman" w:eastAsia="Times New Roman" w:hAnsi="Times New Roman" w:cs="Times New Roman"/>
          <w:sz w:val="24"/>
          <w:szCs w:val="24"/>
          <w:lang w:eastAsia="es-CO"/>
        </w:rPr>
        <w:lastRenderedPageBreak/>
        <w:t xml:space="preserve">Esto se hace así porque son los servicios, prestados por el empleado a lo largo del periodo completo, los que le darán derecho a percibir el mayor nivel de beneficios.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8"/>
      </w:tblGrid>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ilustrativos del párrafo 73</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 plan concede un beneficio a los empleados por un importe único de 1.000 u.m., que es irrevocable tras diez años de servicio. El plan no suministra más beneficios por años de servicio adicionales.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Se atribuirá un beneficio de 100 u.m. (1.000 u.m. divididas entre diez) a cada uno de los primeros diez años.</w:t>
            </w:r>
            <w:r w:rsidRPr="00401DFF">
              <w:rPr>
                <w:rFonts w:ascii="Times New Roman" w:eastAsia="Times New Roman" w:hAnsi="Times New Roman" w:cs="Times New Roman"/>
                <w:i/>
                <w:iCs/>
                <w:sz w:val="24"/>
                <w:szCs w:val="24"/>
                <w:lang w:eastAsia="es-CO"/>
              </w:rPr>
              <w:br/>
              <w:t>El costo del servicio presente, en cada uno de esos primeros diez años, reflejará la probabilidad de que el empleado pueda no completar los diez años requeridos de servicio. No se atribuirá beneficio alguno a los años siguientes.</w:t>
            </w:r>
            <w:r w:rsidRPr="00401DFF">
              <w:rPr>
                <w:rFonts w:ascii="Times New Roman" w:eastAsia="Times New Roman" w:hAnsi="Times New Roman" w:cs="Times New Roman"/>
                <w:sz w:val="24"/>
                <w:szCs w:val="24"/>
                <w:lang w:eastAsia="es-CO"/>
              </w:rPr>
              <w:br/>
              <w:t>2 Un plan concede un beneficio de importe único, por valor de 2.000 u.m., a todos los empleados que permanezcan en la entidad a la edad de 55 años, tras haber prestado al menos veinte años de servicio, o bien que estén prestando servicios en la entidad a la edad de 65 años, con independencia de su antigüedad.</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los trabajadores que accedan al empleo antes de la edad de 35 años, es necesario tener en cuenta que los beneficios les pueden alcanzar al cumplir esa edad, pero no antes (el empleado puede abandonar la entidad a los 30 y volver a incorporarse a la edad de 33, lo cual no tendrá efecto ni en la cuantía del beneficio ni en la fecha de pago). Tales beneficios se condicionan a los servicios futuros. Además, los servicios prestados después de los 55 años no conceden al empleado ningún derecho a beneficios adicionales. Para los empleados que lleguen a la edad de 35 años, la entidad deberá atribuir beneficios de 100 u.m. (2.000 u.m. divididas entre veinte) a cada uno de los años de servicio, desde los 35 a los 55 años de edad.</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los trabajadores que accedan a la entidad entre los 35 y los 45 años, los servicios prestados después de llevar veinte años no les conceden cantidades adicionales de beneficios. Por ello, la entidad debe atribuir, para tales empleados, un beneficio de 100 u.m. (2.000 u.m. divididas entre veinte) para cada uno de los primeros veinte años de servicio.</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ilustrativos del párrafo 73</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En el caso de un trabajador que acceda al empleo a la edad de 55 años, los servicios prestados después de los diez primeros años no le conceden derecho a cantidades adicionales de beneficio. Para este empleado, la entidad atribuirá un beneficio de 200 u.m. (2.000 u.m. dividido entre 10) para cada uno de los diez primeros años de servicio.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todos los empleados, el costo de servicio presente y el valor presente de la obligación, reflejará la probabilidad de que el empleado pueda no completar los periodos necesarios de servicio.</w:t>
            </w:r>
            <w:r w:rsidRPr="00401DFF">
              <w:rPr>
                <w:rFonts w:ascii="Times New Roman" w:eastAsia="Times New Roman" w:hAnsi="Times New Roman" w:cs="Times New Roman"/>
                <w:sz w:val="24"/>
                <w:szCs w:val="24"/>
                <w:lang w:eastAsia="es-CO"/>
              </w:rPr>
              <w:br/>
              <w:t>3 Un plan para atenciones médicas post-empleo reembolsa el 40 por ciento de los costos por asistencia médica post-empleo si los trabajadores dejan la entidad después de diez y antes de los veinte años de servicio, y el 50 por ciento de esos costos si la han abandonado después de veinte o más años de servicio.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Según la fórmula del plan de beneficios, la entidad atribuye un 4 por ciento del valor presente de los costos de asistencia médica esperados (40 por ciento dividido entre diez), a </w:t>
            </w:r>
            <w:r w:rsidRPr="00401DFF">
              <w:rPr>
                <w:rFonts w:ascii="Times New Roman" w:eastAsia="Times New Roman" w:hAnsi="Times New Roman" w:cs="Times New Roman"/>
                <w:i/>
                <w:iCs/>
                <w:sz w:val="24"/>
                <w:szCs w:val="24"/>
                <w:lang w:eastAsia="es-CO"/>
              </w:rPr>
              <w:lastRenderedPageBreak/>
              <w:t>cada uno de los diez primeros años, y un 1 por ciento (10 por ciento dividido entre diez) a cada uno de los segundos diez años. El costo del servicio presente en cada año refleja la probabilidad de que el empleado pueda no completar el periodo de servicio necesario para tener derecho a una parte o la totalidad de los beneficios. Para los empleados que se espere que dejen la entidad en los diez primeros años, no es necesario atribuir beneficio.</w:t>
            </w:r>
            <w:r w:rsidRPr="00401DFF">
              <w:rPr>
                <w:rFonts w:ascii="Times New Roman" w:eastAsia="Times New Roman" w:hAnsi="Times New Roman" w:cs="Times New Roman"/>
                <w:sz w:val="24"/>
                <w:szCs w:val="24"/>
                <w:lang w:eastAsia="es-CO"/>
              </w:rPr>
              <w:br/>
              <w:t>4 Un plan para atenciones médicas post-empleo reembolsa el 10 por ciento de los costos por asistencia médica post-empleo si los trabajadores dejan la entidad después de diez y antes de los veinte años de servicio, y el 50 por ciento de esos costos si la han abandonado después de veinte o más años de servicio.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El servicio en los años posteriores conlleva un nivel significativamente más alto de beneficios que en años anteriores. Por tanto, para los empleados que vayan a abandonar la entidad después de veinte o más años, ésta atribuye el beneficio utilizando el método de reparto lineal descrito en el párrafo 71. Los servicios prestados después de los veinte primeros años no darán derecho a beneficios adicionales. Por tanto, el beneficio atribuido a cada uno de los veinte primeros años es un 2,5 por ciento del valor presente de los costos esperados por atención médica (50 por ciento dividido entre veinte).</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los empleados que se espere que abandonen después de diez años de servicio pero antes de alcanzar los veinte, el beneficio atribuido a cada uno de los diez primeros años será el 1 por ciento del valor presente de los costos esperados por atención médica.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estos empleados no es necesario atribuir beneficio alguno a los servicios prestados después de la finalización del décimo año y antes de la fecha estimada de retiro.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Para los empleados que se espere que dejen la entidad en los diez primeros años, no es necesario atribuir beneficio.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74 En el caso de que el importe del beneficio sea una proporción constante del salario final por cada año de servicio, los incrementos en los salarios futuros afectarán al importe requerido para liquidar la obligación existente, por los años de servicio pasados, antes del final del periodo sobre el que se informa, pero no crearán ninguna obligación adicional. Por lo tanto: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los propósitos del párrafo 70(b), los incrementos de los salarios no suponen beneficios adicionales, incluso cuando el importe del beneficio vaya a depender de la cuantía del salario final;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del beneficio atribuido a cada periodo será una proporción constante del salario con el que los beneficios estén relacionados.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74</w:t>
            </w:r>
          </w:p>
        </w:tc>
      </w:tr>
      <w:tr w:rsidR="00401DFF" w:rsidRPr="00401DFF" w:rsidTr="00401DFF">
        <w:trPr>
          <w:tblCellSpacing w:w="15" w:type="dxa"/>
          <w:jc w:val="center"/>
        </w:trPr>
        <w:tc>
          <w:tcPr>
            <w:tcW w:w="89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empleados adquieren el derecho a un beneficio del 3 por ciento del salario final por cada año de servicio antes de cumplir los 55 años.</w:t>
            </w:r>
            <w:r w:rsidRPr="00401DFF">
              <w:rPr>
                <w:rFonts w:ascii="Times New Roman" w:eastAsia="Times New Roman" w:hAnsi="Times New Roman" w:cs="Times New Roman"/>
                <w:i/>
                <w:iCs/>
                <w:sz w:val="24"/>
                <w:szCs w:val="24"/>
                <w:lang w:eastAsia="es-CO"/>
              </w:rPr>
              <w:br/>
              <w:t xml:space="preserve">En este caso se atribuirá a cada año un beneficio del 3 por ciento del salario final por cada año hasta que el trabajador cumpla los 55 de edad. Esta es la fecha en la que los servicios posteriores no dan derecho a un nivel mayor en los beneficios, según el plan. Por tanto, no se atribuye ningún beneficio a los servicios prestados por el trabajador después de cumplir esa edad.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Suposiciones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75 Las suposiciones actuariales serán insesgadas y compatibles entre sí.</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Las suposiciones actuariales constituyen las mejores estimaciones de la entidad sobre las variables que determinarán el costo final de proporcionar los beneficios post-empleo. Las suposiciones actuariales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Suposiciones demográficas acerca de las características de los empleados actuales y pasados (y las personas que tienen a su cargo) que puedan recibir los beneficios. Las suposiciones demográficas tienen relación con temas tales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mortalidad (véanse los párrafos 81 y 82);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tasas de rotación entre empleados, incapacidad y retiros prematuros;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proporción de partícipes en el plan con beneficiarios que tienen derecho a los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la proporción de partícipes en el plan que elegirán cada opción de pago disponible en las condiciones del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tasas de peticiones de atención, en los planes por asistencia médica.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suposiciones financieras, que tienen relación con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tasa de descuento (véanse los párrafos 83 a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niveles de beneficio, excluyendo los costos de los beneficios a satisfacer por los empleados, y salario futuro (véanse los párrafos 87 a 95);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en el caso de beneficios de atención médica, costos de atención médica futuros, incluyendo costos de tramitación de reclamaciones (es decir, costos en los que se incurrirá en el proceso y resolución de reclamaciones incluyendo tarifas legales y de tasación de siniestros) (véanse los párrafos 96 a 98);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impuesto por pagar por el plan sobre aportaciones relativas al servicio antes de la fecha de presentación o sobre beneficios procedentes de ese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77 Las suposiciones actuariales se considerarán insesgadas si no resultan ni imprudentes ni excesivamente conservadoras.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78 Las suposiciones actuariales serán compatibles entre sí cuando reflejen las relaciones económicas existentes entre factores tales como la inflación, tasas de aumento de los salarios y tasas de descuento. Por ejemplo, todas las suposiciones que dependan de un nivel determinado de inflación en un periodo futuro (como es el caso de las relacionadas con </w:t>
      </w:r>
      <w:r w:rsidRPr="00401DFF">
        <w:rPr>
          <w:rFonts w:ascii="Times New Roman" w:eastAsia="Times New Roman" w:hAnsi="Times New Roman" w:cs="Times New Roman"/>
          <w:sz w:val="24"/>
          <w:szCs w:val="24"/>
          <w:lang w:eastAsia="es-CO"/>
        </w:rPr>
        <w:lastRenderedPageBreak/>
        <w:t>tasas de interés e incrementos de salarios y beneficios), suponen el mismo nivel de inflación en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79 Una entidad determinará la tasa de descuento y las demás suposiciones financieras en términos nominales (corrientes), salvo que las estimaciones en términos reales (ajustadas por la inflación) sean más fiables, como puede pasar, por ejemplo, en el caso de una economía hiperinflacionaria (véase la NIC 29 </w:t>
      </w:r>
      <w:r w:rsidRPr="00401DFF">
        <w:rPr>
          <w:rFonts w:ascii="Times New Roman" w:eastAsia="Times New Roman" w:hAnsi="Times New Roman" w:cs="Times New Roman"/>
          <w:i/>
          <w:iCs/>
          <w:sz w:val="24"/>
          <w:szCs w:val="24"/>
          <w:lang w:eastAsia="es-CO"/>
        </w:rPr>
        <w:t>Información Financiera en Economías Hiperinflacionarias),</w:t>
      </w:r>
      <w:r w:rsidRPr="00401DFF">
        <w:rPr>
          <w:rFonts w:ascii="Times New Roman" w:eastAsia="Times New Roman" w:hAnsi="Times New Roman" w:cs="Times New Roman"/>
          <w:sz w:val="24"/>
          <w:szCs w:val="24"/>
          <w:lang w:eastAsia="es-CO"/>
        </w:rPr>
        <w:t xml:space="preserve"> o también en el caso en que los beneficios estén ligados a un índice, habiendo un mercado fluido de bonos ligados a ese índice, en la misma moneda y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Las suposiciones financieras se basarán en las expectativas del mercado al final del periodo sobre el que se informa, para el periodo en el que las obligaciones de pago serán liquidadas.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Suposiciones actuariales: mortalidad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81 Una entidad determinará sus supuestos de mortalidad por referencia a su mejor estimación de mortalidad de los partícipes del plan durante y después de su periodo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Para estimar el costo final del beneficio una entidad tendrá en cuenta los cambios esperados en la mortalidad, por ejemplo mediante la modificación de tablas de mortalidad estándar con mejoras en las estimaciones de la mortalidad.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Suposiciones actuariales: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83 La tasa utilizada para descontar las obligaciones de beneficios post-empleo (tanto dotadas como no dotadas) se determinará utilizando como referencia los rendimientos del mercado, al final del periodo sobre el que se informa, correspondientes a las emisiones de bonos u obligaciones empresariales de alta calidad. En países donde no exista un mercado amplio para estos bonos, se utilizará el rendimiento de mercado (al final del periodo sobre el que se informa) de los bonos emitidos por el gobierno. La moneda y el plazo de los bonos empresariales o gubernamentales serán coherentes con la moneda y el plazo estimado de pago de las obligaciones por beneficios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Una de las suposiciones actuariales que tiene efectos significativos es la tasa de descuento. Esta tasa de descuento refleja el valor temporal del dinero, pero no el riesgo actuarial o de inversión. Además, la tasa de descuento no refleja el riesgo de crédito específico que asumen los acreedores de la entidad, ni tampoco refleja el riesgo de que el comportamiento de las variables en el futuro pueda diferir de las suposiciones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La tasa de descuento reflejará el calendario estimado de los pagos de los beneficios. En la práctica, una entidad a menudo consigue esto aplicando un promedio ponderado de la tasa de descuento que refleja el calendario y el importe estimados de los pagos de beneficios y la moneda en la que los beneficios han de ser pagados.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86 En algunos casos, puede no existir un mercado amplio de bonos con un periodo de vencimiento suficiente para cubrir los vencimientos esperados de todos los pagos por beneficios. En estos casos, una entidad tendrá que utilizar las tasas presentes de mercado, con las referencias temporales apropiadas, para descontar los pagos a corto plazo, y estimará la tasa de descuento para los vencimientos a más largo plazo, extrapolando las tasas de mercado presentes mediante la curva de rendimiento. Es improbable que el valor presente total de una obligación por beneficios definidos sea particularmente sensible a la tasa de descuento aplicada a la parte de beneficios que se pagarán con posterioridad al vencimiento de los bonos, de entidad o gubernamentales, emitidos a más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Suposiciones actuariales: salarios, beneficios y costos de atención médica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87 Una entidad medirá sus obligaciones por beneficios definidos sobre una base que refleje: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beneficios establecidos según los términos del plan (o que resulten de cualquier obligación implícita que pueda derivarse de tales condiciones)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incrementos de salarios futuros estimados que afecten a los beneficios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efecto de cualquier límite sobre la parte del empleador del costo de los beneficios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aportaciones de los empleados o terceros que reducen el costo final para la entidad de esos beneficios;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los cambios futuros estimados en la cuantía de los beneficios gubernamentales, en la medida que afecten a los importes a pagar dentro del plan de beneficios definidos, si y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aquellos cambios que entraron en vigor antes del final del periodo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historia pasada, u otro tipo de evidencia fiable, indican que esos beneficios gubernamentales van a ser modificados de una forma previsible, por ejemplo en consonancia con los futuros cambios en los niveles generales de precios o de salarios.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88 Los supuestos actuariales reflejan los cambios de beneficios futuros que están establecidos en las cláusulas formales de un plan (o de una obligación implícita que va más allá de esas cláusulas) al final del periodo sobre el que se informa. Este es el caso, por ejemplo,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entidad tiene una historia de beneficios crecientes, por ejemplo para mitigar los efectos de la inflación, y no existen indicios de que esta práctica vaya a cambiar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está obligada, ya sea por las cláusulas formales del plan (o por una obligación implícita que va más allá de esas cláusulas) o por la legislación, a utilizar cualquier superávit del plan en beneficio de los participantes del plan [véase el párrafo 108(c)].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beneficios varían en respuesta a objetivos de rendimiento u otros criterios. Por ejemplo, las cláusulas del plan puede señalar que se pagarán beneficios reducidos o requerirán aportaciones adicionales de los empleados si los activos del plan son insuficientes. La medición de la obligación refleja la mejor estimación del efecto del objetivo de rendimiento u otros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89 Las suposiciones actuariales no reflejarán los cambios en los beneficios futuros que no estén establecidos en las condiciones formales del plan (o en las obligaciones implícitas) al final del periodo sobre el que se informa. Estos cambios producirán: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 de servicio pasado, en la medida que modifiquen los beneficios por servicios antes de efectuarse el 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costo del servicio presente en periodos posteriores al cambio, en la medida que modifiquen beneficios por servicios a prestar tras este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 Las estimaciones de los incrementos futuros en los salarios han de tener en cuenta la inflación, la antigüedad, promociones y otros factores relevantes, tales como la evolución de la oferta y la demanda en el mercado de trabajo.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 Algunos planes de beneficios definidos limitan las aportaciones que se requiere que pague una entidad. El costo final de los beneficios tendrá en cuenta el efecto de un límite en las aportaciones. El efecto de un límite en las aportaciones se determinará en función del plazo más corto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vida estimada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vida estimada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92 Algunos planes de beneficios definidos requieren que los empleados o terceros aporten al costo del plan. Las aportaciones por empleados reducen el costo de los beneficios para la entidad. Una entidad considerará si las aportaciones de terceros reducen el costo de los beneficios para la entidad, o son un derecho de reembolso como se describe en el párrafo 116. Las aportaciones por los empleados o terceros se establecen en las cláusulas formales del plan (o surgen de una obligación implícita que va más allá de esas cláusulas), o son discrecionales. Las aportaciones discrecionales por los empleados o terceros reducen el costo del servicio en la medida de los pagos de estas aportaciones al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93 Las aportaciones de los empleados o terceros establecidas en las condiciones formales del plan reducen el costo de los servicios (si están vinculadas al servicio), o reducen la nuevas mediciones del pasivo (activo) por beneficios definidos neto (por ejemplo, si se requiere que las aportaciones reduzcan un déficit que surge de pérdidas en los activos del plan o pérdidas actuariales). Las aportaciones procedentes de los empleados o terceros con respecto a los servicios se atribuyen a periodos de servicio como un beneficio negativo de acuerdo con el párrafo 70 (es decir, el beneficio neto se atribuye de acuerdo con ese párrafo).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Los cambios en las aportaciones de los empleados o terceros con respecto al servicio darán lugar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de servicios pasados y presentes (si los cambios en las aportaciones de los empleados no están establecidos en las condiciones formales de un plan y no surgen de una obligación implícita);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 pérdidas y ganancias actuariales (si los cambios en las aportaciones de los empleados están establecidas en las condiciones formales de un plan, o surgen de una obligación implícita).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Algunos beneficios post-empleo están ligados a variables tales como el nivel de beneficios gubernamentales por retiro o por atención médica. La medición de estos beneficios reflejará la mejor estimación de estas variables, basada a partir de datos históricos y otro tipo de evidencias fiables.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96 Las suposiciones sobre los costos por atenciones médicas tendrán en cuenta los cambios futuros estimados en el costo de los servicios médicos, derivados tanto de la inflación como de las variaciones específicas en los costos por atenciones médicas.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 La medición de los beneficios post-empleo, en forma de atenciones médicas, requiere plantear suposiciones sobre el nivel y frecuencia de la demanda futura de tales servicios, así como sobre el costo de cubrir dichas atenciones. Una entidad estimará los costos futuros de las atenciones médicas a partir de los datos históricos, tomados de su propia experiencia, complementados si fuera necesario con datos históricos procedentes de otras entidades, compañías de seguros, entidades de asistencia sanitaria u otras fuentes. Las estimaciones de los costos futuros de atención médica considerarán el efecto de los avances tecnológicos, los cambios en la utilización de los beneficios por asistencia médica o los patrones de demanda de atención sanitaria, y también los cambios en la situación sanitaria de los participantes en 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98 El nivel y frecuencia de las solicitudes de atención médica son particularmente sensibles a la edad, estado de salud y sexo de los empleados (y de las personas que dependen de ellos), y pueden también resultar sensibles a otros factores tales como la ubicación geográfica. Por tanto, los datos históricos han de ser ajustados siempre que la estructura demográfica de la población beneficiaria sea diferente de la utilizada como base para elaborar los datos históricos. También es preciso ajustar cuando hay evidencia fiable de que las tendencias históricas no continuarán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Costo de los servicios pasados y ganancias y pérdidas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99 Antes de determinar el costo de los servicios pasados o una ganancia o pérdida en el momento de la liquidación, una entidad medirá nuevamente el pasivo (activo) por beneficios definidos neto utilizando el valor razonable presente de los activos del plan y los supuestos actuariales presentes (incluyendo las tasas de interés de mercado presentes y otros precios de mercado presentes) que reflejen los beneficios ofrecidos según el plan antes de la modificación, reducción o liquidación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100 Una entidad no necesitará distinguir entre costo de servicios pasados procedentes de una modificación del plan, costos de servicios pasados procedentes de una reducción y una ganancia o pérdida en el momento de la liquidación si estas transacciones tienen lugar simultáneamente. En algunos casos, una modificación del plan tiene lugar antes de una liquidación, tal como cuando una entidad cambia los beneficios del plan y liquida los beneficios modificados posteriormente. En esos casos una entidad reconocerá el costo de servicios pasados antes de la ganancia o pérdida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101 Una liquidación tiene lugar, junto con una modificación y reducción del plan, cuando se pone término a un plan, procediéndose a la liquidación de la obligación y el plan deja de existir. Sin embargo, la cancelación del plan no es una liquidación si el plan es reemplazado por otro nuevo que ofrezca beneficios esencialmente idénticos.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de servicios pasados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102 El costo de servicios pasados es el cambio en el valor presente de la obligación por beneficios definidos procedente de una modificación o reducción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103 Una entidad reconocerá el costo de servicios pasados como un gasto en la primera de las siguientes fechas: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cuando tenga lugar la modificación o reducción del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cuando la entidad reconozca los costos de reestructuración relacionados (véase la NIC 37) o los beneficios por terminación (véase el párrafo 165).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104 Una modificación del plan tiene lugar cuando una entidad introduce, o retira, un plan de beneficios definidos o cambios de los beneficios por pagar según un plan de beneficios definidos existente.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105 Una reducción tiene lugar cuando una entidad reduce de forma significativa el número de empleados cubiertos por un plan. Una reducción puede surgir de un suceso aislado, tal como el cierre de una planta, discontinuación de una operación o terminación o suspensión de un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106 El costo de servicios pasados puede ser positivo (cuando los beneficios se introducen o cambian de forma que el valor presente de la obligación por beneficios definidos se </w:t>
      </w:r>
      <w:r w:rsidRPr="00401DFF">
        <w:rPr>
          <w:rFonts w:ascii="Times New Roman" w:eastAsia="Times New Roman" w:hAnsi="Times New Roman" w:cs="Times New Roman"/>
          <w:sz w:val="24"/>
          <w:szCs w:val="24"/>
          <w:lang w:eastAsia="es-CO"/>
        </w:rPr>
        <w:lastRenderedPageBreak/>
        <w:t>incrementa) o negativo (cuando los beneficios cambian o se retiran de forma que el valor presente de la obligación por beneficios definidos disminuye).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107 Cuando una entidad reduzca algunos beneficios por pagar en un plan de beneficios definidos existente y, al mismo tiempo, aumente otros beneficios por pagar dentro del plan y para los mismos empleados, la entidad tratará el cambio como una única variación, en términos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 En el costo de servicio pasado se excluyen: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efecto de las diferencias entre los incrementos de salarios reales y anteriormente asumidos sobre la obligación de pagar beneficios por servicios de años anteriores, (no hay costos de servicio pasado, puesto que las suposiciones actuariales toman en consideración los salarios proyectados);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sub o sobreestimaciones de los incrementos discrecionales de las pensiones cuando una entidad tenga una obligación implícita de conceder tales aumentos (no existe costo de los servicios pasados porque las suposiciones actuariales deben tener en consideración dichos aumentos);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estimaciones de mejoras en los beneficios que procedan de ganancias actuariales o del rendimiento de los activos del plan que hayan sido reconocidos en los estados financieros, si la entidad está obligada por las condiciones formales del plan (o por una obligación implícita que supere esas condiciones) o por la legislación, a utilizar en favor de los partícipes del plan los superávit del mismo, incluso si el incremento del beneficio no ha sido todavía formalmente concedidos (no existe costo de servicios pasados porque el aumento resultante en la obligación es una pérdida actuarial, véase el párrafo 88); y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incremento en los beneficios irrevocables (consolidados) (es decir, beneficios que no están condicionados al empleo futuro, véase el párrafo 72) cuando, en ausencia de beneficios nuevos o mejorados, los empleados completan los requerimientos de irrevocabilidad (consolidación) de la concesión (no existe costo de los servicios pasados porque la entidad reconoció el costo estimado de los beneficios como costo del servicio presente, a medida que los servicios fueron prestados).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y pérdidas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109 La ganancia o pérdida en el momento de liquidación es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presente de una obligación por beneficios definidos que está siendo liquidada, como se determinó en la fecha de liquidación;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precio de liquidación, incluyendo los activos del plan transferidos y los pagos realizados directamente por la entidad en relación con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110 Cuando tenga lugar la liquidación una entidad reconocerá las ganancias o pérdidas derivadas de la liquidación de un plan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111 Una liquidación tiene lugar cuando una entidad realiza una transacción que elimina todas las obligaciones legales o implícitas adicionales para parte o todos los beneficios proporcionados bajo un plan de beneficios definidos (distintos de un pago de beneficios a los empleados o en nombre de éstos, de acuerdo con las condiciones del plan e incluida en los supuestos actuariales). Por ejemplo, una transferencia excepcional de obligaciones del empleador significativas bajo el plan a una compañía de seguros a través de la compra de una póliza de seguros es una liquidación; no lo es, un pago único en efectivo, según las condiciones del plan a participantes del plan a cambio de sus derechos a recibir beneficios post-empleo especificados.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112 En algunos casos, una entidad adquiere una póliza de seguro para financiar una parte o la totalidad de los beneficios a los empleados que se relacionan con los servicios que han prestado en el periodo presente y en los periodos anteriores. La adquisición de esta póliza no es una liquidación del plan si la entidad conserva la obligación, ya sea legal o implícita, de pagar cantidades futuras (véase el párrafo 46) cuando el asegurador no llegue a cubrir los beneficios especificados en la póliza de seguro. Los párrafos 116 a 119 tratan del reconocimiento y medición de los derechos de reembolso bajo pólizas de seguro que no son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de los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113 El valor razonable de los activos del plan se deducirán del valor presente de la obligación por beneficios definidos al determinar el déficit o superávit. Cuando no haya precio de mercado disponible, el valor razonable de los activos del plan se estimará, por ejemplo, descontando flujos de efectivo futuros esperados utilizando un tasa de descuento que refleje el riesgo asociado con los activos del plan y la fecha de disposición esperada o de vencimiento de esos activos (o, si no tienen vencimiento, el periodo esperado hasta la liquidación de la obligación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114 En los activos del plan no se incluirán las aportaciones no pagadas por la entidad al fondo, ni tampoco los instrumentos financieros no transferibles emitidos por la entidad y poseídos por el fondo. De los activos del plan se deducirán cualesquiera pasivos del fondo que no tengan relación con los beneficios a los empleados, como por ejemplo las cuentas por pagar, sean o no de origen comercial, y los pasivos que procedan de instrumentos financieros 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115 Cuando los activos del plan incluyan pólizas de seguro aptas, que se correspondan exactamente con los importes y calendario de algunos o de todos los beneficios pagaderos dentro del plan, el valor razonable que se atribuirá a esas pólizas de seguro será el valor presente de las obligaciones relacionadas (lo cual estará sujeto a cualquier reducción que se requiera si los importes a recibir por la póliza de seguro no son totalmente recuperables).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Reembolsos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116 Cuando sea, y sólo cuando sea, prácticamente cierto que un tercero reembolsará alguno o todos los desembolsos requeridos para liquidar una obligación por beneficios definidos,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reconocerá su derecho al reembolso como un activo separado. La entidad medirá el activo a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desagregará y reconocerá los cambios en el valor razonable de su derecho al reembolso de la misma forma que los cambios en el valor razonable de los activos del plan (véanse los párrafos 124 y 125). Los componentes del costo de los beneficios definidos reconocidos de acuerdo con el párrafo 120 podrán reconocerse netos de los importes relativos a cambios en el importe en libros del derecho al reembolso.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117 A veces, una entidad puede requerir a un tercero, tal como un asegurador, el pago de una parte o la totalidad del desembolso requerido para cancelar una obligación por beneficios definidos. Las pólizas de seguro aptas, tal como han sido definidas en el párrafo 8, son activos del plan. Una entidad contabilizará tales pólizas aptas de la misma forma que todos los demás activos del plan, y no aplicará el párrafo 116 si no es relevante (véanse los párrafos 46 a 49 y 115).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118 Cuando una póliza de seguro mantenida por una entidad no cumpla las condiciones para ser una póliza apta, esta póliza no es un activo del plan. El párrafo 116 es relevante en estos casos: la entidad reconoce su derecho a los reembolsos, por la póliza de seguros, como un activo separado, y no como una deducción al determinar el déficit o superávit por beneficios definidos. El párrafo 140(b) requiere que la entidad revele una breve descripción de la relación entre el derecho de reembolso y la obligación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119 Si el derecho de reembolso surge de una póliza de seguro que compensa exactamente el importe y el calendario de algunos o todos los beneficios definidos pagaderos en función de un plan de beneficios definidos, al valor razonable del derecho de reembolso se le considera el valor presente de la obligación relacionada, (sujeto a cualquier reducción que se requiera si el reembolso no es totalmente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del costo de los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120 Una entidad reconocerá los componentes del costo de los beneficios definidos, excepto en la medida en que otra NIIF requiera o permita su inclusión en el costo de un activo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costo del servicio presente (véanse los párrafos 66 a 112)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interés neto sobre el pasivo (activo) por beneficios definidos neto (véanse los párrafos 123 a 126) en el resultado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 las nuevas mediciones del pasivo (activo) por beneficios definidos neto (véanse los párrafos 127 a 130)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121 Otras NIIF requieren la inclusión de ciertos costos por beneficios a los empleados, en el costo de activos tales como inventarios o propiedades, planta y equipo (véanse la NIC 2 y la NIC 16). Todo costo por beneficios definidos post-empleo, que se incluya en el precio de adquisición o costo de producción de los activos citados, incluirá la proporción adecuada de los componentes que se han mencionado en la lista del párrafo 120.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122 Las nuevas mediciones del pasivo (activo) por beneficios definidos neto reconocidas en otro resultado integral no se reclasificarán en el resultado del periodo en un periodo posterior. Sin embargo, la entidad puede transferir esos importes reconocidos en otro resultado integral dentro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Interés neto sobre el pasivo (activo) de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123 El interés neto sobre el pasivo (activo) por beneficios definidos neto se determinará multiplicando éste por la tasa descontada especificada en el párrafo 83, determinados al comienzo del periodo anual sobre el que se informa, teniendo en cuenta los cambios en el pasivo (activo) por beneficios definidos neto durante el periodo como consecuencia de los pagos de las aportaciones y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124 El interés neto sobre el pasivo (activo) por beneficios definidos neto puede verse como que comprende el ingreso por intereses por los activos del plan, costos por intereses por la obligación por beneficios definidos e intereses por el efecto del techo del activo mencionado en el párrafo 64.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125 El ingreso por intereses por los activos del plan es un componente del rendimiento de los activos del plan y se determina multiplicando el valor razonable de los activos del plan por la tasa de descuento especificada en el párrafo 83, determinados al comienzo del periodo anual sobre el que se informa, teniendo en cuenta los cambios en los activos del plan durante el periodo como consecuencia de los pagos por las aportaciones y beneficios. La diferencia entre el ingreso por intereses de los activos del plan y el rendimiento de los activos del plan está incluida en la nueva medición del pasivo (activo) por beneficios definidos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126 Los intereses por el efecto del techo del activo es parte del cambio total en el efecto del techo del activo, y se determina multiplicando el efecto del techo del activo por la tasa de descuento especificada en el párrafo 83, determinados al comienzo del periodo anual sobre el que se informa. La diferencia entre ese importe y el cambio total en el efecto del techo del activo se incluye en la nueva medición del pasivo (activo) por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Nuevas mediciones del pasivo (activo) de beneficios definidos neto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127 Las nuevas mediciones del pasivo (activo) por beneficios definidos neto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las ganancias y pérdidas actuariales (véanse los párrafos 128 y 129);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rendimiento de los activos del plan (véase el párrafo 130), excluyendo los importes incluidos en el interés neto sobre el pasivo (activo) de beneficios definidos neto (véase el párrafo 125);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cambios en el efecto del techo del activo, excluyendo los importes incluidos en el interés neto sobre el pasivo (activo) de beneficios definidos neto (véase el párrafo 126).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128 Las ganancias y pérdidas actuariales procedentes de incrementos o disminuciones en el valor presente de la obligación por beneficios definidos debidas a cambios en las suposiciones actuariales y ajustes por experiencia. Las causas de las ganancias o pérdidas incluyen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tasas de rotación, de mortalidad, de retiros anticipados o de incremento de salarios inesperadamente altas o bajas para los empleados, así como variaciones en los beneficios (si las condiciones formales o implícitas contemplan incrementos cuando haya inflación) o en los costos de atención médica;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efecto de cambios en las suposiciones con respecto a las opciones de pago de los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efecto de los cambios en las estimaciones de las tasas futuras de rotación, de mortalidad, de retiros anticipados o de incremento de salarios de los empleados, así como el efecto de las variaciones en los beneficios (si las condiciones formales o asumidas contemplan incrementos cuando haya inflación) o en los costos de atención médica cubiertos por 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efecto de las variaciones en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129 Las ganancias y pérdidas actuariales no incluyen cambios en el valor presente de la obligación por beneficios definidos debidas a la introducción de modificaciones, reducciones o liquidación del plan de beneficios definidos, o cambios en los beneficios por pagar por un plan de beneficios definidos. Estos cambios dan lugar a un costo por servicios pasados o ganancias o pérdidas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 Al determinar el rendimiento de los activos del plan, una entidad deducirá los costos de gestión de los activos del plan y cualquier impuesto por pagar por el plan en sí mismo, distinto de los impuestos incluidos en los supuestos actuariales utilizados para medir la obligación por beneficios definidos (párrafo 76). Otros costos de administración no se deducirán del rendimiento de los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131 Una entidad procederá a compensar un activo correspondiente a un plan con un pasivo perteneciente a otro plan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tiene el derecho, exigible legalmente, de utilizar los superávit de un plan para cancelar las obligaciones del otro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pretende, o bien cancelar las obligaciones según su valor neto, o bien realizar el superávit en el primero de los planes y, de forma simultánea, cancelar su obligación en el otro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132 Este criterio de compensación es similar al establecido para el caso de los instrumentos financieros, en la NIC 32 </w:t>
      </w:r>
      <w:r w:rsidRPr="00401DFF">
        <w:rPr>
          <w:rFonts w:ascii="Times New Roman" w:eastAsia="Times New Roman" w:hAnsi="Times New Roman" w:cs="Times New Roman"/>
          <w:i/>
          <w:iCs/>
          <w:sz w:val="24"/>
          <w:szCs w:val="24"/>
          <w:lang w:eastAsia="es-CO"/>
        </w:rPr>
        <w:t>Instrumentos Financieros: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Distinción entre partidas corrientes y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133 Algunas entidades separan, en sus estados financieros, los activos y pasivos corrientes de los activos y pasivos no corrientes. Esta Norma no especifica si una entidad debería distinguir las partes corrientes y no corrientes de los activos y pasivos que surgen de los beneficios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del costo de los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134 El párrafo 120 requiere que una entidad reconozca los costos por servicios y el interés neto sobre el pasivo (activo) por beneficios definidos neto en el resultado del periodo. Esta Norma no especifica la forma en que una entidad debería presentar el costo del servicio y el interés neto sobre el pasivo (activo) por beneficios definidos neto. Una entidad presentará esos componentes de acuerdo con la NIC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135 Una entidad revelará información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explique las características de sus planes de beneficios definidos y los riesgos asociados con ellos (véase el párrafo 139);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identifique y explique los importes en sus estados financieros que surgen de sus planes de beneficios definidos (véanse los párrafos 140 a 144);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describa la forma en que sus planes de beneficios definidos pueden afectar al importe, calendario e incertidumbre de los flujos de efectivo futuros de la entidad (véanse los párrafos 145 a 147).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136 Para cumplir el objetivo del párrafo 135, una entidad considerará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nivel de detalle necesario para satisfacer los requerimientos de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cuánto énfasis colocar en cada uno de los distintos requerimientos;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cuánta agregación o desagregación realizar;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los usuarios de los estados financieros necesitan información adicional para evaluar la información cuantitativa revelada.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137 Si la información a revelar proporcionada de acuerdo con los requerimientos de esta Norma y otras NIIF, es insuficiente para alcanzar los objetivos del párrafo 135, una entidad revelará la información adicional necesaria para cumplir con esos objetivos. Por ejemplo, una entidad puede presentar un análisis del valor presente de la obligación por beneficios definidos que distinguen la naturaleza, características y riesgos de la obligación. Esta información a revelar podría distinguir: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Entre los importes adeudados a los miembros activos, diferidos a éstos y pensionistas.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Entre los beneficios consolidados (irrevocables) y acumulados (devengados) los no consolidados (no irrevocables).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Entre beneficios condicionados, importes atribuibles a incrementos de salarios futuros y otros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138 Una entidad evaluará si toda o parte de la información a revelar debe desagregarse para distinguir planes o grupos de planes con riesgos diferentes de forma significativa. Por ejemplo, una entidad puede desagregar información a revelar sobre planes mostrando una o más de las siguientes características: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Localizaciones geográficas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Características diferentes tales como planes de pensiones de cuantía fija, planes de pensiones calculados según el salario final o planes de atención médica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Entornos de regulación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Diferentes segmentos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Diferentes acuerdo de financiación (por ejemplo no financiados totalmente, totalmente o parcialmente financiados).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Características de los planes de beneficios definidos y riesgos asociados con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Información sobre las características de sus planes de beneficios definidos,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La naturaleza de los beneficios proporcionados por el plan (por ejemplo los planes de beneficios definidos sobre el salario final o planes basados en aportaciones con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Una descripción del marco de regulación en el que opera el plan, por ejemplo el nivel de los requerimientos de financiación mínimos, y el efecto del marco de regulación sobre el plan, tales como el techo del activo (véase el párrafo 64).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Una descripción de cualesquiera otras responsabilidades de la entidad para el gobierno del plan, por ejemplo, responsabilidades de fiduciarios o miembros del consejo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los riesgos a los que expone el plan a la entidad, centrados en los riesgos inusuales, específicos de la entidad y específicos del plan y cualquier concentración de riesgo significativa. Por ejemplo, si los activos del plan están invertidos principalmente en una clase de inversiones, por ejemplo propiedades, el plan puede exponer a la entidad a una concentración del riesgo de mercado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las modificaciones del plan, reducciones y liquidaciones.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Explicación de los importes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 Una entidad proporcionará una conciliación del saldo de apertura con el de cierre para cada uno de los siguientes elementos, si procede: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pasivo (activo) por beneficios definidos neto, mostrando por separado conciliaciones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valor presente de la obligación por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efecto del techo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derechos de reembolso. Una entidad también describirá la relación entre los derechos de reembolso y la obligación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141 Cada conciliación enumerada en el párrafo 140 mostrará cada uno de los siguientes elementos, si procede: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 del servicio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Ingresos o gastos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Nuevas mediciones del pasivo (activo) de beneficios definidos neto mostrando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El rendimiento de los activos del plan, excluyendo los importes incluidos en los intereses en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ganancias y pérdidas actuariales que surgen de cambios en las suposiciones demográficas [véase el párrafo 76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ganancias y pérdidas actuariales que surgen de cambios las suposiciones financieras [véase el párrafo 76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Los cambios en el efecto de limitar un activo por beneficios definidos neto al techo del activo, excluyendo los importes incluidos en los intereses de (b). Una entidad también revelará la forma en que se determina el beneficio económico máximo disponible, es decir, si esos beneficios serían en forma de reembolsos, reducciones en aportaciones futuras o una combinación de ambos.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Costo de servicios pasados y ganancias y pérdidas que surgen de liquidaciones. Tal como permite el párrafo 100, el costo de servicios pasados y las ganancias y pérdidas que surgen de liquidaciones no necesitan distinguirse si tienen lugar simultáneamente.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Efectos de las variaciones en las tasas de cambio de la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Aportaciones al plan, mostrando por separado las del empleador y las de los participantes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Pagos procedentes del plan, mostrando por separado el importe pagado con respecto a las liquidaciones.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Efectos de las combinaciones de negocios y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142 Una entidad desagregará el valor razonable de los activos del plan en clases que distingan la naturaleza y riesgos de esos activos, subdividiendo cada clase de activo del plan entre las que tienen un precio de mercado cotizado en un mercado activo (NIIF13 </w:t>
      </w:r>
      <w:r w:rsidRPr="00401DFF">
        <w:rPr>
          <w:rFonts w:ascii="Times New Roman" w:eastAsia="Times New Roman" w:hAnsi="Times New Roman" w:cs="Times New Roman"/>
          <w:i/>
          <w:iCs/>
          <w:sz w:val="24"/>
          <w:szCs w:val="24"/>
          <w:lang w:eastAsia="es-CO"/>
        </w:rPr>
        <w:t>Medición del Valor Razonable</w:t>
      </w:r>
      <w:hyperlink r:id="rId31" w:anchor="bf1d009f2f6e5654fa8a747907facba61a7nf9" w:tgtFrame="_self" w:history="1">
        <w:r w:rsidRPr="00401DFF">
          <w:rPr>
            <w:rFonts w:ascii="Times New Roman" w:eastAsia="Times New Roman" w:hAnsi="Times New Roman" w:cs="Times New Roman"/>
            <w:color w:val="0000FF"/>
            <w:sz w:val="20"/>
            <w:szCs w:val="20"/>
            <w:u w:val="single"/>
            <w:vertAlign w:val="superscript"/>
            <w:lang w:eastAsia="es-CO"/>
          </w:rPr>
          <w:t>(26)</w:t>
        </w:r>
      </w:hyperlink>
      <w:r w:rsidRPr="00401DFF">
        <w:rPr>
          <w:rFonts w:ascii="Times New Roman" w:eastAsia="Times New Roman" w:hAnsi="Times New Roman" w:cs="Times New Roman"/>
          <w:sz w:val="24"/>
          <w:szCs w:val="24"/>
          <w:lang w:eastAsia="es-CO"/>
        </w:rPr>
        <w:t>) y las que no lo tienen. Por ejemplo, considerando el nivel de información a revelar comentado en el párrafo 136, una entidad podría distinguir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efectivo y equivalentes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instrumentos de patrimonio (segregado por tipo de sector industrial, tamaño de la empresa, geografía, etc.);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instrumentos de deuda (segregados por tipo de emisor, calidad crediticia, geografía, etc.);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propiedad inmobiliaria (segregada por geografía, etc.);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derivados (segregados por tipo de riesgo subyacente en el contrato, por ejemplo, contratos de tasa de interés, contratos de cambio de moneda extranjera, contratos de patrimonio, contratos de crédito, permutas financieras de larga duración, etc.);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fondos de inversión (segregados por tipo de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títulos valores garantizados por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deuda estructurada.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143 Una entidad revelará el valor razonable de los instrumentos financieros transferibles propios de la entidad mantenidos como activos del plan, y el valor razonable de los activos del plan que son propiedades ocupadas por la entidad, u otros activos utilizados por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144 Una entidad revelará las suposiciones actuariales significativas utilizadas para determinar el valor presente de la obligación por beneficios definidos (véase el párrafo 76). Esta información a revelar será en términos absolutos (por ejemplo, un porcentaje absoluto, y no solo como un margen entre porcentajes diferentes y otras variables). Cuando una entidad proporcione información a revelar en total para una agrupación de planes, proporcionará esta información a revelar en forma de promedios ponderados o rangos de valores relativamente pequeños.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 calendario e incertidumbre de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145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análisis de sensibilidad para cada supuesto actuarial significativo (como los revelados según el párrafo 144) al final del periodo sobre el que se informa, mostrando la forma en que la obligación por beneficios definidos habría sido afectada por los cambios en la suposición actuarial relevante que era razonablemente posible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métodos y suposiciones utilizados para preparar los análisis de sensibilidad requeridos por (a) y las limitaciones de esos métodos.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cambios habidos desde el periodo anterior en los métodos y suposiciones utilizados para preparar los análisis de sensibilidad, y las razones de estos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146 Una entidad revelará una descripción de las estrategias para equiparar activos y pasivos utilizadas por el plan o la entidad, incluyendo el uso de rentas vitalicias y otras técnicas, tales como permutas financieras de larga duración, para gestionar el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147 Para proporcionar un indicador del efecto del plan de beneficios definidos sobre los flujos de efectivo futuros de la entidad, ésta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los acuerdos de financiación y política de financiación que afecte a las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las aportaciones esperadas al plan para el próximo periodo anual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Información sobre el perfil de vencimientos de la obligación por beneficios definidos. Este incluirá el promedio ponderado de la duración de la obligación por beneficios definidos y puede incluir otra información sobre la distribución del calendario de los pagos por beneficios, tales como un análisis de vencimientos de los pagos por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multi-patronales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148 Si una entidad participa en un plan de beneficios definidos multi-patronal,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los acuerdos de financiación, incluyendo el método utilizado para determinar la tasa de la entidad de aportaciones y los requerimientos de financiación mínimos.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la medida en que la entidad puede ser responsable del plan por otras obligaciones de entidades según las cláusulas y condiciones del plan multi-patronal.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la distribución acordada de un déficit o superávit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liquidación del plan;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retirada de la entidad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la entidad contabiliza ese plan como si fuera un plan de aportaciones definidas de acuerdo con el párrafo 34, revelará la siguiente información, además de la información requerida por (a) a (c) y en lugar de la información requerida por los párrafos 139 a 147: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hecho de que el plan 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razones por las cuales no está disponible la información suficiente para permitir a la entidad contabilizarlo como un plan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aportaciones esperadas al plan para el próximo periodo anual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Información sobre cualquier déficit o superávit del plan que puede afectar el importe de aportaciones futuras, incluyendo la base utilizada para determinar ese déficit o superávit y las implicaciones, si las hubiera,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Una indicación del nivel de participación de la entidad en el plan comparado con otras entidades participantes. Ejemplos de medidas que pueden proporcionar esta indicación incluyen la proporción de la entidad en las aportaciones totales al plan o la proporción de la entidad en el número total de miembros activos, miembros retirados, y miembros antiguos con derecho a beneficios, si esa información se encuentra disponible.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Planes de beneficios definidos que comparten riesgos entre entidades bajo control común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149 Si una entidad participa en un plan de beneficios definidos que comparte riesgos entre entidades bajo control común,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acuerdo contractual o la política establecida para cargar el costo por el beneficio definido neto, o bien el hecho de que no existe esa política.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política para determinar la aportación a pagar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entidad contabilizase la distribución del costo por el beneficio definido neto de acuerdo con el párrafo 41, toda la información sobre el plan en su conjunto, requerida por los párrafos 135 a 147.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la entidad contabiliza la aportación por pagar para el periodo tal como se señala en el párrafo 41, la información sobre el plan en su conjunto requerida por los párrafos 135 a 137, 139, 142 a 144 y 147(a)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150 La información requerida por el párrafo 149(c) y (d) puede revelarse por referencia a la información a revelar en otros estados financieros de otra entidad del grupo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esos estados financieros de la entidad del grupo identifican por separado y revelan la información requerida sobre 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esos estados financieros de la entidad del grupo están disponibles para los usuarios de los estados financieros en las mismas condiciones y al mismo tiempo, o antes, que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Requerimientos de información a revelar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151 En el caso de que fuera obligatorio según la NIC 24, la entidad suministrará información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transacciones con partes relacionadas referentes a planes de beneficios post-empleo;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beneficios post-empleo para el personal clave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152 En caso de que fuera obligatorio según la NIC 37, una entidad revelará información sobre los pasivos contingentes que surgen de las obligaciones por beneficios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beneficios a los empleados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153 Otros beneficios a los empleados a largo plazo, incluyen partidas tales como los siguientes, si no se esperan liquidar totalmente antes de doce meses después del final del </w:t>
      </w:r>
      <w:r w:rsidRPr="00401DFF">
        <w:rPr>
          <w:rFonts w:ascii="Times New Roman" w:eastAsia="Times New Roman" w:hAnsi="Times New Roman" w:cs="Times New Roman"/>
          <w:sz w:val="24"/>
          <w:szCs w:val="24"/>
          <w:lang w:eastAsia="es-CO"/>
        </w:rPr>
        <w:lastRenderedPageBreak/>
        <w:t>periodo anual sobre el que se informa en el que los empleados presten los servicios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ausencias retribuidas a largo plazo, tales como vacaciones especiales tras largos periodos de vida activa o años sabáticos;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premios de antigüedad u otros beneficios por largo tiempo de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beneficios por invalidez permanente;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participación en ganancias e incentivos;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retribuciones diferidas.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154 La medición de los otros beneficios a largo plazo a los empleados no está sujeta, normalmente, al mismo grado de incertidumbre que afecta a la medida de los beneficios post-empleo. Por esta razón, esta Norma requiere un método simplificado de contabilización de otros beneficios a largo plazo a los empleados. A diferencia de la contabilidad requerida para los beneficios post-empleo, este método no reconoce nuevas mediciones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155 Al reconocer y medir el superávit o déficit en un plan de beneficios a los empleados a largo plazo, una entidad aplicará los párrafos 56 a 98 y 113 a 115. Una entidad aplicará los párrafos 116 a 119 al reconocer y medir cualquier derecho de reembolso.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156 Para otros beneficios a los empleados a largo plazo, una entidad reconocerá, en el resultado del periodo, el importe total neto de los siguientes importes, excepto en la medida en que otra NIIF requiera o permita su inclusión en el costo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costo del servicio (véanse los párrafos 66 a 112);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interés neto sobre el pasivo (activo) por beneficios definidos neto (véanse los párrafos 123 a 126).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nuevas mediciones del pasivo (activo) por beneficios definidos neto (véanse los párrafos 127 a 130).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157 Una forma de los otros beneficios a largo plazo a los empleados es el beneficio por invalidez permanente. Si el nivel del beneficio depende del periodo de servicio, surgirá una obligación cuando se preste el servicio. La medición de esta obligación reflejará la probabilidad de que el pago vaya a ser requerido y el intervalo de tiempo a lo largo del cual se espera realizar los pagos. Si el nivel de beneficio es el mismo para todos los empleados con invalidez, independientemente de los años de servicio, el costo esperado de los </w:t>
      </w:r>
      <w:r w:rsidRPr="00401DFF">
        <w:rPr>
          <w:rFonts w:ascii="Times New Roman" w:eastAsia="Times New Roman" w:hAnsi="Times New Roman" w:cs="Times New Roman"/>
          <w:sz w:val="24"/>
          <w:szCs w:val="24"/>
          <w:lang w:eastAsia="es-CO"/>
        </w:rPr>
        <w:lastRenderedPageBreak/>
        <w:t>beneficios se reconocerá cuando se produzca el suceso que cause la invalidez de larga duración.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158 Aunque esta Norma no requiere información a revelar específica sobre los beneficios a los empleados a largo plazo, otras NIIF pueden requerir información a revelar. Por ejemplo, la NIC 24 requiere información a revelar sobre los beneficios a los empleados del personal clave de la gerencia. La NIC 1 requiere información a revelar sobre el gasto por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por 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159 Esta Norma trata los beneficios por terminación de forma separada del resto de los beneficios a los empleados, porque el suceso que da lugar a la obligación es la finalización del vínculo laboral, en lugar del servicio del empleado. Los beneficios por terminación del contrato procedentes de una decisión de la entidad para finalizar el empleo o una decisión de un empleado de aceptar una oferta de la entidad de beneficios a cambio de la finalización del contrato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160 Los beneficios por terminación del contrato no incluyen beneficios a los empleados procedentes de la terminación de contrato de empleo a petición del empleado sin la oferta de una entidad o como consecuencia de requerimientos de retiro obligatorios, porque esos beneficios son beneficios post-empleo. Algunas entidades proporcionan un nivel menor de beneficio por terminación del contrato de empleo a petición del empleado (en esencia, un beneficio post-empleo), que si es la terminación del contrato de empleo a petición de la entidad. La diferencia entre el beneficio proporcionado por terminación del contrato de empleo a petición del empleado y un beneficio mayor proporcionado a petición de la entidad es un beneficio por terminación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161 La forma del beneficio a los empleados no determina si se proporciona a cambio del servicio o a cambio de la terminación de contrato de empleo del empleado. Los beneficios por terminación son normalmente pagos únicos, pero a veces también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Mejoras de los beneficios post-empleo, indirectamente a través de un plan de beneficios a los empleados o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Salarios hasta el final de un periodo específico de tiempo si el empleado no presta servicios posteriores que suministren beneficios económicos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162 Indicadores de que se proporciona un beneficio a los empleados a cambio de servicios incluyen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beneficio está condicionado a que se proporcionen servicios futuros (incluyendo beneficios que incrementan si se prestan servicios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beneficio se proporciona de acuerdo con las condiciones de un plan de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163 Algunos beneficios por terminación se proporcionan de acuerdo con las condiciones de un plan de beneficios a los empleados existente. Por ejemplo, pueden especificarse por ley, contrato de empleo o acuerdo sindical, o pueden insinuarse como consecuencia de prácticas pasadas del empleador de proporcionar beneficios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Como otro ejemplo, si una entidad realiza una oferta de beneficios disponible para más allá de un periodo corto, o hay más de un periodo corto entre la oferta y la fecha esperada de terminación real, la entidad considerará si ha establecido un plan de beneficios a los empleados nuevo y por tanto si los beneficios ofrecidos según ese plan son beneficios por terminación o beneficios post-empleo. Los beneficios a los empleados proporcionados de acuerdo con las condiciones de un plan de beneficios a los empleados son beneficios por terminación si proceden de una decisión de la entidad de finalizar un contrato de empleo con un empleado y no están condicionados a que se proporcionen servicios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164 Algunos beneficios a los empleados se proporcionan con independencia de las razones que hayan motivado su salida de la entidad. El pago de estos beneficios es cierto (sujeto a los requerimientos de consolidación o periodos mínimos de servicio), pero el tiempo durante el cual se pagarán es un hecho incierto. Aunque estos beneficios sean descritos en algunas jurisdicciones como indemnizaciones por finalización de contrato o gratificaciones por finalización de contrato, son en realidad beneficios post-empleo más que beneficios por terminación, y una entidad los contabilizará como beneficios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165 Una entidad reconocerá un pasivo y un gasto por beneficios por terminación en la primera de las siguientes fechas: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cuando la entidad ya no pueda retirar la oferta de esos beneficios;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momento en que la entidad reconozca los costos por una reestructuración que quede dentro del alcance de la NIC 37 e involucre el pago de los beneficios por 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166 Para los beneficios por terminación por pagar como consecuencia de una decisión del empleado de aceptar una oferta de beneficios a cambio de la finalización de su contrato de empleo, el momento en que una entidad ya no pueda retirar la oferta de beneficios por terminación es el primero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momento en que el empleado acepta la oferta;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el momento en que tenga efecto una restricción (por ejemplo, un requerimiento legal, contractual o de regulación u otra restricción) sobre la capacidad de la entidad para retirar </w:t>
      </w:r>
      <w:r w:rsidRPr="00401DFF">
        <w:rPr>
          <w:rFonts w:ascii="Times New Roman" w:eastAsia="Times New Roman" w:hAnsi="Times New Roman" w:cs="Times New Roman"/>
          <w:sz w:val="24"/>
          <w:szCs w:val="24"/>
          <w:lang w:eastAsia="es-CO"/>
        </w:rPr>
        <w:lastRenderedPageBreak/>
        <w:t>la oferta. Este sería cuando se realiza la oferta, si la restricción existía en el momento de la oferta.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167 Para los beneficios por terminación por pagar como consecuencia de la decisión de una entidad de terminar el contrato de empleo de un empleado, la entidad ya no puede retirar la oferta cuando ha comunicado a los empleados afectados un plan de terminación que cumple todos los criterios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acciones requeridas para completar el plan indican que es improbable que se vayan a realizar cambios significativos en 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plan identifica el número de empleados cuyo empleo va a finalizar, sus clasificaciones de trabajo o funciones y sus localizaciones (pero el plan no necesita identificar cada empleado individualmente) y la fecha de finalización esperada.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plan establece los beneficios por terminación que los empleados recibirán con suficiente detalle como para que éstos puedan determinar el tipo e importe de beneficios que recibirán cuando finalicen sus contratos de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168 Cuando una entidad reconoce beneficios por terminación, habrá de contabilizar también una modificación del plan o una reducción de otros beneficios a los empleados (véase el párrafo 103).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169 Una entidad medirá los beneficios por terminación en el reconocimiento inicial y medirá y reconocerá cambios posteriores, de acuerdo con la naturaleza del beneficio a los empleados, siempre que si los beneficios por terminación son una mejora de los beneficios post-empleo, la entidad aplicará los requerimientos de beneficios post-empleo. En otro caso: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se espera que los beneficios por terminación se liquiden completamente antes de doce meses después del periodo anual sobre el que se informa en el que el beneficio por terminación se reconozca, la entidad aplicará los requerimientos de beneficios a los empleados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no se espera que los beneficios por terminación se liquiden completamente antes de doce meses después del periodo anual sobre el que se informa, la entidad aplicará los requerimientos de otros beneficios a los empleados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170 Puesto que los beneficios por terminación no se proporcionan a cambio de servicios, los párrafos 70 a 74 relacionados con la atribución del beneficio a periodos de servicio no son aplicables.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8"/>
      </w:tblGrid>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que ilustra los párrafos 159 a 170</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Antecedentes</w:t>
            </w:r>
            <w:r w:rsidRPr="00401DFF">
              <w:rPr>
                <w:rFonts w:ascii="Times New Roman" w:eastAsia="Times New Roman" w:hAnsi="Times New Roman" w:cs="Times New Roman"/>
                <w:i/>
                <w:iCs/>
                <w:sz w:val="24"/>
                <w:szCs w:val="24"/>
                <w:lang w:eastAsia="es-CO"/>
              </w:rPr>
              <w:br/>
            </w:r>
            <w:r w:rsidRPr="00401DFF">
              <w:rPr>
                <w:rFonts w:ascii="Times New Roman" w:eastAsia="Times New Roman" w:hAnsi="Times New Roman" w:cs="Times New Roman"/>
                <w:sz w:val="24"/>
                <w:szCs w:val="24"/>
                <w:lang w:eastAsia="es-CO"/>
              </w:rPr>
              <w:lastRenderedPageBreak/>
              <w:t>Como consecuencia de una adquisición reciente, una entidad prevé cerrar una fábrica dentro de diez meses y, en ese momento finalizar los contratos de los empleados que permanezcan en la fábrica. Puesto que la entidad necesita la experiencia de los empleados en la fábrica para completar algunos contratos, anuncia un plan de terminación de contratos de la forma siguiente:</w:t>
            </w:r>
            <w:r w:rsidRPr="00401DFF">
              <w:rPr>
                <w:rFonts w:ascii="Times New Roman" w:eastAsia="Times New Roman" w:hAnsi="Times New Roman" w:cs="Times New Roman"/>
                <w:sz w:val="24"/>
                <w:szCs w:val="24"/>
                <w:lang w:eastAsia="es-CO"/>
              </w:rPr>
              <w:br/>
              <w:t>Cada empleado que permanezca y preste servicio hasta el cierre de la fábrica recibirá en la fecha de terminación un pago de 30.000 u.m. Los empleados que dejen la fábrica antes del cierre recibirán 10.000 u.m.</w:t>
            </w:r>
            <w:r w:rsidRPr="00401DFF">
              <w:rPr>
                <w:rFonts w:ascii="Times New Roman" w:eastAsia="Times New Roman" w:hAnsi="Times New Roman" w:cs="Times New Roman"/>
                <w:sz w:val="24"/>
                <w:szCs w:val="24"/>
                <w:lang w:eastAsia="es-CO"/>
              </w:rPr>
              <w:br/>
              <w:t>En la fábrica hay 120 empleados En el momento del anuncio del plan, la entidad espera que 20 de ellos abandonen antes del cierre. Por ello, los flujos de salida de efectivo totales esperados según el plan son 3.200.000 (es decir, 20 × 10.000 u.m.+ 100 × 30.000 u.m.). Como requería el párrafo 160, la entidad contabilizará beneficios proporcionados a cambio de la terminación de los contratos de empleo como beneficios por terminación y contabilizará los beneficios proporcionados a cambio de servicios como beneficios a los empleados a corto plazo.</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que ilustra los párrafos 159 a 170</w:t>
            </w:r>
          </w:p>
        </w:tc>
      </w:tr>
      <w:tr w:rsidR="00401DFF" w:rsidRPr="00401DFF" w:rsidTr="00401DFF">
        <w:trPr>
          <w:tblCellSpacing w:w="0"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Beneficios por terminación</w:t>
            </w:r>
            <w:r w:rsidRPr="00401DFF">
              <w:rPr>
                <w:rFonts w:ascii="Times New Roman" w:eastAsia="Times New Roman" w:hAnsi="Times New Roman" w:cs="Times New Roman"/>
                <w:sz w:val="24"/>
                <w:szCs w:val="24"/>
                <w:lang w:eastAsia="es-CO"/>
              </w:rPr>
              <w:br/>
              <w:t>El beneficio proporcionado a cambio de la finalización del contrato de empleo es de</w:t>
            </w:r>
            <w:r w:rsidRPr="00401DFF">
              <w:rPr>
                <w:rFonts w:ascii="Times New Roman" w:eastAsia="Times New Roman" w:hAnsi="Times New Roman" w:cs="Times New Roman"/>
                <w:sz w:val="24"/>
                <w:szCs w:val="24"/>
                <w:lang w:eastAsia="es-CO"/>
              </w:rPr>
              <w:br/>
              <w:t>10.000 u.m. Este es el importe que una entidad tendría que pagar para terminar el contrato de empleo independientemente de si los empleados permanecen y prestan servicios hasta el cierre de la fábrica o abandonan antes de dicho cierre. Aún cuando los empleados puedan abandonar antes del cierre, la terminación del contrato de empleo de todos los empleados es una consecuencia de la decisión de la entidad de cerrar la fábrica y rescindir sus contratos de empleo (es decir, todos los empleados dejarán el empleo cuando la fábrica cierre). Por ello, la entidad reconocerá un pasivo de 1.200.000 u.m. (es decir, 120 x 10.000 u.m.) en concepto de beneficios por terminación proporcionados de acuerdo el plan de beneficios a los empleados en la primera de las dos fechas siguientes, cuando el plan de terminación se anuncie y cuando la entidad reconozca los costos de reestructuración asociados con el cierre de la fábrica.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Beneficios proporcionados a cambio de servicios</w:t>
            </w:r>
            <w:r w:rsidRPr="00401DFF">
              <w:rPr>
                <w:rFonts w:ascii="Times New Roman" w:eastAsia="Times New Roman" w:hAnsi="Times New Roman" w:cs="Times New Roman"/>
                <w:sz w:val="24"/>
                <w:szCs w:val="24"/>
                <w:lang w:eastAsia="es-CO"/>
              </w:rPr>
              <w:br/>
              <w:t>El incremento de beneficios que los empleados recibirán si proporcionan servicios para el periodo completo de diez meses es a cambio de servicios proporcionados a lo largo de ese periodo. La entidad los contabilizará como beneficios a los empleados a corto plazo porque la entidad espera liquidarlos antes de doce meses después del final del periodo anual sobre el que se informa. En este ejemplo, no se requiere descontar, de forma que un gasto de 200.000 u.m. (es decir, 2.000.000 ÷ 10) se reconocerá en cada mes durante el periodo de servicio de diez meses, con un incremento correspondientes en el importe del pasivo.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171 Aunque esta Norma no requiere información a revelar específica sobre los beneficios por terminación, otras NIIF pueden hacerlo. Por ejemplo, la NIC 24 requiere información a revelar sobre los beneficios a los empleados del personal clave de la gerencia. La NIC 1 requiere información a revelar sobre el gasto por 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Transición y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172 Una entidad aplicará esta Norma para los periodos anuales que comiencen a partir del 1 de enero de 2013. Se permite su aplicación anticipada. Si una entidad aplica esta Norma a periodos anteriores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173 Una entidad aplicará esta Norma de forma retroactiva, de acuerdo con la NIC 8 </w:t>
      </w:r>
      <w:r w:rsidRPr="00401DFF">
        <w:rPr>
          <w:rFonts w:ascii="Times New Roman" w:eastAsia="Times New Roman" w:hAnsi="Times New Roman" w:cs="Times New Roman"/>
          <w:i/>
          <w:iCs/>
          <w:sz w:val="24"/>
          <w:szCs w:val="24"/>
          <w:lang w:eastAsia="es-CO"/>
        </w:rPr>
        <w:t xml:space="preserve">Políticas Contables, Cambios en las Estimaciones Contables y Errores </w:t>
      </w:r>
      <w:r w:rsidRPr="00401DFF">
        <w:rPr>
          <w:rFonts w:ascii="Times New Roman" w:eastAsia="Times New Roman" w:hAnsi="Times New Roman" w:cs="Times New Roman"/>
          <w:sz w:val="24"/>
          <w:szCs w:val="24"/>
          <w:lang w:eastAsia="es-CO"/>
        </w:rPr>
        <w:t>excepto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no necesita ajustar el importe en libros de activos que queden fuera del alcance de esta norma para cambios en los costos de beneficios a los empleados que estaban incluidos en el importe en libros anterior a la fecha de aplicación inicial. La fecha de aplicación inicial es el comienzo del primer periodo anterior presentado en los primeros estados financieros en los que la entidad adopta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los estados financieros para periodos que comiencen antes del 1 de enero de 2014, una entidad no necesita presentar información comparativa para la información a revelar requerida por el párrafo 145 sobre la sensibilidad de la obligación por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174 La NIIF 13, emitida en mayo de 2011 modificó la definición de valor razonable del párrafo 8 y modificó el párrafo 113.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Una póliza de seguro apta no es necesariamente un contrato de seguro, según está definido en la NIIF 4 </w:t>
      </w:r>
      <w:r w:rsidRPr="00401DFF">
        <w:rPr>
          <w:rFonts w:ascii="Times New Roman" w:eastAsia="Times New Roman" w:hAnsi="Times New Roman" w:cs="Times New Roman"/>
          <w:i/>
          <w:iCs/>
          <w:sz w:val="24"/>
          <w:szCs w:val="24"/>
          <w:lang w:eastAsia="es-CO"/>
        </w:rPr>
        <w:t>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En esta Norma,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Si una entidad no aplica todavía la NIIF 13, puede hacer referencia al párrafo GA71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o al párrafo B.5.4.3 de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(octubre de 2010), si procede.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Contabilización de las Subvenciones del Gobierno e Información a Revelar sobre Ayudas Gubernamentales</w:t>
      </w:r>
      <w:hyperlink r:id="rId32" w:anchor="bf19e25d33f74d04e0a84df5826c8257454nf9" w:tgtFrame="_self" w:history="1">
        <w:r w:rsidRPr="00401DFF">
          <w:rPr>
            <w:rFonts w:ascii="Times New Roman" w:eastAsia="Times New Roman" w:hAnsi="Times New Roman" w:cs="Times New Roman"/>
            <w:color w:val="0000FF"/>
            <w:sz w:val="20"/>
            <w:szCs w:val="20"/>
            <w:u w:val="single"/>
            <w:vertAlign w:val="superscript"/>
            <w:lang w:eastAsia="es-CO"/>
          </w:rPr>
          <w:t>(1)</w:t>
        </w:r>
      </w:hyperlink>
      <w:r w:rsidRPr="00401DFF">
        <w:rPr>
          <w:rFonts w:ascii="Times New Roman" w:eastAsia="Times New Roman" w:hAnsi="Times New Roman" w:cs="Times New Roman"/>
          <w:sz w:val="20"/>
          <w:szCs w:val="20"/>
          <w:vertAlign w:val="superscript"/>
          <w:lang w:eastAsia="es-CO"/>
        </w:rPr>
        <w:t>(sic)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trata sobre la contabilización e información a revelar acerca de las subvenciones del gobierno, así como de la información a revelar sobre otras formas de ayudas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Norma no se ocupa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Los problemas especiales que aparecen en la contabilización de subvenciones del gobierno dentro de estados financieros que reflejan los efectos de cambios en los precios, o en información complementaria de similar naturaleza.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Ayudas gubernamentales que se conceden a la entidad en forma de ventajas que se materializan al calcular la ganancia imponible o pérdida fiscal, o que se determinan o limitan sobre la base de las obligaciones fiscales. Ejemplos de estos beneficios son las exenciones fiscales, los créditos fiscales por inversiones, las depreciaciones aceleradas y las tasas impositivas reducidas.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Participaciones del gobierno en la propiedad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Las subvenciones del gobierno cubiertas por la NIC 41 </w:t>
      </w:r>
      <w:r w:rsidRPr="00401DFF">
        <w:rPr>
          <w:rFonts w:ascii="Times New Roman" w:eastAsia="Times New Roman" w:hAnsi="Times New Roman" w:cs="Times New Roman"/>
          <w:i/>
          <w:iCs/>
          <w:sz w:val="24"/>
          <w:szCs w:val="24"/>
          <w:lang w:eastAsia="es-CO"/>
        </w:rPr>
        <w:t>Agricultura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Gobierno</w:t>
      </w:r>
      <w:r w:rsidRPr="00401DFF">
        <w:rPr>
          <w:rFonts w:ascii="Times New Roman" w:eastAsia="Times New Roman" w:hAnsi="Times New Roman" w:cs="Times New Roman"/>
          <w:b/>
          <w:bCs/>
          <w:sz w:val="24"/>
          <w:szCs w:val="24"/>
          <w:lang w:eastAsia="es-CO"/>
        </w:rPr>
        <w:t xml:space="preserve"> se refiere al gobierno en sí, a las agencias gubernamentales y organismos similares, ya sean locales, regionales, nacionales o internacionales.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Ayudas gubernamentales </w:t>
      </w:r>
      <w:r w:rsidRPr="00401DFF">
        <w:rPr>
          <w:rFonts w:ascii="Times New Roman" w:eastAsia="Times New Roman" w:hAnsi="Times New Roman" w:cs="Times New Roman"/>
          <w:b/>
          <w:bCs/>
          <w:sz w:val="24"/>
          <w:szCs w:val="24"/>
          <w:lang w:eastAsia="es-CO"/>
        </w:rPr>
        <w:t>son acciones realizadas por el sector público con el objeto de suministrar beneficios económicos específicos a una entidad o tipo de entidades, seleccionadas bajo ciertos criterios. No son ayudas gubernamentales, para el propósito de esta Norma, los beneficios que se producen indirectamente sobre las entidades por actuaciones sobre las condiciones generales del comercio o la industria, tales como el suministro de infraestructura en áreas en desarrollo o la imposición de restricciones comerciales a los competidores.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Las</w:t>
      </w:r>
      <w:r w:rsidRPr="00401DFF">
        <w:rPr>
          <w:rFonts w:ascii="Times New Roman" w:eastAsia="Times New Roman" w:hAnsi="Times New Roman" w:cs="Times New Roman"/>
          <w:i/>
          <w:iCs/>
          <w:sz w:val="24"/>
          <w:szCs w:val="24"/>
          <w:lang w:eastAsia="es-CO"/>
        </w:rPr>
        <w:t>subvenciones del gobierno</w:t>
      </w:r>
      <w:r w:rsidRPr="00401DFF">
        <w:rPr>
          <w:rFonts w:ascii="Times New Roman" w:eastAsia="Times New Roman" w:hAnsi="Times New Roman" w:cs="Times New Roman"/>
          <w:b/>
          <w:bCs/>
          <w:sz w:val="24"/>
          <w:szCs w:val="24"/>
          <w:lang w:eastAsia="es-CO"/>
        </w:rPr>
        <w:t>son ayuda gubernamental en forma de transferencias de recursos a una entidad a cambio del cumplimiento pasado o futuro de ciertas condiciones relacionadas con las actividades de operación de la entidad. Se excluyen aquellas formas de ayudas gubernamentales a las que no cabe razonablemente asignar un valor, así como las transacciones con el gobierno que no pueden distinguirse de las demás operaciones normales de la entidad</w:t>
      </w:r>
      <w:hyperlink r:id="rId33" w:anchor="bf14c21d0a7a7d14d2fa7502b29a8530ff9nf9" w:tgtFrame="_self" w:history="1">
        <w:r w:rsidRPr="00401DFF">
          <w:rPr>
            <w:rFonts w:ascii="Times New Roman" w:eastAsia="Times New Roman" w:hAnsi="Times New Roman" w:cs="Times New Roman"/>
            <w:color w:val="0000FF"/>
            <w:sz w:val="20"/>
            <w:szCs w:val="20"/>
            <w:u w:val="single"/>
            <w:vertAlign w:val="superscript"/>
            <w:lang w:eastAsia="es-CO"/>
          </w:rPr>
          <w:t>(28)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Subvenciones relacionadas con activos</w:t>
      </w:r>
      <w:r w:rsidRPr="00401DFF">
        <w:rPr>
          <w:rFonts w:ascii="Times New Roman" w:eastAsia="Times New Roman" w:hAnsi="Times New Roman" w:cs="Times New Roman"/>
          <w:b/>
          <w:bCs/>
          <w:sz w:val="24"/>
          <w:szCs w:val="24"/>
          <w:lang w:eastAsia="es-CO"/>
        </w:rPr>
        <w:t xml:space="preserve"> son subvenciones del gobierno cuya concesión implica que la entidad beneficiaria debe comprar, construir o adquirir de cualquier otra forma activos fijos. Pueden también establecerse condiciones adicionales restringiendo el tipo o emplazamiento de los activos, o bien los periodos durante los cuales han de ser adquiridos o mantenidos.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Subvenciones relacionadas con los ingresos </w:t>
      </w:r>
      <w:r w:rsidRPr="00401DFF">
        <w:rPr>
          <w:rFonts w:ascii="Times New Roman" w:eastAsia="Times New Roman" w:hAnsi="Times New Roman" w:cs="Times New Roman"/>
          <w:b/>
          <w:bCs/>
          <w:sz w:val="24"/>
          <w:szCs w:val="24"/>
          <w:lang w:eastAsia="es-CO"/>
        </w:rPr>
        <w:t>son las subvenciones del gobierno distintas de aquéllas que se relacionan con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Préstamos condonables</w:t>
      </w:r>
      <w:r w:rsidRPr="00401DFF">
        <w:rPr>
          <w:rFonts w:ascii="Times New Roman" w:eastAsia="Times New Roman" w:hAnsi="Times New Roman" w:cs="Times New Roman"/>
          <w:b/>
          <w:bCs/>
          <w:sz w:val="24"/>
          <w:szCs w:val="24"/>
          <w:lang w:eastAsia="es-CO"/>
        </w:rPr>
        <w:t xml:space="preserve"> son aquéllos en los que el prestamista se compromete a renunciar al reembolso, bajo ciertas condiciones establecidas.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Las ayudas del gobierno revisten múltiples formas, pudiendo variar tanto en la naturaleza de la ayuda proporcionada como en las condiciones requeridas para su concesión. El propósito de estas ayudas puede ser el de incentivar a la entidad para emprender una determinada acción, que normalmente no hubiera emprendido de no contar con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Para la entidad, el hecho de recibir ayudas gubernamentales puede ser significativo, al objeto de la preparación de los estados financieros, por dos razones. En primer lugar, si los recursos han sido transferidos, debe encontrarse un método apropiado de contabilización para la transferencia. En segundo lugar, es deseable proporcionar una indicación de la medida en la cual la entidad se ha beneficiado de las ayudas durante el periodo sobre el que se informa. Todo ello facilita la comparación de los estados financieros de la entidad con los de otros periodos anteriores, e incluso con los de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Las subvenciones del gobierno son, a veces, conocidas con otros nombres, tales, como subsidios, transferencias o primas.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Subvenciones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Las subvenciones del gobierno, incluyendo las de carácter no monetario por su valor razonable, no deberán ser reconocidas hasta que no exista una razonable seguridad de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cumplirá con las condiciones ligadas a ellas;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recibirán las subvenciones.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subvención del gobierno no será reconocida como tal hasta que exista una razonable seguridad de que la entidad cumplirá las condiciones asociadas a ella, y que, por tanto, la recibirá en la forma predeterminada. El mero hecho de recibir la subvención no constituye una evidencia concluyente de que las condiciones asociadas a la misma han sido o serán cumplidas.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forma concreta de recepción de la subvención no afecta al método contable a adoptar en relación con la misma. Así, la subvención se contabiliza de igual manera ya sea recibida en efectivo o como disminución de una deuda mantenida con 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Un préstamo condonable, proveniente del sector público, se trata como una subvención cuando existe razonable seguridad de que la entidad cumplirá los términos exigidos para la condonación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10A El beneficio de un préstamo del gobierno a una tasa de interés inferior a la del mercado se tratará como una subvención del gobierno. El préstamo se reconocerá y medirá de acuerdo con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El beneficio de la tasa de interés inferior a la del mercado se medirá como la diferencia entre el importe en libros inicial del préstamo determinado conforme a la NIIF 9 y el importe recibido. El beneficio se contabilizará de acuerdo con esta Norma. Al identificar los costos que pretenden compensar los beneficios del préstamo, la entidad tendrá en cuenta las condiciones y obligaciones que hayan sido cumplidas, o deban cumplirse.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Una vez reconocida la subvención del gobierno, todo eventual activo contingente o pasivo contingente relacionados con ella sería tratada de acuerdo con la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Las subvenciones del gobierno se reconocerán en resultados sobre una base sistemática a lo largo de los periodos en los que la entidad reconozca como gasto los costos relacionados que la subvención pretende compensar.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Existen dos métodos para contabilizar las subvenciones del gobierno: el método del capital, en el que las subvenciones se reconocerán fuera del resultado del periodo, y el método de la renta, que reconoce las subvenciones en el resultado de uno o más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Aquéllos que defienden el método del capital argumentan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subvenciones del gobierno son un recurso financiero, y deben tratarse como tales en el estado de situación financiera, en vez de reconocerse en el resultado del periodo para compensar las partidas de gastos que financian. Puesto que no se espera su devolución, estas subvenciones deben reconocerse fuera del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Resulta inapropiado reconocer las subvenciones del gobierno en el resultado del periodo, puesto que no han sido generadas por la entidad, sino que representan un incentivo suministrado por el gobierno sin que tengan relación con costo alguno.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Los siguientes son argumentos en defensa del método de la renta: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Puesto que las subvenciones del gobierno se reciben de una fuente distinta a los accionistas, no deben reconocerse directamente en el patrimonio, sino que deben reconocerse en los resultados durante los periodos adecuados.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subvenciones del gobierno raramente son gratuitas. La entidad las obtiene tras cumplir ciertas condiciones y someterse a determinadas obligaciones. Por lo tanto, deben reconocerse a lo largo de los periodos en los que la entidad reconozca como gasto los costos relacionados que la subvención pretende compensar.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Puesto que el impuesto sobre las ganancias y otros tributos son gastos, resulta lógico tratar a las subvenciones del gobierno, que son una extensión de las políticas fiscales,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16 Es fundamental para el método de la renta que las subvenciones del gobierno se reconozcan sobre una base sistemática en el resultado a lo largo de los periodos en los que la entidad reconozca como gasto los costos relacionados que la subvención pretende compensar. El reconocimiento de las subvenciones del gobierno en el resultado en el momento de su cobro, no está de acuerdo con la base contable de la acumulación (o devengo) (véase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y únicamente podría ser aceptable cuando no exista otro criterio para distribuir la subvención entre periodos, distintos de aquél en el que se recibió.</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En la mayoría de los casos, los periodos a lo largo de los que una entidad reconoce los costos o gastos relacionados con la subvención del gobierno se pueden establecer con facilidad. Así, las subvenciones que cubren gastos específicos se contabilizarán en el resultado del mismo periodo que los gastos correspondientes. De forma similar, las subvenciones relacionadas con activos que se amortizan, normalmente se contabilizarán en el resultado de los mismos periodos y en las mismas proporciones en los que se reconozca la depreciación de esos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Las subvenciones relacionadas con activos que no se deprecian pueden requerir también el cumplimiento de ciertas obligaciones, y así, se reconocerán en el resultado de los periodos que soporten los costos necesarios para cumplir con dichas obligaciones. Por ejemplo, una subvención para terrenos puede estar condicionada a la construcción de un edificio en ellos, y podría ser apropiado reconocerla en resultados a lo largo de la vida útil de dicho edificio.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A veces, las subvenciones se reciben como parte de un paquete de ayudas financieras o fiscales, y para conseguirlas es necesario cumplir un cierto número de condiciones. En estos casos, es necesaria la identificación cuidadosa de las condiciones que dan lugar a los costos y gastos, para determinar los periodos sobre los cuales las subvenciones serán imputadas como ingresos. Puede ser apropiado distribuir parte de las subvenciones con arreglo a una base y parte con arreglo a otra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Una subvención del gobierno a recibir en compensación por gastos o pérdidas ya incurridos, o bien con el propósito de prestar apoyo financiero inmediato a la entidad, sin costos posteriores relacionados, se reconocerá en el resultado del periodo en que se convierta en exigible.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En ciertas circunstancias, una subvención del gobierno puede concederse con el propósito de dar apoyo financiero inmediato a una entidad, más que como incentivo para llevar a cabo desembolsos específicos. Estas subvenciones pueden estar destinadas a una entidad en concreto, y no a una categoría concreta de beneficiarios. Estas circunstancias pueden justificar el reconocimiento de las subvenciones en el resultado del periodo en el que la entidad cumpla las condiciones para recibirla, revelando la correspondiente información para asegurar de que su efecto se comprenda claramente.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Una subvención del gobierno puede resultar exigible por una entidad como compensación de gastos o pérdidas incurridos en periodos anteriores. Estas subvenciones se </w:t>
      </w:r>
      <w:r w:rsidRPr="00401DFF">
        <w:rPr>
          <w:rFonts w:ascii="Times New Roman" w:eastAsia="Times New Roman" w:hAnsi="Times New Roman" w:cs="Times New Roman"/>
          <w:sz w:val="24"/>
          <w:szCs w:val="24"/>
          <w:lang w:eastAsia="es-CO"/>
        </w:rPr>
        <w:lastRenderedPageBreak/>
        <w:t>reconocerán en el resultado del periodo en el que sean exigibles, y se revelará la correspondiente información para asegurar que su efecto se comprenda claramente.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Subvenciones no monetarias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Las subvenciones del gobierno pueden tomar la forma de transferencias de activos no monetarios, tales como terrenos u otros recursos, para uso de la entidad. En estas circunstancias, es habitual determinar el valor razonable de cada activo no monetario y contabilizar tanto la subvención como cada activo por el correspondiente valor razonable. En ocasiones se sigue un procedimiento alternativo consistente en recoger las subvenciones y los activos relacionados por importes nominales simbólicos.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de las subvenciones relacionadas con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Las subvenciones del gobierno relacionadas con activos, incluyendo las de carácter no monetario a valor razonable, deberán presentarse, en el estado de situación financiera, bien reconociéndolas como partidas de ingresos diferidos, bien como deducciones del importe en libros de los activos con los que se relacionan.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Se consideran alternativas aceptables para la presentación de subvenciones (o partes apropiadas de las mismas) relacionadas con activos, dos diferentes métodos de presentación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Un método reconoce las subvenciones como ingreso diferido, que se reconoce en resultados sobre una base sistemática a lo largo de la vida útil del correspondiente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El otro método deduce la subvención al calcular el importe en libros del correspondiente activo. La subvención se reconoce en resultados a lo largo de la vida de un activo que se amortiza como una reducción del gasto por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La adquisición de activos y la recepción de las subvenciones relacionadas con ellos, pueden originar importantes movimientos en los flujos de efectivo de la entidad. Por esta razón, y en orden a mostrar la inversión bruta en activos, tales movimientos se revelan con frecuencia como partidas separadas en el estado de flujos de efectivo, con independencia de si las subvenciones se deducen o no de los activos correspondientes, a efectos de su presentación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de las subvenciones relacionadas con los ingresos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Las subvenciones relacionadas con los ingresos se presentan como parte del resultado del periodo ya sea de forma separada o bajo denominaciones generales tales como “Otros ingresos; alternativamente, pueden aparecer como deducciones de los gastos con los que se relacionan.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30 Los que defienden el primer método argumentan que resulta inapropiado compensar ingresos y gastos, y que la separación de las subvenciones y los gastos correspondientes facilita la comparación con otros gastos no afectados por las subvenciones. En favor del segundo método se argumenta que las entidades no habrían incurrido en los gastos en cuestión de no contar con las subvenciones, y, por tanto, la presentación puede resultar equívoca si no se hace compensando gastos y subvenciones.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Uno y otro método se consideran aceptables para la presentación de las subvenciones relacionadas con los ingresos. Para la adecuada comprensión de los estados financieros, puede ser necesario revelar la existencia de las subvenciones. Además, normalmente es adecuado y conveniente revelar el efecto que las subvenciones tienen sobre cualquier partida de ingresos o gastos, en los que se requiera presentación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Devolución de subvenciones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32 Una subvención del gobierno que se convierta en reembolsable se contabilizará como un cambio en una estimación contable (véase la NIC 8 </w:t>
      </w:r>
      <w:r w:rsidRPr="00401DFF">
        <w:rPr>
          <w:rFonts w:ascii="Times New Roman" w:eastAsia="Times New Roman" w:hAnsi="Times New Roman" w:cs="Times New Roman"/>
          <w:b/>
          <w:bCs/>
          <w:i/>
          <w:iCs/>
          <w:sz w:val="24"/>
          <w:szCs w:val="24"/>
          <w:lang w:eastAsia="es-CO"/>
        </w:rPr>
        <w:t>Políticas Contables, Cambios en las Estimaciones Contables y Errores).</w:t>
      </w:r>
      <w:r w:rsidRPr="00401DFF">
        <w:rPr>
          <w:rFonts w:ascii="Times New Roman" w:eastAsia="Times New Roman" w:hAnsi="Times New Roman" w:cs="Times New Roman"/>
          <w:b/>
          <w:bCs/>
          <w:sz w:val="24"/>
          <w:szCs w:val="24"/>
          <w:lang w:eastAsia="es-CO"/>
        </w:rPr>
        <w:t xml:space="preserve"> La devolución de una subvención relacionada con los ingresos, tendrá como contrapartida, en primer lugar, cualquier importe diferido no amortizado contabilizado en relación con la subvención. En la medida en que el reembolso supere la cuantía diferida, o si ésta no existiese, el reembolso se reconocerá inmediatamente en el resultado del periodo. La devolución de una subvención relacionada con un activo, se reconocerá como un aumento del importe en libros del activo, o como una reducción del saldo del ingreso diferido por el importe a reembolsar. La depreciación acumulada adicional que se hubiera reconocido en resultados hasta la fecha, en ausencia de la subvención, se reconocerá inmediatamente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Las circunstancias que han dado lugar al reembolso de subvenciones relacionadas con activos, pueden exigir la consideración de posibles deterioros en los nuevos importes en libros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Ayudas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Si bien excluidas de la definición de subvenciones del gobierno en el párrafo 3, existen ciertas modalidades de ayudas gubernamentales a las que no se les puede asignar razonablemente un valor, y otras en forma de transacciones con el gobierno que no pueden ser distinguidas de las operaciones comerciales normales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Ejemplos de ayudas que no pueden valorarse razonablemente son los servicios de asistencia técnica o comercial, y la prestación de garantías. Un ejemplo de ayuda gubernamental, que no puede ser distinguida de las operaciones comerciales normales de la entidad, es toda política de aprovisionamientos de los gobiernos, que sea la causa directa de una parte de las ventas de la entidad. La existencia de beneficios en tales casos puede ser incuestionable, pero cualquier intento para separar las actividades comerciales de la ayuda gubernamental podría resultar arbitrario.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36 Las peculiaridades del beneficio, en los anteriores ejemplos, pueden requerir revelar información acerca de la naturaleza, alcance y duración de las ayudas, si ello fuera necesario, en orden a la correcta comprensión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Para la presente Norma, las ayudas gubernamentales no incluyen el suministro de infraestructura para mejora de la red de comunicación y transporte, ni la provisión de mejores medios como, por ejemplo, el riego o una red de acequias, siempre que tales facilidades estén disponibles corrientemente para provecho de toda la comunidad local.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Debe revelarse información sobre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políticas contables adoptadas en relación con las subvenciones del gobierno, incluyendo los métodos de presentación adoptados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naturaleza y alcance de las subvenciones del gobierno reconocidas en los estados financieros, así como una indicación de otras modalidades de ayudas gubernamentales, de las que se hayan beneficiado directamente las entidades;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condiciones incumplidas y otras contingencias relacionadas con las ayudas gubernamentales que se hayan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Toda entidad que adopte por primera vez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cumplirá con las exigencias contenidas en ella en cuanto a información a revelar, donde sean aplicables;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u otra de las siguientes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ajustará sus estados financieros por medio de un cambio en las políticas contables, de acuerdo con la NIC 8;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aplicará las disposiciones contables de la Norma solamente a las subvenciones o partes de subvenciones a recibir o reembolsar después de la fecha vigencia en vigor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Esta Norma Internacional de Contabilidad tendrá vigencia para los estados financieros que cubran periodos que comiencen a partir del 1 de enero de 1984.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42 La NIC 1 (revisada en 2007) modificó la terminología utilizada en las NIIF. Además añadió el párrafo 29A.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 Se eliminó el párrafo 37 y se añadió el párrafo 10A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esas modificaciones de forma prospectiva a los préstamos del gobierno recibidos en los periodos que comiencen a partir del 1 de enero de 2009.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La NIIF 9 emitida en octubre de 2010, modificó el párrafo 10A.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La NIIF 13, emitida en mayo de 2011 modificó la definición de valor razonable del párrafo 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46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29 y eliminó el párrafo 29A.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(27) Como parte de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2008 el Consejo modificó la terminología utilizada en esta Norma para ser congruente con las otras NIIF de la forma siguiente: (a) “ingreso imponible” se modificó por “ganancia imponible o pérdida fiscal”, (b) “reconocido como ingreso/gasto” se modificó como “reconocido en el resultado”, (c) “acreditado directamente a participaciones/patrimonio” se modificó por “reconocido fuera del resultado del periodo” y (d) “revisión de una estimación contable” se modificó por “cambio en una estimación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(28) Véase también la Interpretación SIC-10 </w:t>
      </w:r>
      <w:r w:rsidRPr="00401DFF">
        <w:rPr>
          <w:rFonts w:ascii="Times New Roman" w:eastAsia="Times New Roman" w:hAnsi="Times New Roman" w:cs="Times New Roman"/>
          <w:i/>
          <w:iCs/>
          <w:sz w:val="24"/>
          <w:szCs w:val="24"/>
          <w:lang w:eastAsia="es-CO"/>
        </w:rPr>
        <w:t>Ayudas Gubernamentales—Sin Relación Específica con Actividades de Operación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Efectos de las Variaciones en las Tasas de Cambio de la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Una entidad puede llevar a cabo actividades en el extranjero de dos maneras diferentes. Puede realizar transacciones en moneda extranjera o bien puede tener negocios en el extranjero. Además, la entidad puede presentar sus estados financieros en una moneda extranjera. El objetivo de esta Norma es prescribir cómo se incorporan, en los estados financieros de una entidad, las transacciones en moneda extranjera y los negocios en el extranjero, y cómo convertir los estados financieros a la moneda de presentación elegida.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 Los principales problemas que se presentan son la tasa o tasas de cambio a utilizar, así como la manera de informar sobre los efectos de las variaciones en las tasas de cambio dentro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Esta Norma se aplicará</w:t>
      </w:r>
      <w:hyperlink r:id="rId34" w:anchor="bf121a532784d5e46778a3c6a2e53058e34nf9" w:tgtFrame="_self" w:history="1">
        <w:r w:rsidRPr="00401DFF">
          <w:rPr>
            <w:rFonts w:ascii="Times New Roman" w:eastAsia="Times New Roman" w:hAnsi="Times New Roman" w:cs="Times New Roman"/>
            <w:color w:val="0000FF"/>
            <w:sz w:val="20"/>
            <w:szCs w:val="20"/>
            <w:u w:val="single"/>
            <w:vertAlign w:val="superscript"/>
            <w:lang w:eastAsia="es-CO"/>
          </w:rPr>
          <w:t>(1)</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al contabilizar las transacciones y saldos en moneda extranjera, excepto las transacciones y saldos con derivados que estén dentro del alcance de la NIIF 9 </w:t>
      </w:r>
      <w:r w:rsidRPr="00401DFF">
        <w:rPr>
          <w:rFonts w:ascii="Times New Roman" w:eastAsia="Times New Roman" w:hAnsi="Times New Roman" w:cs="Times New Roman"/>
          <w:b/>
          <w:bCs/>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al convertir los resultados y la situación financiera de los negocios en el extranjero que se incluyan en los estados financieros de la entidad, ya sea por consolidación o por el método de la participación;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al convertir los resultados y la situación financiera de la entidad en una moneda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NIIF 9 se aplicará a muchos derivados en moneda extranjera y, por tanto, éstos quedan excluidos del alcance de esta Norma. No obstante, aquellos derivados en moneda extranjera que no están dentro del alcance de la NIIF 9 (por ejemplo, ciertos derivados en moneda extranjera implícitos en otros contratos), entran dentro del alcance de esta Norma. Además, esta Norma se aplica cuando la entidad convierte los importes relacionados con derivados desde su moneda funcional a la moneda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Norma no se aplica a la contabilidad de coberturas para partidas en moneda extranjera, incluyendo la cobertura de la inversión neta en un negocio en el extranjero. La contabilidad de coberturas se trata en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Esta Norma se aplica a la presentación de los estados financieros de una entidad en una moneda extranjera, y establece los requisitos para que los estados financieros resultantes puedan ser calificados como conformes con las Normas Internacionales de Información Financiera (NIIF). También se especifica la información a revelar, en el caso de conversión de información financiera a una moneda extranjera que no cumpla los anteriores requerimientos.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Esta Norma no se aplicará a la presentación, dentro del estado de flujos de efectivo, de los flujos de efectivo que se deriven de transacciones en moneda extranjera, ni de la conversión de los flujos de efectivo de los negocios en el extranjero (véase la NIC 7 </w:t>
      </w:r>
      <w:r w:rsidRPr="00401DFF">
        <w:rPr>
          <w:rFonts w:ascii="Times New Roman" w:eastAsia="Times New Roman" w:hAnsi="Times New Roman" w:cs="Times New Roman"/>
          <w:i/>
          <w:iCs/>
          <w:sz w:val="24"/>
          <w:szCs w:val="24"/>
          <w:lang w:eastAsia="es-CO"/>
        </w:rPr>
        <w:t>Estado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 xml:space="preserve">Tasa de cambio de cierre </w:t>
      </w:r>
      <w:r w:rsidRPr="00401DFF">
        <w:rPr>
          <w:rFonts w:ascii="Times New Roman" w:eastAsia="Times New Roman" w:hAnsi="Times New Roman" w:cs="Times New Roman"/>
          <w:b/>
          <w:bCs/>
          <w:sz w:val="24"/>
          <w:szCs w:val="24"/>
          <w:lang w:eastAsia="es-CO"/>
        </w:rPr>
        <w:t>es la tasa de cambio de contado existente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Diferencia de cambio</w:t>
      </w:r>
      <w:r w:rsidRPr="00401DFF">
        <w:rPr>
          <w:rFonts w:ascii="Times New Roman" w:eastAsia="Times New Roman" w:hAnsi="Times New Roman" w:cs="Times New Roman"/>
          <w:b/>
          <w:bCs/>
          <w:sz w:val="24"/>
          <w:szCs w:val="24"/>
          <w:lang w:eastAsia="es-CO"/>
        </w:rPr>
        <w:t xml:space="preserve"> es la que surge al convertir un determinado número de unidades de una moneda a otra moneda, utilizando tasas de cambio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Tasa de cambio </w:t>
      </w:r>
      <w:r w:rsidRPr="00401DFF">
        <w:rPr>
          <w:rFonts w:ascii="Times New Roman" w:eastAsia="Times New Roman" w:hAnsi="Times New Roman" w:cs="Times New Roman"/>
          <w:b/>
          <w:bCs/>
          <w:sz w:val="24"/>
          <w:szCs w:val="24"/>
          <w:lang w:eastAsia="es-CO"/>
        </w:rPr>
        <w:t>es la relación de cambio entre dos monedas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Moneda extranjera</w:t>
      </w:r>
      <w:r w:rsidRPr="00401DFF">
        <w:rPr>
          <w:rFonts w:ascii="Times New Roman" w:eastAsia="Times New Roman" w:hAnsi="Times New Roman" w:cs="Times New Roman"/>
          <w:b/>
          <w:bCs/>
          <w:sz w:val="24"/>
          <w:szCs w:val="24"/>
          <w:lang w:eastAsia="es-CO"/>
        </w:rPr>
        <w:t xml:space="preserve"> (o divisa) es cualquier otra distinta de la moneda funcional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Negocio en el extranjero</w:t>
      </w:r>
      <w:r w:rsidRPr="00401DFF">
        <w:rPr>
          <w:rFonts w:ascii="Times New Roman" w:eastAsia="Times New Roman" w:hAnsi="Times New Roman" w:cs="Times New Roman"/>
          <w:b/>
          <w:bCs/>
          <w:sz w:val="24"/>
          <w:szCs w:val="24"/>
          <w:lang w:eastAsia="es-CO"/>
        </w:rPr>
        <w:t xml:space="preserve"> es toda entidad subsidiaria, asociada, acuerdo conjunto o sucursal de la entidad que informa, cuyas actividades están basadas o se llevan a cabo en un país o moneda distintos a los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Moneda funcional</w:t>
      </w:r>
      <w:r w:rsidRPr="00401DFF">
        <w:rPr>
          <w:rFonts w:ascii="Times New Roman" w:eastAsia="Times New Roman" w:hAnsi="Times New Roman" w:cs="Times New Roman"/>
          <w:b/>
          <w:bCs/>
          <w:sz w:val="24"/>
          <w:szCs w:val="24"/>
          <w:lang w:eastAsia="es-CO"/>
        </w:rPr>
        <w:t xml:space="preserve"> es la moneda del entorno económico principal en el que opera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Un grupo</w:t>
      </w:r>
      <w:r w:rsidRPr="00401DFF">
        <w:rPr>
          <w:rFonts w:ascii="Times New Roman" w:eastAsia="Times New Roman" w:hAnsi="Times New Roman" w:cs="Times New Roman"/>
          <w:b/>
          <w:bCs/>
          <w:sz w:val="24"/>
          <w:szCs w:val="24"/>
          <w:lang w:eastAsia="es-CO"/>
        </w:rPr>
        <w:t xml:space="preserve"> es una controladora y todas sus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Partidas monetarias</w:t>
      </w:r>
      <w:r w:rsidRPr="00401DFF">
        <w:rPr>
          <w:rFonts w:ascii="Times New Roman" w:eastAsia="Times New Roman" w:hAnsi="Times New Roman" w:cs="Times New Roman"/>
          <w:b/>
          <w:bCs/>
          <w:sz w:val="24"/>
          <w:szCs w:val="24"/>
          <w:lang w:eastAsia="es-CO"/>
        </w:rPr>
        <w:t xml:space="preserve"> son unidades monetarias mantenidas en efectivo, así como activos y pasivos que se van a recibir o pagar, mediante una cantidad fija o determinable de unidades monetarias.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Inversión neta en un negocio en el extranjero</w:t>
      </w:r>
      <w:r w:rsidRPr="00401DFF">
        <w:rPr>
          <w:rFonts w:ascii="Times New Roman" w:eastAsia="Times New Roman" w:hAnsi="Times New Roman" w:cs="Times New Roman"/>
          <w:b/>
          <w:bCs/>
          <w:sz w:val="24"/>
          <w:szCs w:val="24"/>
          <w:lang w:eastAsia="es-CO"/>
        </w:rPr>
        <w:t xml:space="preserve"> es el importe que corresponde a la participación de la entidad que presenta sus estados financieros, en los activos netos del citado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Moneda de presentación </w:t>
      </w:r>
      <w:r w:rsidRPr="00401DFF">
        <w:rPr>
          <w:rFonts w:ascii="Times New Roman" w:eastAsia="Times New Roman" w:hAnsi="Times New Roman" w:cs="Times New Roman"/>
          <w:b/>
          <w:bCs/>
          <w:sz w:val="24"/>
          <w:szCs w:val="24"/>
          <w:lang w:eastAsia="es-CO"/>
        </w:rPr>
        <w:t>es la moneda en que se presentan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Tasa de cambio de contado</w:t>
      </w:r>
      <w:r w:rsidRPr="00401DFF">
        <w:rPr>
          <w:rFonts w:ascii="Times New Roman" w:eastAsia="Times New Roman" w:hAnsi="Times New Roman" w:cs="Times New Roman"/>
          <w:b/>
          <w:bCs/>
          <w:sz w:val="24"/>
          <w:szCs w:val="24"/>
          <w:lang w:eastAsia="es-CO"/>
        </w:rPr>
        <w:t xml:space="preserve"> es la tasa de cambio utilizado en las transacciones con entrega inmediata.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Desarrollo de las 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Moneda funcional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El entorno económico principal en el que opera la entidad es, normalmente, aquél en el que ésta genera y emplea el efectivo. Para determinar su moneda funcional, la entidad considerará los siguientes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que influya fundamentalmente en los precios de venta de los bienes y servicios (con frecuencia será la moneda en la cual se denominen y liquiden los precios de venta de sus bienes y servicios);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del país cuyas fuerzas competitivas y regulaciones determinen fundamentalmente los precios de venta de sus bienes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moneda que influya fundamentalmente en los costos de la mano de obra, de los materiales y de otros costos de producir los bienes o suministrar los servicios (con frecuencia será la moneda en la cual se denominen y liquiden tales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Los siguientes factores también pueden suministrar evidencia acerca de la moneda funcional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moneda en la cual se generan los fondos de las actividades de financiación (esto es, la que corresponde a los instrumentos de deuda y patrimonio emitidos).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moneda en que se mantienen los importes cobrados por las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Se considerarán, además, los siguientes factores al determinar la moneda funcional de un negocio en el extranjero, así como al decidir si esta moneda funcional es la misma que la correspondiente a la entidad que informa (en este contexto, la entidad que informa es la que tiene al negocio en el extranjero como subsidiaria, sucursal, asociada o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las actividades del negocio en el extranjero se llevan a cabo como una extensión de la entidad que informa, en lugar de hacerlo con un grado significativo de autonomía. Un ejemplo de la primera situación descrita es cuando el negocio en el extranjero sólo vende bienes importados de la entidad que informa, y remite a la misma los importes obtenidos. Un ejemplo de la segunda situación descrita se produce cuando el negocio acumula efectivo y otras partidas monetarias, incurre en gastos, genera ingresos y toma préstamos utilizando, sustancialmente, su moneda local.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las transacciones con la entidad que informa constituyen una proporción alta o baja de las actividades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los flujos de efectivo de las actividades del negocio en el extranjero afectan directamente a los flujos de efectivo de la entidad que informa, y están disponibles para ser remitidos a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los flujos de efectivo de las actividades del negocio en el extranjero son suficientes para atender las obligaciones por deudas actuales y esperadas, en el curso normal de la actividad, sin que la entidad que informa deba poner fondos 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 Cuando los indicadores descritos arriba sean contradictorios, y no resulte obvio cuál es la moneda funcional, la gerencia empleará su juicio para determinar la moneda funcional que más fielmente represente los efectos económicos de las transacciones, sucesos y </w:t>
      </w:r>
      <w:r w:rsidRPr="00401DFF">
        <w:rPr>
          <w:rFonts w:ascii="Times New Roman" w:eastAsia="Times New Roman" w:hAnsi="Times New Roman" w:cs="Times New Roman"/>
          <w:sz w:val="24"/>
          <w:szCs w:val="24"/>
          <w:lang w:eastAsia="es-CO"/>
        </w:rPr>
        <w:lastRenderedPageBreak/>
        <w:t>condiciones subyacentes. Como parte de este proceso, la gerencia concederá prioridad a los indicadores fundamentales del párrafo 9, antes de tomar en consideración los indicadores de los párrafos 10 y 11, que han sido diseñados para suministrar evidencia adicional que apoye la determinación de la moneda funcional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La moneda funcional de la entidad reflejará las transacciones, sucesos y condiciones que subyacen y son relevantes para la misma. Por consiguiente, una vez escogida la moneda funcional, no se cambiará a menos que se produzca un cambio en tales transacciones, sucesos o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Si la moneda funcional es la moneda de una economía hiperinflacionaria, los estados financieros de la entidad serán reexpresados de acuerdo con la NIC 29 </w:t>
      </w:r>
      <w:r w:rsidRPr="00401DFF">
        <w:rPr>
          <w:rFonts w:ascii="Times New Roman" w:eastAsia="Times New Roman" w:hAnsi="Times New Roman" w:cs="Times New Roman"/>
          <w:i/>
          <w:iCs/>
          <w:sz w:val="24"/>
          <w:szCs w:val="24"/>
          <w:lang w:eastAsia="es-CO"/>
        </w:rPr>
        <w:t>Información Financiera en Economías Hiperinflacionarias</w:t>
      </w:r>
      <w:r w:rsidRPr="00401DFF">
        <w:rPr>
          <w:rFonts w:ascii="Times New Roman" w:eastAsia="Times New Roman" w:hAnsi="Times New Roman" w:cs="Times New Roman"/>
          <w:sz w:val="24"/>
          <w:szCs w:val="24"/>
          <w:lang w:eastAsia="es-CO"/>
        </w:rPr>
        <w:t>. La entidad no podrá evitar la reexpresión de acuerdo con la NIC 29, por ejemplo, adoptando como moneda funcional una moneda diferente de la que hubiera determinado aplicando esta Norma (tal como la moneda funcional de su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Inversión neta en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Una entidad puede tener una partida monetaria que ha de cobrar o pagar al negocio en el extranjero. Si la liquidación de esa partida no está contemplada, ni es probable que se produzca, en un futuro previsible, la partida es, en esencia, una parte de la inversión neta de la entidad en ese negocio en el extranjero, y se contabilizará de acuerdo con los párrafos 32 y 33. Entre estas partidas monetarias pueden estar incluidos préstamos o partidas a cobrar a largo plazo. No se incluyen las cuentas de deudores o acreedores comerciales.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15A Una entidad que tiene una partida monetaria por cobrar o por pagar a un negocio en el extranjero descrito en el párrafo 15 puede ser cualquier subsidiaria del grupo. Por ejemplo, una entidad tiene dos subsidiarias, A y B. La Subsidiaria B es un negocio en el extranjero. La Subsidiaria A concede un préstamo a la Subsidiaria B. El préstamo por cobrar por A de la Subsidiaria B sería parte de la inversión neta de la entidad en la Subsidiaria B si el pago del préstamo no estuviera planeado ni fuese probable que ocurriera en el futuro previsible. Esto también sería cierto si la Subsidiaria A fuera en sí misma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monetarias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La característica esencial de una partida monetaria es el derecho a recibir (o la obligación de entregar) una cantidad fija o determinable de unidades monetarias. Entre los ejemplos se incluyen: pensiones y otros beneficios a empleados que se pagan en efectivo; suministros que se liquidan en efectivo y dividendos en efectivo que se hayan reconocido como pasivos. Asimismo, serán partidas monetarias los contratos para recibir (o entregar) un número variable de instrumentos de patrimonio propios de la entidad o una cantidad variable de activos, en los cuales el valor razonable a recibir (o entregar) por ese contrato sea igual a una suma fija o determinable de unidades monetarias. Por el contrario, la característica esencial de una partida no monetaria es la ausencia de un derecho a recibir (o una obligación de entregar) una cantidad fija o determinable de unidades monetarias. Entre los ejemplos se incluyen: importes pagados por anticipado de bienes y servicios (por </w:t>
      </w:r>
      <w:r w:rsidRPr="00401DFF">
        <w:rPr>
          <w:rFonts w:ascii="Times New Roman" w:eastAsia="Times New Roman" w:hAnsi="Times New Roman" w:cs="Times New Roman"/>
          <w:sz w:val="24"/>
          <w:szCs w:val="24"/>
          <w:lang w:eastAsia="es-CO"/>
        </w:rPr>
        <w:lastRenderedPageBreak/>
        <w:t>ejemplo, cuotas anticipadas en un alquiler); la plusvalía; activos intangibles; inventarios; propiedades, planta y equipo; así como los suministros que se liquidan mediante la entrega de un activo no monetario.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Resumen del enfoque requerido por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Al preparar los estados financieros, cada entidad —ya sea una entidad aislada, una entidad con negocios en el extranjero (tal como una controladora) o un negocio en el extranjero (tal como una subsidiaria o sucursal)— determinará su moneda funcional de acuerdo con los párrafos 9 a 14. La entidad convertirá las partidas en moneda extranjera a la moneda funcional, e informará de los efectos de esta conversión, de acuerdo con los párrafos 20 a 37 y 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Muchas entidades que presentan estados financieros están compuestas por varias entidades individuales (por ejemplo, un grupo está formado por una controladora y una o más subsidiarias). Algunos tipos de entidades, sean o no miembros de un grupo, pueden tener inversiones en asociadas o acuerdos conjuntos. También pueden tener sucursales. Es necesario que los resultados y la situación financiera de cada entidad individual, incluida en la entidad que informa, se conviertan a la moneda en la que esta entidad presenta sus estados financieros. Esta Norma permite a la entidad que informa utilizar cualquier moneda (o monedas) para presentar sus estados financieros. Los resultados y la situación financiera de cada entidad individual que forme parte de la entidad que informa, pero cuya moneda funcional sea diferente de la moneda de presentación, se convertirán de acuerdo con los párrafos 38 a 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19 Esta Norma permite asimismo, a una entidad aislada que prepare estados financieros, o bien a una entidad que prepare estados financieros separados de acuerdo con la NIC 27 </w:t>
      </w:r>
      <w:r w:rsidRPr="00401DFF">
        <w:rPr>
          <w:rFonts w:ascii="Times New Roman" w:eastAsia="Times New Roman" w:hAnsi="Times New Roman" w:cs="Times New Roman"/>
          <w:i/>
          <w:iCs/>
          <w:sz w:val="24"/>
          <w:szCs w:val="24"/>
          <w:lang w:eastAsia="es-CO"/>
        </w:rPr>
        <w:t>Estados Financieros Separados,</w:t>
      </w:r>
      <w:r w:rsidRPr="00401DFF">
        <w:rPr>
          <w:rFonts w:ascii="Times New Roman" w:eastAsia="Times New Roman" w:hAnsi="Times New Roman" w:cs="Times New Roman"/>
          <w:sz w:val="24"/>
          <w:szCs w:val="24"/>
          <w:lang w:eastAsia="es-CO"/>
        </w:rPr>
        <w:t xml:space="preserve"> utilizar cualquier moneda (o monedas) para presentar sus estados financieros. Si la moneda de presentación utilizada por la entidad es distinta de su moneda funcional, sus resultados y su situación financiera se convertirán a la moneda de presentación de acuerdo con los párrafos 38 a 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en moneda funcional, sobre las transacciones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Una transacción en moneda extranjera es toda transacción cuyo importe se denomina, o exige su liquidación, en una moneda extranjera, entre las que se incluyen aquéllas en que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compra o vende bienes o servicios cuyo precio se denomina en una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presta o toma prestados fondos, si los importes correspondientes se establecen a cobrar o pagar en una moneda extranjera;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adquiere o dispone de activos, o bien incurre o liquida pasivos, siempre que estas operaciones se hayan denominado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21 Toda transacción en moneda extranjera se registrará, en el momento de su reconocimiento inicial, utilizando la moneda funcional, mediante la aplicación al importe en moneda extranjera, de la tasa de cambio de contado a la fecha de la transacción entre la moneda funcional y la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 fecha de una transacción es la fecha en la cual dicha transacción cumple las condiciones para su reconocimiento, de acuerdo con las NIIF. Por razones de orden práctico, se utiliza a menudo un tasa de cambio aproximado al existente en el momento de realizar la transacción, por ejemplo, puede utilizarse el correspondiente tipo promedio semanal o mensual, para todas las transacciones que tengan lugar en ese intervalo de tiempo, en cada una de las clases de moneda extranjera usadas por la entidad. Sin embargo, cuando las tasas de cambio varían de forma significativa, resultará inadecuado el uso de la tasa promedio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al final de los periodos posteriores sobre los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Al final de cada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partidas monetarias en moneda extranjera se convertirán utilizando la tasa de cambio de cierre;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partidas no monetarias en moneda extranjera, que se midan en términos de costo histórico, se convertirán utilizando la tasa de cambio en la fecha de la transacción;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partidas no monetarias que se midan al valor razonable en una moneda extranjera, se convertirán utilizando las tasas de cambio de la fecha en que se mide este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Para determinar el importe en libros de una partida se tendrán en cuenta además, las otras Normas que sean de aplicación. Por ejemplo, las propiedades, planta y equipo pueden ser medidas en términos de valor razonable o costo histórico, de acuerdo con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Con independencia de si se ha determinado el importe en libros utilizando el costo histórico o el valor razonable, siempre que dicho importe se haya establecido en moneda extranjera, se convertirá a la moneda funcional utilizando las reglas establecidas en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El importe en libros de algunas partidas se determina comparando dos o más importes distintos. Por ejemplo, el importe en libros de los inventarios es el menor entre el costo y el valor neto realizable, de acuerdo con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De forma similar, y de acuerdo con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el importe en libros de un activo, para el que exista un indicio de deterioro, es el menor entre su importe en libros, anterior a la consideración de las posibles pérdidas por ese deterioro, y su importe recuperable. Cuando </w:t>
      </w:r>
      <w:r w:rsidRPr="00401DFF">
        <w:rPr>
          <w:rFonts w:ascii="Times New Roman" w:eastAsia="Times New Roman" w:hAnsi="Times New Roman" w:cs="Times New Roman"/>
          <w:sz w:val="24"/>
          <w:szCs w:val="24"/>
          <w:lang w:eastAsia="es-CO"/>
        </w:rPr>
        <w:lastRenderedPageBreak/>
        <w:t>la partida en cuestión sea un activo no monetario, medido en una moneda extranjera, el importe en libros se determinará comparando: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costo o importe en libros, según lo que resulte apropiado, convertidos a la tasa de cambio en la fecha de determinación de ese importe (por ejemplo, a la tasa de cambio a la fecha de la transacción para una partida que se mida en términos de costo histórico),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neto realizable o el importe recuperable, según lo que resulte apropiado, convertido a la tasa de cambio en la fecha de determinación de ese valor (por ejemplo, a la tasa de cambio de cierre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efecto de esta comparación puede dar lugar al reconocimiento de una pérdida por deterioro en la moneda funcional, que podría no ser objeto de reconocimiento en la moneda extranjera, o viceversa.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Cuando se disponga de varios tipos de cambio, se utilizará aquél en el que pudieran ser liquidados los flujos futuros de efectivo representados por la transacción o el saldo considerado, si tales flujos hubieran ocurrido en la fecha de la medición. Cuando se haya perdido temporalmente la posibilidad de negociar dos monedas en condiciones de mercado, la tasa a utilizar será la primera que se fije en una fecha posterior, en la que se puedan negociar las divisas en las condiciones citadas.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las diferencias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Como se ha señalado en los párrafos 3(a) y 5, la norma aplicable a la contabilización de coberturas en moneda extranjera es la NIC 39. La aplicación de la contabilidad de coberturas requiere que la entidad contabilice algunas diferencias de cambio de una manera diferente al tratamiento establecido en esta Norma. Por ejemplo, la NIC 39 requiere que, en una cobertura de flujo de efectivo, las diferencias de cambio de las partidas monetarias que cumplan las condiciones para ser instrumentos de cobertura, se contabilicen inicialmente en otro resultado integral, en la medida en que esta cobertura sea efectiva.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Las diferencias de cambio que surjan al liquidar las partidas monetarias, o al convertir las partidas monetarias a tipos diferentes de los que se utilizaron para su reconocimiento inicial, ya se hayan producido durante el periodo o en estados financieros previos, se reconocerán en los resultados del periodo en el que aparezcan, con las excepciones descritas en el párrafo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Aparecerá una diferencia de cambio cuando se tengan partidas monetarias como consecuencia de una transacción en moneda extranjera, y se haya producido una variación en la tasa de cambio entre la fecha de la transacción y la fecha de liquidación. Cuando la transacción se liquide en el mismo periodo contable en el que haya ocurrido, toda la diferencia de cambio se reconocerá en ese periodo. No obstante, cuando la transacción se liquide en un periodo contable posterior, la diferencia de cambio reconocida en cada uno de los periodos, hasta la fecha de liquidación, se determinará a partir de la variación que se haya producido en las tasas de cambio durante cada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30 Cuando se reconozca en otro resultado integral una pérdida o ganancia derivada de una partida no monetaria, cualquier diferencia de cambio, incluida en esa pérdida o ganancia, también se reconocerá en otro resultado integral. Por el contrario, cuando la pérdida o ganancia, derivada de una partida no monetaria, sea reconocida en los resultados del periodo, cualquier diferencia de cambio, incluida en esta pérdida o ganancia, también se reconocerá en los resultados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Otras NIIF requieren el reconocimiento de algunas pérdidas o ganancias en otro resultado integral. Por ejemplo, la NIC 16 requiere el reconocimiento en otro resultado integral de algunas pérdidas o ganancias surgidas por la revaluación de las propiedades, planta y equipo. Cuando estos activos se midan en moneda extranjera, el apartado (c) del párrafo 23 de esta Norma requiere que el importe revaluado sea convertido utilizando la tasa a la fecha en que se determine el nuevo valor, lo que producirá una diferencia de cambio a reconocer también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Las diferencias de cambio surgidas en una partida monetaria que forme parte de la inversión neta en un negocio extranjero de la entidad que informa (véase el párrafo 15), se reconocerán en los resultados de los estados financieros separados de la entidad que informa, o bien en los estados financieros individuales del negocio en el extranjero, según resulte apropiado. En los estados financieros que contengan al negocio en el extranjero y a la entidad que informa (por ejemplo, los estados financieros consolidados si el negocio en el extranjero es una subsidiaria), estas diferencias de cambio se reconocerán inicialmente en otro resultado integral, y reclasificadas de patrimonio a resultados cuando se realice la disposición del negocio en el extranjero, de acuerdo con el párrafo 48.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Cuando una partida monetaria forme parte de la inversión neta realizada por la entidad que informa en un negocio en el extranjero, y esté denominada en la moneda funcional de la entidad que informa, puede aparecer una diferencia de cambio en los estados financieros individuales del negocio en el extranjero, en función de la situación descrita en el párrafo 28. Si esta partida estuviese denominada en la moneda funcional del negocio en el extranjero, la diferencia de cambio, por la situación descrita en el citado párrafo 28, aparecería en los estados financieros separados de la entidad que informa. Si tal partida está denominada en una moneda diferente a la moneda funcional de la entidad que informa o del negocio en el extranjero, de acuerdo con el párrafo 28 surge una diferencia de cambio en los estados financieros separados de la entidad que informa y en los estados financieros individuales del negocio en el extranjero. Estas diferencias de cambio serán reconocidas en otro resultado integral, en los estados financieros que contienen al negocio en el extranjero y a la entidad que informa (es decir, en los estados financieros donde el negocio en el extranjero se encuentre consolidado o contabilizado según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Cuando la entidad lleve sus registros y libros contables en una moneda diferente de su moneda funcional, y proceda a elaborar sus estados financieros, convertirá todos los importes a la moneda funcional, de acuerdo con lo establecido en los párrafos 20 a 26. Como resultado de lo anterior, se obtendrán los mismos importes, en términos de moneda funcional, que se hubieran obtenido si las partidas se hubieran registrado originalmente en dicha moneda funcional. Por ejemplo, las partidas monetarias se convertirán a la moneda </w:t>
      </w:r>
      <w:r w:rsidRPr="00401DFF">
        <w:rPr>
          <w:rFonts w:ascii="Times New Roman" w:eastAsia="Times New Roman" w:hAnsi="Times New Roman" w:cs="Times New Roman"/>
          <w:sz w:val="24"/>
          <w:szCs w:val="24"/>
          <w:lang w:eastAsia="es-CO"/>
        </w:rPr>
        <w:lastRenderedPageBreak/>
        <w:t>funcional utilizando las tasas de cambio de cierre, y las partidas no monetarias, que se midan al costo histórico, se convertirán utilizando la tasa de cambio correspondiente a la fecha de la transacción que originó su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 de moneda funcional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Cuando se produzca un cambio de moneda funcional en la entidad, ésta aplicará los procedimientos de conversión que sean aplicables a la nueva moneda funcional de forma prospectiva, desde la fecha del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Como se ha señalado en el párrafo 13, la moneda funcional de la entidad ha de reflejar las transacciones, sucesos y condiciones que subyacen y son relevantes para la misma. Por consiguiente, una vez que se haya determinado la moneda funcional, sólo podrá cambiarse si se modifican las mismas. Por ejemplo, un cambio en la moneda, que influya de forma determinante en los precios de venta de los bienes y servicios, podría inducir un cambio en la moneda funcional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El efecto de un cambio de moneda funcional se contabilizará de forma prospectiva. En otras palabras, la entidad convertirá todas las partidas a la nueva moneda funcional utilizando la tasa de cambio a la fecha en que se produzca aquél. Los importes resultantes ya convertidos, en el caso de partidas no monetarias, se considerarán como sus correspondientes costos históricos. Las diferencias de cambio procedentes de la conversión de un negocio en el extranjero, que se hubieran clasificado anteriormente en otro resultado global de acuerdo con los párrafos 32 y 39(c), no se reclasificarán de patrimonio al resultado hasta la disposición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Utilización de una moneda de presentación distinta de la moneda funcional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Conversión a la moneda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La entidad puede presentar sus estados financieros en cualquier moneda (o monedas). Si la moneda de presentación difiere de la moneda funcional de la entidad, ésta deberá convertir sus resultados y situación financiera a la moneda de presentación elegida. Por ejemplo, cuando un grupo está formado por entidades individuales con monedas funcionales diferentes, habrá de expresar los resultados y la situación financiera de cada entidad en una moneda común, a fin de presentar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Los resultados y la situación financiera de una entidad, cuya moneda funcional no se corresponda con la moneda de una economía hiperinflacionaria, serán convertidos a la moneda de presentación, en caso de que ésta fuese diferente, utilizando los siguientes procedimientos: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activos y pasivos de cada uno de los estados de situación financiera presentados (es decir, incluyendo las cifras comparativas), se convertirán a la tasa de cambio de cierre en la fecha del correspondiente estados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los ingresos y gastos para cada estado que presente el resultado del periodo y otro resultado integral (es decir, incluyendo las cifras comparativas), se convertirán a las tasas de cambio de la fecha de las transacciones;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todas las diferencias de cambio resultantes se reconocerán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Con frecuencia, para la conversión de las partidas de ingresos y gastos, se utiliza por razones prácticas un tipo aproximado, representativo de los cambios existentes en las fechas de las transacciones, como puede ser la tasa de cambio promedio del periodo. Sin embargo, cuando las tasas de cambio varían de forma significativa, resultará inadecuado el uso de la tasa promedio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Las diferencias de cambio a las que se refiere el párrafo 39(c) proceden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conversión de los gastos e ingresos a las tasas de cambio de las fechas de las transacciones, y la de los activos y pasivos a la tasa de cambio de cierre.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conversión del activo neto inicial a una tasa de cambio de cierre que sea diferente de la tasa utilizada en el cierre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Estas diferencias de cambio no se reconocen en el resultado porque las variaciones de las tasas de cambio tienen un efecto directo pequeño o nulo en los flujos de efectivo presentes y futuros derivados de las actividades. El importe acumulado de las diferencias de cambio se presenta en un componente separado del patrimonio hasta la disposición del negocio en el extranjero. Cuando las citadas diferencias de cambio se refieren a un negocio en el extranjero que se consolida, no está participado en su totalidad, las diferencias de cambio acumuladas surgidas de la conversión que sean atribuibles a las participaciones no controladoras, se atribuyen a la misma y se reconocen como parte de las participaciones no controladoras en el estado consolidado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Los resultados y situación financiera de una entidad, cuya moneda funcional es la correspondiente a una economía hiperinflacionaria, se convertirán a una moneda de presentación diferente utilizando los siguientes procedimientos: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todos los importes (es decir, activos, pasivos, partidas del patrimonio, gastos e ingresos, incluyendo también las cifras comparativas correspondientes) se convertirán a la tasa de cambio de cierre correspondiente a la fecha de cierre del estado de situación financiera más reciente, excepto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importes sean convertidos a la moneda de una economía no hiperinflacionaria, en cuyo caso las cifras comparativas serán las que fueron presentadas como importes corrientes del año en cuestión, dentro de los estados financieros del periodo precedente (es decir, estos importes no se ajustarán por las variaciones posteriores que se hayan producido en el nivel de precios o en las tasas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43 Cuando la moneda funcional de la entidad se corresponda con la de una economía hiperinflacionaria, reexpresará sus estados financieros antes de aplicar el método de conversión establecido en el párrafo 42, de acuerdo con la NIC 29</w:t>
      </w:r>
      <w:r w:rsidRPr="00401DFF">
        <w:rPr>
          <w:rFonts w:ascii="Times New Roman" w:eastAsia="Times New Roman" w:hAnsi="Times New Roman" w:cs="Times New Roman"/>
          <w:b/>
          <w:bCs/>
          <w:i/>
          <w:iCs/>
          <w:sz w:val="24"/>
          <w:szCs w:val="24"/>
          <w:lang w:eastAsia="es-CO"/>
        </w:rPr>
        <w:t xml:space="preserve">, </w:t>
      </w:r>
      <w:r w:rsidRPr="00401DFF">
        <w:rPr>
          <w:rFonts w:ascii="Times New Roman" w:eastAsia="Times New Roman" w:hAnsi="Times New Roman" w:cs="Times New Roman"/>
          <w:b/>
          <w:bCs/>
          <w:sz w:val="24"/>
          <w:szCs w:val="24"/>
          <w:lang w:eastAsia="es-CO"/>
        </w:rPr>
        <w:t>excepto las cifras comparativas en el caso de conversión a la moneda de una economía no hiperinflacionaria (véase el apartado b del párrafo 42). Cuando la economía en cuestión deje de ser hiperinflacionaria, y la entidad deje de reexpresar sus estados financieros de acuerdo con la NIC 29, utilizará como costos históricos, para convertirlos a la moneda de presentación, los importes reexpresados según el nivel de precios a la fecha en que la entidad deje de hacer la citada reexpresión.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Conversión de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Al convertir a una moneda de presentación los resultados y la situación financiera de un negocio en el extranjero, como paso previo a su inclusión en los estados financieros de la entidad que informa, ya sea mediante consolidación o utilizando el método de la participación, se aplicarán los párrafos 45 a 47, además de lo establecido en los párrafos 38 a 43.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La incorporación de los resultados y la situación financiera de un negocio en el extranjero a los de la entidad que informa, seguirá los procedimientos normales de consolidación, como por ejemplo la eliminación de los saldos y transacciones intragrupo de una subsidiaria (véase la NIIF 10 </w:t>
      </w:r>
      <w:r w:rsidRPr="00401DFF">
        <w:rPr>
          <w:rFonts w:ascii="Times New Roman" w:eastAsia="Times New Roman" w:hAnsi="Times New Roman" w:cs="Times New Roman"/>
          <w:i/>
          <w:iCs/>
          <w:sz w:val="24"/>
          <w:szCs w:val="24"/>
          <w:lang w:eastAsia="es-CO"/>
        </w:rPr>
        <w:t>Consolidación de Estados Financieros).</w:t>
      </w:r>
      <w:r w:rsidRPr="00401DFF">
        <w:rPr>
          <w:rFonts w:ascii="Times New Roman" w:eastAsia="Times New Roman" w:hAnsi="Times New Roman" w:cs="Times New Roman"/>
          <w:sz w:val="24"/>
          <w:szCs w:val="24"/>
          <w:lang w:eastAsia="es-CO"/>
        </w:rPr>
        <w:t xml:space="preserve"> No obstante, un activo (o pasivo) monetario intragrupo, ya sea a corto o a largo plazo, no puede ser eliminado contra el correspondiente pasivo (o activo) intragrupo, sin mostrar los resultados de las variaciones en las tasas de cambio dentro de los estados financieros consolidados. Esto es así porque la partida monetaria representa un compromiso de convertir una moneda en otra, lo que expone a la entidad que informa a una pérdida o ganancia por las fluctuaciones del cambio entre las monedas. Por consiguiente, en los estados financieros consolidados de la entidad que informa, esta diferencia de cambio se reconocerá en el resultado, o si se deriva de las circunstancias descritas en el párrafo 32, se reconocerá en otro resultado integral y se acumulará en un componente separado del patrimonio hasta la disposición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Cuando los estados financieros del negocio en el extranjero y de la entidad que informa son de fechas diferentes, es frecuente que aquél prepare estados financieros adicionales con la misma fecha que ésta. Cuando no sea así, la NIIF 10 permite la utilización de fechas de presentación diferentes, siempre que la diferencia no sea mayor de tres meses, y que se realicen los ajustes pertinentes para reflejar los efectos de las transacciones y otros sucesos significativos ocurridos entre las fechas de referencia. En tal caso, los activos y pasivos del negocio en el extranjero se convertirán a la tasa de cambio de la fecha de cierre del periodo sobre el que se informa del negocio en el extranjero. Se practicarán también los pertinentes ajustes por las variaciones significativas en las tasas de cambio hasta el final del periodo sobre el que se informa de la entidad que informa, de acuerdo con la NIIF 10. Este mismo procedimiento se utilizará al aplicar el método de la participación a las asociadas y negocios conjuntos de acuerdo con la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47 Tanto la plusvalía surgida por la adquisición de un negocio en el extranjero, como los ajustes del valor razonable practicados al importe en libros de los activos y pasivos, a consecuencia de la adquisición de un negocio en el extranjero, se deben tratar como activos y pasivos del mismo. Esto quiere decir que se expresarán en la misma moneda funcional del negocio en el extranjero, y que se convertirán a la tasa de cambio de cierre, de acuerdo con los párrafos 39 y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Disposición total o parcial de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48 En la disposición de un negocio en el extranjero, el importe acumulado de las diferencias de cambio relacionadas con el negocio en el extranjero, reconocidas en otro resultado integral y acumuladas en un componente separado del patrimonio, deberá reclasificarse del patrimonio al resultado (como un ajuste por reclasificación) cuando se reconozca la ganancia o pérdida de la disposición [véase la NIC 1 </w:t>
      </w:r>
      <w:r w:rsidRPr="00401DFF">
        <w:rPr>
          <w:rFonts w:ascii="Times New Roman" w:eastAsia="Times New Roman" w:hAnsi="Times New Roman" w:cs="Times New Roman"/>
          <w:b/>
          <w:bCs/>
          <w:i/>
          <w:iCs/>
          <w:sz w:val="24"/>
          <w:szCs w:val="24"/>
          <w:lang w:eastAsia="es-CO"/>
        </w:rPr>
        <w:t>Presentación de Estados Financieros</w:t>
      </w:r>
      <w:r w:rsidRPr="00401DFF">
        <w:rPr>
          <w:rFonts w:ascii="Times New Roman" w:eastAsia="Times New Roman" w:hAnsi="Times New Roman" w:cs="Times New Roman"/>
          <w:b/>
          <w:bCs/>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48A Además de la disposición de toda la participación de una entidad en un negocio en el extranjero, lo siguiente se contabilizará como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la disposición parcial involucra la pérdida del control de una subsidiaria que incluye un negocio en el extranjero, independientemente de si la entidad conserva una participación no controladora en su antigua subsidiaria después de la disposición parcial;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la participación conservada después de la disposición parcial de una participación en un acuerdo conjunto o una disposición parcial de una participación en una asociada que incluye un negocio en el extranjero es un activo financiero que incluye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48B En la disposición de una subsidiaria que incluye un negocio en el extranjero, el importe acumulado de diferencias de cambio relacionadas con ese negocio en el extranjero que haya sido atribuido a las participaciones no controladoras deberá darse de baja en cuentas, pero no deberán reclasificarse a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48C En la disposición parcial de una subsidiaria que incluye un negocio en el extranjero, la entidad volverá a atribuir la parte proporcional del importe acumulado de las diferencias de cambio reconocidas en otro resultado integral a las participaciones no controladoras en ese negocio en el extranjero. En cualquier otra disposición parcial de un negocio en el extranjero la entidad reclasificará a resultados solamente la parte proporcional del importe acumulado de las diferencias de cambio reconocidas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48D La disposición parcial de la participación de una entidad en un negocio en el extranjero es cualquier reducción de la participación de una entidad como propietaria en un negocio en el extranjero, excepto aquellas reducciones incluidas en el párrafo 48A que se contabilizan como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49 Una entidad puede disponer de la totalidad o parte de su participación en un negocio en el extranjero mediante su venta, liquidación, devolución del capital aportado o abandono total de la entidad o de parte de la misma. Una rebaja del importe en libros de un negocio en el extranjero, debido a sus propias pérdidas o a un deterioro de valor reconocido por el inversor, no constituye una disposición parcial. Por consiguiente, en el momento de una rebaja de valor no se reclasificará en resultados parte alguna de las ganancias o pérdidas por cambio en moneda extranjera reconocidas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Efectos impositivos de todas las diferencias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50 Las ganancias y pérdidas por diferencias de cambio en las transacciones realizadas en moneda extranjera, así como las diferencias por conversión de los resultados y la situación financiera de una entidad (incluyendo también un negocio en el extranjero) a una moneda diferente, pueden tener efectos impositivos. Para contabilizar estos efectos impositivos se aplicará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En los párrafos 53 y 55 a 57, las referencias a la “moneda funcional” se entienden realizadas, en el caso de un grupo, a la moneda funcional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las diferencias de cambio reconocidas en el resultado del periodo, con excepción de las procedentes de los instrumentos financieros medidos al valor razonable con cambios en resultados, de acuerdo con la NIIF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diferencias de cambio netas reconocidas en otro resultado integral y acumuladas en un componente separado del patrimonio, así como una conciliación entre los importes de estas diferencias al principio y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Cuando la moneda de presentación sea diferente de la moneda funcional, este hecho será puesto de manifiesto, revelando además la identidad de la moneda funcional, así como la razón de utilizar una moneda de presentación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Cuando se haya producido un cambio en la moneda funcional, ya sea de la entidad que informa o de algún negocio significativo en el extranjero, se revelará este hecho, así como la razón de dicho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Cuando una entidad presente sus estados financieros en una moneda que sea diferente de su moneda funcional, señalará que sus estados financieros son conformes con las NIIF, solo si cumplen con todos los requerimientos de las NIIF, incluyendo las que se refieren al método de conversión establecido en los párrafos 39 y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56 En ocasiones, las entidades presentan sus estados financieros u otra información financiera en una moneda que no es su moneda funcional, sin respetar los requerimientos </w:t>
      </w:r>
      <w:r w:rsidRPr="00401DFF">
        <w:rPr>
          <w:rFonts w:ascii="Times New Roman" w:eastAsia="Times New Roman" w:hAnsi="Times New Roman" w:cs="Times New Roman"/>
          <w:sz w:val="24"/>
          <w:szCs w:val="24"/>
          <w:lang w:eastAsia="es-CO"/>
        </w:rPr>
        <w:lastRenderedPageBreak/>
        <w:t>del párrafo 55. Por ejemplo, la entidad puede convertir a la otra moneda sólo determinadas partidas de sus estados financieros. Otro ejemplo se da cuando una entidad, cuya moneda funcional no es la de una economía hiperinflacionaria, convierte los estados financieros a la otra moneda utilizando para todas las partidas la tasa de cambio de cierre más reciente. Tales conversiones no están hechas de acuerdo con las NIIF, por lo que será obligatorio revelar la información establecida en el párrafo 57.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 Cuando una entidad presente sus estados financieros, u otra información financiera, en una moneda diferente de su moneda funcional y de su moneda de presentación, y no cumple los requerimientos del párrafo 55: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identificará claramente esta información como complementaria, al objeto de distinguirla de la información que cumple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revelará la moneda en que se presenta esta información complementaria;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revelará la moneda funcional de la entidad, así como el método de conversión utilizado para confeccionar la información complementaria.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58A </w:t>
      </w:r>
      <w:r w:rsidRPr="00401DFF">
        <w:rPr>
          <w:rFonts w:ascii="Times New Roman" w:eastAsia="Times New Roman" w:hAnsi="Times New Roman" w:cs="Times New Roman"/>
          <w:i/>
          <w:iCs/>
          <w:sz w:val="24"/>
          <w:szCs w:val="24"/>
          <w:lang w:eastAsia="es-CO"/>
        </w:rPr>
        <w:t>Inversión Neta en un Negocio en el Extranjero</w:t>
      </w:r>
      <w:r w:rsidRPr="00401DFF">
        <w:rPr>
          <w:rFonts w:ascii="Times New Roman" w:eastAsia="Times New Roman" w:hAnsi="Times New Roman" w:cs="Times New Roman"/>
          <w:sz w:val="24"/>
          <w:szCs w:val="24"/>
          <w:lang w:eastAsia="es-CO"/>
        </w:rPr>
        <w:t xml:space="preserve"> (Modificación a la NIC 21), emitida en diciembre de 2005, añadió el párrafo 15A y modificó el párrafo 33. Una entidad aplicará esas modificaciones a periodos anuales que comiencen a partir del 1 de enero de 2006. Se aconseja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Una entidad aplicará de forma prospectiva el párrafo 47 a todas las adquisiciones ocurridas después del comienzo del periodo contable en que esta Norma se adopte por primera vez. Se permite la aplicación retroactiva del párrafo 47 a las adquisiciones anteriores a esa fecha. Para las adquisiciones de negocios en el extranjero que se traten de forma prospectiva, pero que hayan ocurrido antes de la fecha de primera aplicación de esta Norma, la entidad no deberá reexpresar los periodos anteriores y, en consecuencia, en tal caso, podrá considerar la plusvalía y los ajustes por aplicación del valor razonable derivados de la adquisición, como activos y pasivos de la entidad, y no del negocio en el extranjero. Por lo tanto, en este último caso, la plusvalía y los ajustes por aplicación del valor razonable, o bien se encuentran ya expresados en la moneda funcional de la entidad, o bien serán partidas no monetarias en moneda extranjera, que se presentan utilizando la tasa de cambio de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 Todos los demás cambios contables producidos por la aplicación de esta Norma se contabilizarán de acuerdo con los requerimientos de la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60A La NIC 1 (revisada en 2007) modificó la terminología utilizada en las NIIF. Además modificó los párrafos 27, 30 a 33, 37, 39, 41, 45, 48 y 52.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60B La NIC 27 (modificada en 2008) añadió los párrafos 48A a 48D y modificó el párrafo 49. Una entidad aplicará esas modificaciones de forma prospectiva a los periodos anuales que comiencen a partir del 1 de julio de 2009. Si la entidad aplicase la NIC 27 (modificada en 2008) a periodos anteriores, las modificaciones deberán aplicarse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60D El párrafo 60B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 modificación para los periodos anuales que comiencen a partir del 1 de julio de 2010.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60E La NIIF 9 emitida en octubre de 2010, modificó los párrafos 3(a), 4 y 52(a) y eliminó el párrafo 60C.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60F La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los párrafos 3(b), 8, 11, 18, 19, 33, 44 a 46 y 48A.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60G La NIIF 13, emitida en mayo de 2011 modificó la definición de valor razonable del párrafo 8 y modificó el párrafo 23.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60H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39.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Esta Norma deroga la NIC 21</w:t>
      </w:r>
      <w:r w:rsidRPr="00401DFF">
        <w:rPr>
          <w:rFonts w:ascii="Times New Roman" w:eastAsia="Times New Roman" w:hAnsi="Times New Roman" w:cs="Times New Roman"/>
          <w:i/>
          <w:iCs/>
          <w:sz w:val="24"/>
          <w:szCs w:val="24"/>
          <w:lang w:eastAsia="es-CO"/>
        </w:rPr>
        <w:t xml:space="preserve"> Efectos de las Variaciones de las Tasas de Cambio en Moneda Extranjera </w:t>
      </w:r>
      <w:r w:rsidRPr="00401DFF">
        <w:rPr>
          <w:rFonts w:ascii="Times New Roman" w:eastAsia="Times New Roman" w:hAnsi="Times New Roman" w:cs="Times New Roman"/>
          <w:sz w:val="24"/>
          <w:szCs w:val="24"/>
          <w:lang w:eastAsia="es-CO"/>
        </w:rPr>
        <w:t>(revisada en 1993).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Esta Norma sustituye a las siguientes Interpretaciones: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SIC-11 </w:t>
      </w:r>
      <w:r w:rsidRPr="00401DFF">
        <w:rPr>
          <w:rFonts w:ascii="Times New Roman" w:eastAsia="Times New Roman" w:hAnsi="Times New Roman" w:cs="Times New Roman"/>
          <w:i/>
          <w:iCs/>
          <w:sz w:val="24"/>
          <w:szCs w:val="24"/>
          <w:lang w:eastAsia="es-CO"/>
        </w:rPr>
        <w:t>Variaciones de Cambio en Moneda Extranjera</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Capitalización de Pérdidas Debidas a Devaluaciones Muy Importantes;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SIC-19 </w:t>
      </w:r>
      <w:r w:rsidRPr="00401DFF">
        <w:rPr>
          <w:rFonts w:ascii="Times New Roman" w:eastAsia="Times New Roman" w:hAnsi="Times New Roman" w:cs="Times New Roman"/>
          <w:i/>
          <w:iCs/>
          <w:sz w:val="24"/>
          <w:szCs w:val="24"/>
          <w:lang w:eastAsia="es-CO"/>
        </w:rPr>
        <w:t>Moneda de los Estados Financieros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Medición y Presentación de los Estados Financieros según las NIC 21 y 29;</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SIC-30 </w:t>
      </w:r>
      <w:r w:rsidRPr="00401DFF">
        <w:rPr>
          <w:rFonts w:ascii="Times New Roman" w:eastAsia="Times New Roman" w:hAnsi="Times New Roman" w:cs="Times New Roman"/>
          <w:i/>
          <w:iCs/>
          <w:sz w:val="24"/>
          <w:szCs w:val="24"/>
          <w:lang w:eastAsia="es-CO"/>
        </w:rPr>
        <w:t>Moneda de los Estados Financieros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Conversión desde la Moneda de Medición a la Moneda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(29) Véase también la SIC-7 </w:t>
      </w:r>
      <w:r w:rsidRPr="00401DFF">
        <w:rPr>
          <w:rFonts w:ascii="Times New Roman" w:eastAsia="Times New Roman" w:hAnsi="Times New Roman" w:cs="Times New Roman"/>
          <w:i/>
          <w:iCs/>
          <w:sz w:val="24"/>
          <w:szCs w:val="24"/>
          <w:lang w:eastAsia="es-CO"/>
        </w:rPr>
        <w:t>Introducción al Euro.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 básico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Los costos por préstamos que sean directamente atribuibles a la adquisición, construcción o producción de un activo apto forman parte del costo de dichos activos. Los demás costos por préstamos se reconocen como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 aplicará por una entidad en la contabilización de los 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Norma no se ocupa del costo, efectivo o imputado, del patrimonio incluido el capital preferente no clasificado como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No se requiere que una entidad aplique esta Norma a los costos por préstamos directamente atribuibles a la adquisición, construcción o producción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activo apto medido al valor razonable, como por ejemplo un activo biológico;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inventarios que sean manufacturados, o producidos de cualquier otra forma, en grandes cantidades de forma repetitiva.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Esta Norma utiliza los siguientes términos con un significado que a continuación se especifica: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Son </w:t>
      </w:r>
      <w:r w:rsidRPr="00401DFF">
        <w:rPr>
          <w:rFonts w:ascii="Times New Roman" w:eastAsia="Times New Roman" w:hAnsi="Times New Roman" w:cs="Times New Roman"/>
          <w:b/>
          <w:bCs/>
          <w:i/>
          <w:iCs/>
          <w:sz w:val="24"/>
          <w:szCs w:val="24"/>
          <w:lang w:eastAsia="es-CO"/>
        </w:rPr>
        <w:t>costos por préstamos</w:t>
      </w:r>
      <w:r w:rsidRPr="00401DFF">
        <w:rPr>
          <w:rFonts w:ascii="Times New Roman" w:eastAsia="Times New Roman" w:hAnsi="Times New Roman" w:cs="Times New Roman"/>
          <w:b/>
          <w:bCs/>
          <w:sz w:val="24"/>
          <w:szCs w:val="24"/>
          <w:lang w:eastAsia="es-CO"/>
        </w:rPr>
        <w:t xml:space="preserve"> los intereses y otros costos en los que la entidad incurre, que están relacionados con los fondos que ha tomado prestados.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activo apto,</w:t>
      </w:r>
      <w:r w:rsidRPr="00401DFF">
        <w:rPr>
          <w:rFonts w:ascii="Times New Roman" w:eastAsia="Times New Roman" w:hAnsi="Times New Roman" w:cs="Times New Roman"/>
          <w:b/>
          <w:bCs/>
          <w:sz w:val="24"/>
          <w:szCs w:val="24"/>
          <w:lang w:eastAsia="es-CO"/>
        </w:rPr>
        <w:t xml:space="preserve"> es aquel el que requiere, necesariamente, de un periodo sustancial antes de estar listo para el uso al que está destinado o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costos por préstamos pueden incluir: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el gasto por intereses calculado utilizando el método de la tasa de interés efectiva de la forma descrita en la NIC 39 </w:t>
      </w:r>
      <w:r w:rsidRPr="00401DFF">
        <w:rPr>
          <w:rFonts w:ascii="Times New Roman" w:eastAsia="Times New Roman" w:hAnsi="Times New Roman" w:cs="Times New Roman"/>
          <w:i/>
          <w:iCs/>
          <w:sz w:val="24"/>
          <w:szCs w:val="24"/>
          <w:lang w:eastAsia="es-CO"/>
        </w:rPr>
        <w:t>Instrumentos Financieros: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las cargas financieras relativas a los arrendamientos financieros reconocidos de acuerdo con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diferencias de cambio procedentes de préstamos en moneda extranjera en la medida en que se consideren como ajustes de los costos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Dependiendo de las circunstancias, cualquiera de los siguientes podrían ser activos aptos: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fábricas de manufactura;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instalaciones de producción eléctrica;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activos financieros, y los inventarios que son manufacturados, o producidos de cualquier otra forma en periodos cortos. Los activos que ya están listos para el uso al que se les destina o para su venta no son activos aptos.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Una entidad capitalizará los costos por préstamos que sean directamente atribuibles a la adquisición, construcción o producción de activos aptos, como parte del costo de dichos activos. Una entidad deberá reconocer otros costos por préstamos como un gasto en el periodo en que se haya incurrido en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Los costos por préstamos que sean directamente atribuibles a la adquisición, construcción o producción de un activo apto, se incluyen en el costo de dichos activos. Estos costos por préstamos se capitalizarán, como parte del costo del activo, siempre que sea probable que den lugar a beneficios económicos futuros para la entidad y puedan ser medidos con fiabilidad. Cuando una entidad aplique la NIC 29 </w:t>
      </w:r>
      <w:r w:rsidRPr="00401DFF">
        <w:rPr>
          <w:rFonts w:ascii="Times New Roman" w:eastAsia="Times New Roman" w:hAnsi="Times New Roman" w:cs="Times New Roman"/>
          <w:i/>
          <w:iCs/>
          <w:sz w:val="24"/>
          <w:szCs w:val="24"/>
          <w:lang w:eastAsia="es-CO"/>
        </w:rPr>
        <w:t>Información Financiera en Economías Hiperinflacionarias,</w:t>
      </w:r>
      <w:r w:rsidRPr="00401DFF">
        <w:rPr>
          <w:rFonts w:ascii="Times New Roman" w:eastAsia="Times New Roman" w:hAnsi="Times New Roman" w:cs="Times New Roman"/>
          <w:sz w:val="24"/>
          <w:szCs w:val="24"/>
          <w:lang w:eastAsia="es-CO"/>
        </w:rPr>
        <w:t xml:space="preserve"> reconocerá como un gasto la parte de los costos por préstamos que compensa la inflación durante el mismo periodo, de acuerdo con el párrafo 21 de dicha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por préstamos susceptibles de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Son costos por préstamos que son directamente atribuibles a la adquisición, construcción o producción de un activo apto, son aquellos costos por préstamos que podrían haberse </w:t>
      </w:r>
      <w:r w:rsidRPr="00401DFF">
        <w:rPr>
          <w:rFonts w:ascii="Times New Roman" w:eastAsia="Times New Roman" w:hAnsi="Times New Roman" w:cs="Times New Roman"/>
          <w:sz w:val="24"/>
          <w:szCs w:val="24"/>
          <w:lang w:eastAsia="es-CO"/>
        </w:rPr>
        <w:lastRenderedPageBreak/>
        <w:t>evitado si no se hubiera efectuado un desembolso en el activo correspondiente. Cuando una entidad toma fondos prestados que destina específicamente a la obtención de un activo apto, los costos por préstamos relacionados con éste pueden ser fácilmente identificados.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Puede resultar difícil identificar una relación directa entre préstamos recibidos concretos y activos aptos, para determinar qué préstamos podrían haberse evitado. Esta dificultad se pone de manifiesto, por ejemplo, cuando la actividad financiera de la entidad está centralizada. También aparecen dificultades cuando un grupo de entidades utiliza una gama variada de instrumentos de deuda para obtener financiación a diferentes tasas de interés, y presta luego esos fondos, con diferentes criterios, a otras entidades del grupo. También pueden surgir dificultades cuando se usan préstamos expresados o referenciados a una moneda extranjera, cuando el grupo opera en economías altamente inflacionarias, y cuando se producen fluctuaciones en las tasas de cambio. Como resultado de lo anterior, la determinación del importe de los costos por préstamos que son directamente atribuibles a la adquisición de un activo apto puede resultar difícil, y se requiere la utilización del juicio profesional para realizarla.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En la medida en que los fondos se hayan tomado prestados específicamente con el propósito de obtener un activo apto, la entidad determinará el importe de los mismos susceptibles de capitalización como los costos por préstamos reales en los que haya incurrido por tales préstamos durante el periodo, menos los rendimientos conseguidos por la inversión temporal de tales fondos.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Según los acuerdos financieros relativos a los activos aptos, podría suceder que la entidad obtenga los fondos, e incurra en los correspondientes costos por préstamos, antes de que los mismos sean usados total o parcialmente para hacer desembolsos en el activo en cuestión. En estas circunstancias, la totalidad o una parte de los fondos a menudo se invierten temporalmente a la espera de efectuar los desembolsos correspondientes en el citado activo apto. Para determinar la cuantía de los costos por préstamos susceptibles de ser capitalizados durante un periodo, se deducirá de los costos por préstamos incurridos cualquier rendimiento obtenido por tales fondos.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En la medida en que los fondos de una entidad procedan de préstamos genéricos y los utilice para obtener un activo apto, la misma determinará el importe de los costos susceptibles de capitalización aplicando una tasa de capitalización a los desembolsos efectuados en dicho activo. La tasa de capitalización será el promedio ponderado de los costos por préstamos aplicables a los préstamos recibidos por la entidad, que han estado vigentes en el periodo, y son diferentes de los específicamente acordados para financiar un activo apto. El importe de los costos por préstamos que una entidad capitaliza durante el periodo, no excederá del total de costos por préstamos en que se ha incurrido durante ese mismo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En algunas circunstancias, podría ser adecuado incluir todos los préstamos recibidos por la controladora y sus subsidiarias al calcular el promedio ponderado de los costos por préstamos; en otros casos, sin embargo, será adecuado utilizar, para cada subsidiaria, un promedio ponderado de los costos por préstamos atribuibles a sus propios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Exceso del importe en libros del activo apto sobre el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Cuando el importe en libros o el costo final del activo apto exceda a su importe recuperable o a su valor neto realizable, el importe en libros se reducirá o se dará de baja de acuerdo con las exigencias de otras Normas. En ciertos casos, el importe reducido o dado de baja se recupera y se puede reponer, de acuerdo con las citadas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Inicio de la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17 Una entidad comenzará la capitalización de los costos por préstamos como parte de los costos de un activo apto en la fecha de inicio. La fecha de inicio para la capitalización es aquella en que la entidad cumple por primera vez todas y cada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incurre en desembolsos en relación con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incurre en costos por préstamos;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lleva a cabo las actividades necesarias para preparar al activo para el uso al que está destinado o para su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Los desembolsos relativos a un activo apto incluyen únicamente los desembolsos que hayan dado lugar a pagos en efectivo, a transferencias de otros activos o cuando se asuman pasivos que devenguen intereses. El importe de los desembolsos se reducirá por la cuantía de los anticipos y ayudas recibidos en relación con el activo (véase la NIC 20 </w:t>
      </w:r>
      <w:r w:rsidRPr="00401DFF">
        <w:rPr>
          <w:rFonts w:ascii="Times New Roman" w:eastAsia="Times New Roman" w:hAnsi="Times New Roman" w:cs="Times New Roman"/>
          <w:i/>
          <w:iCs/>
          <w:sz w:val="24"/>
          <w:szCs w:val="24"/>
          <w:lang w:eastAsia="es-CO"/>
        </w:rPr>
        <w:t>Contabilización de las Subvenciones del Gobierno e Información a Revelar sobre Ayudas Gubernamentales).</w:t>
      </w:r>
      <w:r w:rsidRPr="00401DFF">
        <w:rPr>
          <w:rFonts w:ascii="Times New Roman" w:eastAsia="Times New Roman" w:hAnsi="Times New Roman" w:cs="Times New Roman"/>
          <w:sz w:val="24"/>
          <w:szCs w:val="24"/>
          <w:lang w:eastAsia="es-CO"/>
        </w:rPr>
        <w:t xml:space="preserve"> El importe en libros promedio del activo durante un periodo, incluyendo los costos por préstamos capitalizados anteriormente, constituye por lo general una aproximación razonable de los desembolsos a los que se debe aplicar la tasa de capitalización en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Las actividades necesarias para preparar el activo para el uso al que está destinado o para su venta implican algo más que la construcción física del mismo. Incluyen también los trabajos técnicos y administrativos previos al comienzo de la construcción, propiamente dicha, tales como las actividades asociadas con la obtención de permisos previos al comienzo de la construcción. No obstante, estas actividades excluyen la mera tenencia del activo, cuando éste no es objeto de producción o desarrollo alguno que implique un cambio en su condición. Por ejemplo, los costos por préstamos en los que se incurre mientras los terrenos se están preparando se capitalizan en los periodos en que tal preparación tiene lugar. Sin embargo, los costos por préstamos en que se incurre mientras los terrenos adquiridos para construir sobre ellos se mantienen inactivos, sin realizar en ellos ninguna labor de preparación, no cumplen las condiciones para ser capitalizados.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Suspensión de la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20 Una entidad suspenderá la capitalización de los costos por préstamos durante los periodos en los que se haya suspendido el desarrollo de actividades de un activo apto, si estos periodos se extienden en el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Una entidad puede incurrir en costos por préstamos durante un periodo extenso en el que están interrumpidas las actividades necesarias para preparar un activo para su uso deseado o para su venta. Estos costos son de tenencia de activos parcialmente terminados y no cumplen las condiciones para su capitalización. Sin embargo, una entidad no interrumpirá normalmente la capitalización de los costos por préstamos durante un periodo si se están llevando a cabo actuaciones técnicas o administrativas importantes. Tampoco suspenderá la capitalización de costos por préstamos cuando una demora temporal sea necesaria como parte del proceso de preparación de un activo disponible para su uso previsto o para su venta... Por ejemplo, la capitalización continúa durante el periodo en que el elevado nivel de las aguas retrase la construcción de un puente, si tal nivel es normal en esa región geográfica, durante el periodo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Fin de la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Una entidad cesará la capitalización de los costos por préstamos cuando se hayan completado todas o prácticamente todas las actividades necesarias para preparar al activo apto para el uso al que va destinado o para su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Normalmente, un activo estará preparado para el uso al que está destinado o para su venta, cuando se haya completado la construcción física del mismo, incluso aunque todavía deban llevarse a cabo trabajos administrativos. Si lo único que falta es llevar a cabo modificaciones menores, tales como la decoración del edificio siguiendo las especificaciones del comprador o usuario, esto es indicativo de que todas las actividades de construcción están sustancialmente acabadas.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Cuando una entidad complete la construcción de un activo apto por partes, y cada parte se pueda utilizar por separado mientras continúa la construcción de las restantes, dicha entidad cesará la capitalización de los costos por préstamos cuando estén terminadas, sustancialmente, todas las actividades necesarias para preparar esa parte para su el</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b/>
          <w:bCs/>
          <w:sz w:val="24"/>
          <w:szCs w:val="24"/>
          <w:lang w:eastAsia="es-CO"/>
        </w:rPr>
        <w:t>uso al que está destinada o para su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Un parque industrial que comprenda varios edificios, cada uno de los cuales puede ser utilizado por separado, es un ejemplo de activo apto, donde cada parte es susceptible de ser utilizada mientras continúa la construcción de las demás. Un ejemplo de activo apto que necesita terminarse por completo antes de que cada una de las partes pueda utilizarse es una planta industrial en la que deben llevarse a cabo varios procesos secuenciales en las distintas partes de que consta, como es el caso de una factoría de producción de acero.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el importe de los costos por préstamos capitalizados durante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tasa de capitalización utilizada para determinar el importe de los costos por préstamos susceptibles de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27 Si la aplicación de esta Norma representa un cambio en su política contable, una entidad aplicará la Norma a los costos por préstamos relacionados con los activos aptos cuya fecha de inicio de la capitalización sea la fecha de entrada en vigor 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Sin embargo, una entidad puede designar cualquier fecha anterior a la de su entrada en vigor y aplicar la Norma a los costos por préstamos relacionados con todos los activos aptos para los que la fecha de inicio de la capitalización sea dicha fecha u otra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Una entidad aplicará la Norma en los periodos anuales que comiencen a partir del 1 de enero de 2009. Se permite su aplicación anticipada. Si una entidad aplicase la Norma desde una fecha anterior al 1 de enero de 2009,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29A El párrafo 6 fue modificado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 modificación para los periodos anuales que comiencen a partir del 1 de enero de 2009.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23 (revisada en 1993)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Esta Norma deroga a la NIC 23 </w:t>
      </w:r>
      <w:r w:rsidRPr="00401DFF">
        <w:rPr>
          <w:rFonts w:ascii="Times New Roman" w:eastAsia="Times New Roman" w:hAnsi="Times New Roman" w:cs="Times New Roman"/>
          <w:i/>
          <w:iCs/>
          <w:sz w:val="24"/>
          <w:szCs w:val="24"/>
          <w:lang w:eastAsia="es-CO"/>
        </w:rPr>
        <w:t xml:space="preserve">Costos por Préstamos </w:t>
      </w:r>
      <w:r w:rsidRPr="00401DFF">
        <w:rPr>
          <w:rFonts w:ascii="Times New Roman" w:eastAsia="Times New Roman" w:hAnsi="Times New Roman" w:cs="Times New Roman"/>
          <w:sz w:val="24"/>
          <w:szCs w:val="24"/>
          <w:lang w:eastAsia="es-CO"/>
        </w:rPr>
        <w:t>revisada en 1993.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a Revelar sobre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asegurar que los estados financieros de una entidad contengan la información a revelar necesaria para poner de manifiesto la posibilidad de que su situación financiera y resultados del periodo puedan haberse visto afectados por la existencia de partes relacionadas, así como por transacciones y saldos pendientes, incluyendo compromisos, con dichas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 Esta Norma se aplicará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identificación de relaciones y transacciones entre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identificación de saldos pendientes, incluyendo compromisos, entre una entidad y sus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identificación de las circunstancias en las que se requiere revelar información sobre los apartados (a) y (b);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determinación de la información a revelar sobre todas esas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 Esta Norma requiere revelar información sobre las relaciones entre partes relacionadas, transacciones, saldos pendientes, incluyendo compromisos, en los estados financieros consolidados y separados de una controladora o inversores con control conjunto de una participada o influencia significativa sobre ésta, presentados de acuerdo con la NIIF 10 </w:t>
      </w:r>
      <w:r w:rsidRPr="00401DFF">
        <w:rPr>
          <w:rFonts w:ascii="Times New Roman" w:eastAsia="Times New Roman" w:hAnsi="Times New Roman" w:cs="Times New Roman"/>
          <w:b/>
          <w:bCs/>
          <w:i/>
          <w:iCs/>
          <w:sz w:val="24"/>
          <w:szCs w:val="24"/>
          <w:lang w:eastAsia="es-CO"/>
        </w:rPr>
        <w:t>Estados Financieros Consolidados</w:t>
      </w:r>
      <w:r w:rsidRPr="00401DFF">
        <w:rPr>
          <w:rFonts w:ascii="Times New Roman" w:eastAsia="Times New Roman" w:hAnsi="Times New Roman" w:cs="Times New Roman"/>
          <w:b/>
          <w:bCs/>
          <w:sz w:val="24"/>
          <w:szCs w:val="24"/>
          <w:lang w:eastAsia="es-CO"/>
        </w:rPr>
        <w:t xml:space="preserve"> o la NIC 27 </w:t>
      </w:r>
      <w:r w:rsidRPr="00401DFF">
        <w:rPr>
          <w:rFonts w:ascii="Times New Roman" w:eastAsia="Times New Roman" w:hAnsi="Times New Roman" w:cs="Times New Roman"/>
          <w:b/>
          <w:bCs/>
          <w:i/>
          <w:iCs/>
          <w:sz w:val="24"/>
          <w:szCs w:val="24"/>
          <w:lang w:eastAsia="es-CO"/>
        </w:rPr>
        <w:t>Estados Financieros Separados.</w:t>
      </w:r>
      <w:r w:rsidRPr="00401DFF">
        <w:rPr>
          <w:rFonts w:ascii="Times New Roman" w:eastAsia="Times New Roman" w:hAnsi="Times New Roman" w:cs="Times New Roman"/>
          <w:b/>
          <w:bCs/>
          <w:sz w:val="24"/>
          <w:szCs w:val="24"/>
          <w:lang w:eastAsia="es-CO"/>
        </w:rPr>
        <w:t xml:space="preserve"> Esta norma también se aplicará a los estados financieros individuales.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Las transacciones y los saldos pendientes entre partes relacionadas con otras entidades de un grupo se revelarán en los estados financieros de la entidad. Las transacciones y saldos pendientes entre partes relacionadas intragrupo se eliminarán en el proceso de elaboración de los estados financieros consolidados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Propósito de la información a revelar sobre las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Las relaciones entre partes relacionadas son una característica normal del comercio y de los negocios. Por ejemplo, las entidades frecuentemente llevan a cabo parte de sus actividades a través de subsidiarias, negocios conjuntos y asociadas. En esas circunstancias, la entidad tiene la capacidad de influir en las políticas financieras y de operación de la entidad participada a través de la presencia de control, control conjunto o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relación entre partes relacionadas puede tener efectos sobre los resultados y la situación financiera de una entidad. Las partes relacionadas pueden realizar transacciones que otras partes, carentes de relación, no podrían. Por ejemplo, una entidad que vende bienes a su controladora al costo, podría no hacerlo en esas condiciones a otro cliente. También, las transacciones entre partes relacionadas pueden no realizarse por los mismos importes que entre partes carentes de relación.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Los resultados y la situación financiera de una entidad pueden verse afectados por una relación entre partes relacionadas, incluso si no han tenido lugar transacciones entre dichas entidades. La mera existencia de la relación puede ser suficiente para afectar a las transacciones de la entidad con otras partes. Por ejemplo, una subsidiaria puede terminar sus relaciones con otra entidad ajena al grupo, con la que mantenga lazos comerciales, en el </w:t>
      </w:r>
      <w:r w:rsidRPr="00401DFF">
        <w:rPr>
          <w:rFonts w:ascii="Times New Roman" w:eastAsia="Times New Roman" w:hAnsi="Times New Roman" w:cs="Times New Roman"/>
          <w:sz w:val="24"/>
          <w:szCs w:val="24"/>
          <w:lang w:eastAsia="es-CO"/>
        </w:rPr>
        <w:lastRenderedPageBreak/>
        <w:t xml:space="preserve">momento de la adquisición por su controladora de otra subsidiaria que se dedique al mismo tipo de actividad que la tercera anterior ajena al grupo. De forma alternativa, una de las partes puede abstenerse de actuar debido a la influencia significativa ejercida por la otra parte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por ejemplo, una subsidiaria puede recibir instrucciones de su controladora para no llevar a cabo actividades de investigación y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Por estas razones, el conocimiento de las transacciones, saldos pendientes, incluyendo compromisos, y relaciones de una entidad con partes relacionadas podría afectar a la evaluación de sus operaciones por los usuarios de los estados financieros, incluyendo la evaluación de los riesgos y oportunidades a los que se enfrenta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parte relacionada</w:t>
      </w:r>
      <w:r w:rsidRPr="00401DFF">
        <w:rPr>
          <w:rFonts w:ascii="Times New Roman" w:eastAsia="Times New Roman" w:hAnsi="Times New Roman" w:cs="Times New Roman"/>
          <w:b/>
          <w:bCs/>
          <w:sz w:val="24"/>
          <w:szCs w:val="24"/>
          <w:lang w:eastAsia="es-CO"/>
        </w:rPr>
        <w:t xml:space="preserve"> es una persona o entidad que está relacionada con la entidad que prepara sus estados financieros (en esta Norma denominada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persona, o un familiar cercano a esa persona, está relacionada con una entidad que informa si esa persona: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ejerce control o control conjunto sobre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ejerce influencia significativa sobre la entidad que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es un miembro del personal clave de la gerencia de la entidad que informa o de una controladora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entidad está relacionada con una entidad que informa si le son aplicables cualquiera de las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entidad y la entidad que informa son miembros del mismo grupo (lo cual significa que cada una de ellas, ya sea controladora, subsidiaria u otra subsidiaria de la misma controladora, son partes relacionadas entre sí).</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entidad es una asociada o un negocio conjunto de la otra entidad (o una asociada o control conjunto de un miembro de un grupo del que la otra entidad es miembro).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Ambas entidades son negocios conjuntos de la misma tercera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Una entidad es un negocio conjunto de una tercera entidad y la otra entidad es una asociada de la tercera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(v) La entidad es un plan de beneficios post-empleo para beneficio de los empleados de la entidad que informa o de una entidad relacionada con ésta. Si la propia entidad que informa es un plan, los empleadores patrocinadores también son parte relacionada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La entidad está controlada o controlada conjuntamente por una persona identificada en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 Una persona identificada en (a)(i) tiene influencia significativa sobre la entidad o es un miembro del personal clave de la gerencia de la entidad (o de una controladora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Una transacción entre partes relacionadas </w:t>
      </w:r>
      <w:r w:rsidRPr="00401DFF">
        <w:rPr>
          <w:rFonts w:ascii="Times New Roman" w:eastAsia="Times New Roman" w:hAnsi="Times New Roman" w:cs="Times New Roman"/>
          <w:b/>
          <w:bCs/>
          <w:sz w:val="24"/>
          <w:szCs w:val="24"/>
          <w:lang w:eastAsia="es-CO"/>
        </w:rPr>
        <w:t>es una transferencia de recursos, servicios u obligaciones entre una entidad que informa y una parte relacionada, con independencia de que se cargue o no un precio.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Familiares cercanos a una persona</w:t>
      </w:r>
      <w:r w:rsidRPr="00401DFF">
        <w:rPr>
          <w:rFonts w:ascii="Times New Roman" w:eastAsia="Times New Roman" w:hAnsi="Times New Roman" w:cs="Times New Roman"/>
          <w:b/>
          <w:bCs/>
          <w:sz w:val="24"/>
          <w:szCs w:val="24"/>
          <w:lang w:eastAsia="es-CO"/>
        </w:rPr>
        <w:t xml:space="preserve"> son aquellos miembros de la familia de los que se podría esperar que influyeran a, o fueran influidos por esa persona en sus relaciones con la entidad 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hijos de esa persona y el cónyuge o persona con análoga relación de afectividad;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hijos del cónyuge de esa persona o persona con análoga relación de afectividad;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personas dependientes de esa persona o el cónyuge de esa persona, o persona con análoga relación de afectividad.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Remuneraciones,</w:t>
      </w:r>
      <w:r w:rsidRPr="00401DFF">
        <w:rPr>
          <w:rFonts w:ascii="Times New Roman" w:eastAsia="Times New Roman" w:hAnsi="Times New Roman" w:cs="Times New Roman"/>
          <w:b/>
          <w:bCs/>
          <w:sz w:val="24"/>
          <w:szCs w:val="24"/>
          <w:lang w:eastAsia="es-CO"/>
        </w:rPr>
        <w:t xml:space="preserve"> incluyen todos los beneficios a los empleados (tal como se definen en la NIC 19 </w:t>
      </w:r>
      <w:r w:rsidRPr="00401DFF">
        <w:rPr>
          <w:rFonts w:ascii="Times New Roman" w:eastAsia="Times New Roman" w:hAnsi="Times New Roman" w:cs="Times New Roman"/>
          <w:b/>
          <w:bCs/>
          <w:i/>
          <w:iCs/>
          <w:sz w:val="24"/>
          <w:szCs w:val="24"/>
          <w:lang w:eastAsia="es-CO"/>
        </w:rPr>
        <w:t>Beneficios a los Empleados)</w:t>
      </w:r>
      <w:r w:rsidRPr="00401DFF">
        <w:rPr>
          <w:rFonts w:ascii="Times New Roman" w:eastAsia="Times New Roman" w:hAnsi="Times New Roman" w:cs="Times New Roman"/>
          <w:b/>
          <w:bCs/>
          <w:sz w:val="24"/>
          <w:szCs w:val="24"/>
          <w:lang w:eastAsia="es-CO"/>
        </w:rPr>
        <w:t xml:space="preserve"> incluyendo los beneficios a los empleados a los que es aplicable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 Los beneficios a los empleados comprenden todas las formas de contraprestación pagadas, por pagar o suministradas por la entidad, o en nombre de la misma, a cambio de servicios prestados a la entidad. También incluyen las contraprestaciones pagadas en nombre de la controladora de la entidad, con respecto a la entidad. Las remuneraciones comprenden: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beneficios a los empleados a corto plazo, tales como sueldos, salarios y aportaciones a la seguridad social, ausencias remuneradas anuales, ausencias remuneradas por enfermedad, participación en ganancias e incentivos (si se pagan dentro de los doce meses siguientes al final del periodo), y beneficios no monetarios (tales como atención médica, vivienda, automóviles y bienes o servicios subvencionados o gratuitos) para los empleados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beneficios post-empleo, tales como pensiones y otros beneficios por retiro, seguros de vida y atención médica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 otros beneficios a los empleados a largo plazo, incluyendo las ausencias remuneradas después de largos periodos de servicio o sabáticas, jubileos u otros beneficios después de un largo tiempo de servicio, los beneficios por incapacidad prolongada y, si no deben pagarse totalmente dentro de los doce meses siguientes al final del periodo, la participación en ganancias, incentivos y la compensación diferida;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beneficios por terminación;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Personal clave de la gerencia</w:t>
      </w:r>
      <w:r w:rsidRPr="00401DFF">
        <w:rPr>
          <w:rFonts w:ascii="Times New Roman" w:eastAsia="Times New Roman" w:hAnsi="Times New Roman" w:cs="Times New Roman"/>
          <w:b/>
          <w:bCs/>
          <w:sz w:val="24"/>
          <w:szCs w:val="24"/>
          <w:lang w:eastAsia="es-CO"/>
        </w:rPr>
        <w:t xml:space="preserve"> son aquellas personas que tienen autoridad y responsabilidad para planificar, dirigir y controlar las actividades de la entidad, directa o indirectamente, incluyendo cualquier director o administrador (sea o no ejecutivo) de esa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Gobierno</w:t>
      </w:r>
      <w:r w:rsidRPr="00401DFF">
        <w:rPr>
          <w:rFonts w:ascii="Times New Roman" w:eastAsia="Times New Roman" w:hAnsi="Times New Roman" w:cs="Times New Roman"/>
          <w:b/>
          <w:bCs/>
          <w:sz w:val="24"/>
          <w:szCs w:val="24"/>
          <w:lang w:eastAsia="es-CO"/>
        </w:rPr>
        <w:t xml:space="preserve"> se refiere al gobierno en sí, a las agencias gubernamentales y organismos similares, ya sean locales, regionales, nacionales o internacionales.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parte relacionada del gobierno</w:t>
      </w:r>
      <w:r w:rsidRPr="00401DFF">
        <w:rPr>
          <w:rFonts w:ascii="Times New Roman" w:eastAsia="Times New Roman" w:hAnsi="Times New Roman" w:cs="Times New Roman"/>
          <w:b/>
          <w:bCs/>
          <w:sz w:val="24"/>
          <w:szCs w:val="24"/>
          <w:lang w:eastAsia="es-CO"/>
        </w:rPr>
        <w:t xml:space="preserve"> es una entidad que está controlada, controlada conjuntamente o influida de forma significativa por un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términos “control”, “control conjunto” e “influencia significativa” están definidos en la NIIF 10, NIIF 11 </w:t>
      </w:r>
      <w:r w:rsidRPr="00401DFF">
        <w:rPr>
          <w:rFonts w:ascii="Times New Roman" w:eastAsia="Times New Roman" w:hAnsi="Times New Roman" w:cs="Times New Roman"/>
          <w:b/>
          <w:bCs/>
          <w:i/>
          <w:iCs/>
          <w:sz w:val="24"/>
          <w:szCs w:val="24"/>
          <w:lang w:eastAsia="es-CO"/>
        </w:rPr>
        <w:t>Acuerdos Conjuntos</w:t>
      </w:r>
      <w:r w:rsidRPr="00401DFF">
        <w:rPr>
          <w:rFonts w:ascii="Times New Roman" w:eastAsia="Times New Roman" w:hAnsi="Times New Roman" w:cs="Times New Roman"/>
          <w:b/>
          <w:bCs/>
          <w:sz w:val="24"/>
          <w:szCs w:val="24"/>
          <w:lang w:eastAsia="es-CO"/>
        </w:rPr>
        <w:t xml:space="preserve"> y NIC 28 </w:t>
      </w:r>
      <w:r w:rsidRPr="00401DFF">
        <w:rPr>
          <w:rFonts w:ascii="Times New Roman" w:eastAsia="Times New Roman" w:hAnsi="Times New Roman" w:cs="Times New Roman"/>
          <w:b/>
          <w:bCs/>
          <w:i/>
          <w:iCs/>
          <w:sz w:val="24"/>
          <w:szCs w:val="24"/>
          <w:lang w:eastAsia="es-CO"/>
        </w:rPr>
        <w:t>Inversiones en Asociadas y Negocios Conjuntos</w:t>
      </w:r>
      <w:r w:rsidRPr="00401DFF">
        <w:rPr>
          <w:rFonts w:ascii="Times New Roman" w:eastAsia="Times New Roman" w:hAnsi="Times New Roman" w:cs="Times New Roman"/>
          <w:b/>
          <w:bCs/>
          <w:sz w:val="24"/>
          <w:szCs w:val="24"/>
          <w:lang w:eastAsia="es-CO"/>
        </w:rPr>
        <w:t xml:space="preserve"> y se utilizan en esta Norma con los significados especificados en dichas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Al considerar cada posible relación entre partes relacionadas, se ha de prestar atención a la esencia de la relación, y no solamente a su forma legal.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En el contexto de esta Norma, los siguientes casos no se consideran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Dos entidades por el mero hecho de tener en común un director o administrador u otro miembro del personal clave de la gerencia o porque un miembro del personal clave de la gerencia de una entidad tenga influencia significativa sobre la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Dos participantes en un negocio conjunto, por el mero hecho de tener control conjunto sobre el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proveedores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sindicatos;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entidades de servicios públicos;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(iv) departamentos y agencias de un gobierno que no controla, controla conjuntamente o influye de forma significativa 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Simplemente en virtud de sus relaciones normales con la entidad (aún cuando puedan afectar la libertad de acción de una entidad o participar en su proceso de toma de decisiones).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cliente, proveedor, franquiciador, distribuidor o agente en exclusiva con los que una entidad realice un volumen significativo de transacciones, simplemente en virtud de la dependencia económica resultante.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En la definición de una parte relacionada, una asociada incluye subsidiarias de la asociada y un negocio conjunto incluye subsidiarias del negocio conjunto. Por ello, por ejemplo, una subsidiaria de la asociada y el inversor que tiene influencia significativa sobre la asociada están relacionados mutuamente.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Todas las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Deberán revelar las relaciones entre una controladora y sus subsidiarias independientemente de si ha habido transacciones entre ellas. Una entidad revelará el nombre de su controladora y, si fuera diferente, el de la parte controladora última. Si ni la controladora de la entidad ni la parte controladora última elaborasen estados financieros consolidados disponibles para uso público, se revelará también el nombre de la siguiente controladora más alta que lo haga.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Para permitir que los usuarios de los estados financieros se formen una opinión sobre los efectos que las relaciones entre partes relacionadas tienen sobre la entidad, resultará apropiado revelar las relaciones entre partes relacionadas cuando exista control, con independencia de que se hayan producido o no transacciones entre las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El requerimiento de revelar las relaciones entre partes relacionadas que tienen lugar entre una controladora y sus subsidiarias es adicional a los requerimientos de información a revelar contenidos en la NIC 27, NIIF 12 </w:t>
      </w:r>
      <w:r w:rsidRPr="00401DFF">
        <w:rPr>
          <w:rFonts w:ascii="Times New Roman" w:eastAsia="Times New Roman" w:hAnsi="Times New Roman" w:cs="Times New Roman"/>
          <w:i/>
          <w:iCs/>
          <w:sz w:val="24"/>
          <w:szCs w:val="24"/>
          <w:lang w:eastAsia="es-CO"/>
        </w:rPr>
        <w:t>Información a Revelar sobre Participaciones en Otras Entidades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El párrafo 13 hace referencia a la siguiente controladora más alta. Esta es la primera controladora en el grupo por encima de la controladora inmediata que elabora estados financieros consolidados disponibles para uso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17 Una entidad revelará las remuneraciones del personal clave de la gerencia en total y para cada una de las siguientes categorías: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beneficios a los empleados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beneficios post-empleo;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otros beneficios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beneficios por terminación;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18 Si una entidad ha tenido transacciones con partes relacionadas durante los periodos cubiertos por los estados financieros, ésta revelará la naturaleza de la relación con la parte relacionada, así como la información sobre las transacciones y saldos pendientes, incluyendo compromisos, que sea necesaria para que los usuarios comprendan el efecto potencial de la relación sobre los estados financieros. Estos requerimientos de información a revelar son adicionales a los del párrafo 17. Como mínimo, la información a revelar incluirá: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las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los saldos pendientes, incluyendo compromisos,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sus plazos y condiciones, incluyendo si están garantizados, así como la naturaleza de la contraprestación fijada para su liquidación;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detalles de cualquier garantía otorgada o recibida;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estimaciones por deudas de dudoso cobro relativas a importes incluidos en los saldos pendientes;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gasto reconocido durante el periodo relativo a las deudas incobrables o de dudoso cobro, procedentes de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La información a revelar requerida por el párrafo 18 se suministrará, por separado, para cada una de las siguientes categorías: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entidades con control conjunto o influencia significativa sobre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negocios conjuntos en los que la entidad es un participante en el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personal clave de la gerencia de la entidad o de su controladora;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(g) otras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La clasificación de los importes de las cuentas por pagar y por cobrar de partes relacionadas, según las diferentes categorías requeridas por el párrafo 19, constituye una extensión de los requerimientos de información a revelar por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para la información presentada en el estado de situación financiera o en las notas. Las categorías se han ampliado, con el fin de proporcionar un desglose más completo de los saldos relativos a partes relacionadas, y se aplican a las transacciones con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Los siguientes son ejemplos de transacciones que se revelan si se han producido con una parte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compras o ventas de bienes (terminados o 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compras o ventas de inmuebles y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prestación o recepción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transferencias de investigación y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transferencias en función de acuerdos de licencias;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transferencias realizadas en función de acuerdos de financiación (incluyendo préstamos y aportaciones de patrimonio en efectivo o en especie);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otorgamiento de garantías colaterales y avales;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compromisos de hacer algo si ocurre o no un suceso concreto en el futuro, incluyendo contratos por ejecutar</w:t>
      </w:r>
      <w:hyperlink r:id="rId35" w:anchor="bf14b865b6e35974072a7e390454833f252nf9" w:tgtFrame="_self" w:history="1">
        <w:r w:rsidRPr="00401DFF">
          <w:rPr>
            <w:rFonts w:ascii="Times New Roman" w:eastAsia="Times New Roman" w:hAnsi="Times New Roman" w:cs="Times New Roman"/>
            <w:color w:val="0000FF"/>
            <w:sz w:val="20"/>
            <w:szCs w:val="20"/>
            <w:u w:val="single"/>
            <w:vertAlign w:val="superscript"/>
            <w:lang w:eastAsia="es-CO"/>
          </w:rPr>
          <w:t>(30)</w:t>
        </w:r>
      </w:hyperlink>
      <w:r w:rsidRPr="00401DFF">
        <w:rPr>
          <w:rFonts w:ascii="Times New Roman" w:eastAsia="Times New Roman" w:hAnsi="Times New Roman" w:cs="Times New Roman"/>
          <w:sz w:val="24"/>
          <w:szCs w:val="24"/>
          <w:lang w:eastAsia="es-CO"/>
        </w:rPr>
        <w:t xml:space="preserve"> (reconocidos o sin reconocer);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la liquidación de pasivos en nombre de la entidad, o por la entidad en nombre de esa parte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 participación de una controladora o de una subsidiaria en un plan de beneficios definidos donde se comparta el riesgo entre las entidades del grupo es una transacción entre partes relacionadas [véase el párrafo 42 de la NIC 19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Se revelará información de que las transacciones realizadas entre partes relacionadas se han llevado a cabo en condiciones de equivalencia a las de transacciones con independencia mutua entre las partes, sólo si dichas condiciones pueden ser justificadas.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24 Las partidas de naturaleza similar pueden revelarse en total, a menos que su revelación por separado sea necesaria para comprender los efectos de las transacciones entre partes relacionadas en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Entidades relacionadas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Una entidad que informa está exenta de los requerimientos de información a revelar del párrafo 18 en relación con transacciones entre partes relacionadas y saldos pendientes, incluyendo compromisos, con: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gobierno que tiene control, o control conjunto o influencia significativa sobre la entidad que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otra entidad que sea una parte relacionada, porque el mismo gobierno tiene control, o control conjunto o influencia significativa tanto sobre la entidad que informa como sobre la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Si una entidad que informa aplica la exención del párrafo 25, revelará la siguiente información sobre las transacciones y saldos pendientes relacionados a los que hace referencia el párrafo 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nombre del gobierno y la naturaleza de su relación con la entidad que informa (es decir control, control conjunto o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siguiente información con suficiente detalle para permitir a los usuarios de los estados financieros de la entidad entender el efecto de las transacciones entre partes relacionadas en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naturaleza e importe de cada transacción individualmente significativa;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para otras transacciones que sean significativas de forma colectiva, pero no individual, una indicación cualitativa o cuantitativa de su alcance. Los tipos de transacciones incluyen los enumerados en 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Al utilizar su juicio para determinar el nivel de detalle a revelar de acuerdo con los requerimientos del párrafo 26(b), la entidad que informa considerará la proximidad de la relación de la parte relacionada y otros factores relevantes para establecer el nivel de importancia de la transacción, tales como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 importante en términos de tamaño;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llevó a cabo en condiciones distintas a las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se realizó al margen de las operaciones diarias del negocio, tales como la compra y venta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se reveló a las autoridades reguladoras y de supervisión;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se informó a la alta dirección;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se sometió a la aprobación de los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aplicará esta Norma de forma retroactiva para los periodos anuales que comiencen a partir del 1 de enero de 2011. Se permite la aplicación anticipada de la Norma completa o de la exención parcial de los párrafos 25 a 27 para las entidades relacionadas del gobierno. Si una entidad aplicase esta Norma completa o esa exención parcial para un periodo que comience antes del 1 de enero de 2011,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28A La NIIF 10, NIIF 11 </w:t>
      </w:r>
      <w:r w:rsidRPr="00401DFF">
        <w:rPr>
          <w:rFonts w:ascii="Times New Roman" w:eastAsia="Times New Roman" w:hAnsi="Times New Roman" w:cs="Times New Roman"/>
          <w:i/>
          <w:iCs/>
          <w:sz w:val="24"/>
          <w:szCs w:val="24"/>
          <w:lang w:eastAsia="es-CO"/>
        </w:rPr>
        <w:t xml:space="preserve">Acuerdos Conjuntos </w:t>
      </w:r>
      <w:r w:rsidRPr="00401DFF">
        <w:rPr>
          <w:rFonts w:ascii="Times New Roman" w:eastAsia="Times New Roman" w:hAnsi="Times New Roman" w:cs="Times New Roman"/>
          <w:sz w:val="24"/>
          <w:szCs w:val="24"/>
          <w:lang w:eastAsia="es-CO"/>
        </w:rPr>
        <w:t>y NIIF 12 emitidas en mayo de 2011, modificaron los párrafos 3, 9, 11(b), 15, 19(b) y (e) y 25. Una entidad aplicará esas modificaciones cuando aplique las NIIF 10, NIIF 11 y 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24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29 Esta Norma sustituye a la NIC 24 </w:t>
      </w:r>
      <w:r w:rsidRPr="00401DFF">
        <w:rPr>
          <w:rFonts w:ascii="Times New Roman" w:eastAsia="Times New Roman" w:hAnsi="Times New Roman" w:cs="Times New Roman"/>
          <w:i/>
          <w:iCs/>
          <w:sz w:val="24"/>
          <w:szCs w:val="24"/>
          <w:lang w:eastAsia="es-CO"/>
        </w:rPr>
        <w:t xml:space="preserve">Información sobre Partes Relacionadas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define los contratos por ejecutar como aquéllos en los que las partes no han cumplido ninguna de sus obligaciones, o en los que ambas partes han ejecutado parcialmente sus obligaciones en igual medida.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Contabilización e Información Financiera sobre Planes de Beneficio por Retiro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se aplica a los estados financieros de planes de beneficio por retiro, cuando éstos se preparan.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Los planes de beneficio por retiro son conocidos, en ocasiones, con otros nombres, tales como “planes de pensiones”, “sistemas complementarios de prestaciones por jubilación” o “planes de beneficios por retiro”. Los planes de beneficio por retiro se consideran, en la Norma, como entidades diferentes de los empleadores y de las personas que participan en dicho planes. El resto de las Normas son aplicables a las informaciones procedentes de los planes de beneficio por retiro, en la medida en que no queden derogadas por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 Esta Norma trata de la contabilidad y la información a presentar, por parte del plan, a todos los participantes como grupo. No se ocupa, por el contrario de las informaciones a los individuos participantes acerca de sus derechos adquiridos sobre 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se refiere a la determinación del costo de los beneficios por retiro, en los estados financieros de los empleadores que tienen establecido un plan. Por tanto, esta Norma complementa la citada NIC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planes de beneficio por retiro pueden ser de aportaciones definidas o de beneficios definidos. Muchos de ellos exigen la creación de fondos separados, que pueden o no tener personalidad jurídica independiente, así como pueden o no tener fideicomisarios que reciben las aportaciones y pagan los beneficios por retiro. La presente Norma es de aplicación con independencia de la creación del fondo separado o de la existencia de fideicomisarios.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planes de beneficio por retiro cuyos activos han sido invertidos en una compañía de seguros, están sometidos a las mismas obligaciones de contabilidad y capitalización que aquéllos donde las inversiones se administran privadamente. Por consiguiente, estos planes quedan dentro del alcance de esta Norma, a menos que el contrato con la compañía de seguros se haya hecho en nombre de un participante específico o de un grupo de participantes, y la obligación sobre los beneficios por retiro recaiga exclusivamente sobre la citada compañía.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presente Norma no se ocupa de otros tipos de ventajas sociales de los empleados tales como las indemnizaciones por despido, los acuerdos de remuneración diferida, las gratificaciones por ausencia prolongada, los planes de retiro anticipado o de reestructuración de plantilla, los programas de seguros de enfermedad y de previsión colectiva o los sistemas de bonos a los trabajadores. También se excluyen del alcance de la Norma los programas de seguridad social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Planes de beneficio por retiro</w:t>
      </w:r>
      <w:r w:rsidRPr="00401DFF">
        <w:rPr>
          <w:rFonts w:ascii="Times New Roman" w:eastAsia="Times New Roman" w:hAnsi="Times New Roman" w:cs="Times New Roman"/>
          <w:b/>
          <w:bCs/>
          <w:sz w:val="24"/>
          <w:szCs w:val="24"/>
          <w:lang w:eastAsia="es-CO"/>
        </w:rPr>
        <w:t xml:space="preserve"> son acuerdos en los que una entidad se compromete a suministrar beneficios a sus empleados, en el momento de terminar sus servicios o después (ya sea en forma de renta periódica o como pago único), siempre que tales beneficios, o las aportaciones a los mismos que dependan del empleador, puedan ser determinados o estimados con anterioridad al momento del retiro, ya sea a partir de las cláusulas establecidas en un documento o de las prácticas habituales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Planes de aportaciones definidas</w:t>
      </w:r>
      <w:r w:rsidRPr="00401DFF">
        <w:rPr>
          <w:rFonts w:ascii="Times New Roman" w:eastAsia="Times New Roman" w:hAnsi="Times New Roman" w:cs="Times New Roman"/>
          <w:b/>
          <w:bCs/>
          <w:sz w:val="24"/>
          <w:szCs w:val="24"/>
          <w:lang w:eastAsia="es-CO"/>
        </w:rPr>
        <w:t xml:space="preserve"> son planes de beneficio por retiro, en los que las cantidades a pagar como beneficios se determinan en función de las cotizaciones al fondo y de los rendimientos de la inversión que el mismo haya generado.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Planes de beneficios definidos</w:t>
      </w:r>
      <w:r w:rsidRPr="00401DFF">
        <w:rPr>
          <w:rFonts w:ascii="Times New Roman" w:eastAsia="Times New Roman" w:hAnsi="Times New Roman" w:cs="Times New Roman"/>
          <w:b/>
          <w:bCs/>
          <w:sz w:val="24"/>
          <w:szCs w:val="24"/>
          <w:lang w:eastAsia="es-CO"/>
        </w:rPr>
        <w:t xml:space="preserve"> son planes de beneficio por retiro, en los que las cantidades a pagar en concepto de beneficios se determinan por medio de una fórmula, normalmente basada en los salarios de los empleados, en los años de servicio o en ambas cosas a la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Financiación mediante un fondo</w:t>
      </w:r>
      <w:r w:rsidRPr="00401DFF">
        <w:rPr>
          <w:rFonts w:ascii="Times New Roman" w:eastAsia="Times New Roman" w:hAnsi="Times New Roman" w:cs="Times New Roman"/>
          <w:b/>
          <w:bCs/>
          <w:sz w:val="24"/>
          <w:szCs w:val="24"/>
          <w:lang w:eastAsia="es-CO"/>
        </w:rPr>
        <w:t xml:space="preserve"> es el proceso de transferencia de los activos del plan a una entidad separada (el fondo), con cuyo patrimonio se cubre el pago de las obligaciones derivadas del plan de beneficio por retiro.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Para los propósitos de la presente Norma, se usan también los siguientes términos con el significado que a continuación se detalla: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Participantes </w:t>
      </w:r>
      <w:r w:rsidRPr="00401DFF">
        <w:rPr>
          <w:rFonts w:ascii="Times New Roman" w:eastAsia="Times New Roman" w:hAnsi="Times New Roman" w:cs="Times New Roman"/>
          <w:b/>
          <w:bCs/>
          <w:sz w:val="24"/>
          <w:szCs w:val="24"/>
          <w:lang w:eastAsia="es-CO"/>
        </w:rPr>
        <w:t>son los miembros del plan de beneficio por retiro y otras personas que tienen derecho a prestaciones en virtud de las condiciones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netos disponibles para el pago de beneficios</w:t>
      </w:r>
      <w:r w:rsidRPr="00401DFF">
        <w:rPr>
          <w:rFonts w:ascii="Times New Roman" w:eastAsia="Times New Roman" w:hAnsi="Times New Roman" w:cs="Times New Roman"/>
          <w:b/>
          <w:bCs/>
          <w:sz w:val="24"/>
          <w:szCs w:val="24"/>
          <w:lang w:eastAsia="es-CO"/>
        </w:rPr>
        <w:t xml:space="preserve"> son los activos del plan menos las obligaciones del mismo diferentes del valor actuarial presente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actuarial presente de los beneficios prometidos por retiro</w:t>
      </w:r>
      <w:r w:rsidRPr="00401DFF">
        <w:rPr>
          <w:rFonts w:ascii="Times New Roman" w:eastAsia="Times New Roman" w:hAnsi="Times New Roman" w:cs="Times New Roman"/>
          <w:b/>
          <w:bCs/>
          <w:sz w:val="24"/>
          <w:szCs w:val="24"/>
          <w:lang w:eastAsia="es-CO"/>
        </w:rPr>
        <w:t xml:space="preserve"> es, en un plan de beneficio por retiro, el valor presente de los pagos que se espera hacer a los empleados, antiguos y actuales, en razón de los servicios por ellos prestados hasta el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Beneficios consolidados (irrevocables)</w:t>
      </w:r>
      <w:r w:rsidRPr="00401DFF">
        <w:rPr>
          <w:rFonts w:ascii="Times New Roman" w:eastAsia="Times New Roman" w:hAnsi="Times New Roman" w:cs="Times New Roman"/>
          <w:b/>
          <w:bCs/>
          <w:sz w:val="24"/>
          <w:szCs w:val="24"/>
          <w:lang w:eastAsia="es-CO"/>
        </w:rPr>
        <w:t xml:space="preserve"> son beneficios, derivados de las condiciones de un plan de beneficio por retiro, en los que el derecho a recibirlos no está condicionado a la continuidad en el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Algunos planes de beneficio por retiro son financiados por personas distintas de los empleadores; esta Norma también es de aplicación a la información financiera sobre tales planes.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mayoría de los planes de beneficio por retiro se basan en un acuerdo contractual. Algunos planes son informales, pero han adquirido un carácter obligatorio como resultado de costumbres establecidas por los empleadores. Mientras que ciertos planes permiten al empleador terminar, en algún momento, con todas las obligaciones derivadas de los mismos, normalmente es difícil para el empleador cancelar un plan si los empleados han de permanecer a su servicio. Las mismas bases de contabilidad e información financiera se aplican a los planes formales y a los informales.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Muchos planes de beneficios prevén el establecimiento de fondos independientes, a los que se entregan las cotizaciones y se reclaman las prestaciones. Estos fondos son administrados por terceras personas, que actúan de forma independiente en la gestión de los activos del fondo. Esas personas son denominadas fiduciarios en algunos países. El término fiduciario se utiliza en esta Norma para describir a estas personas, con independencia de la existencia jurídica de la fiducia.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 Normalmente, los planes de beneficio por retiro pertenecen a uno de los dos tipos ya mencionados: planes de aportaciones definidas o planes de beneficios definidos, teniendo cada uno sus propias características distintivas. Ocasionalmente pueden encontrarse planes con caracteres de ambos. Estos planes mixtos se consideran, para los propósitos de esta Norma, como planes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de aportaciones 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En la información procedente de un plan de aportaciones definidas, debe incluirse un estado de los activos netos para atender beneficios, así como una descripción de la política de capitalización.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Dentro de un plan de aportaciones definidas, la cuantía de los beneficios futuros a los participantes viene determinada por las aportaciones del empresario, del empleado o de ambos, junto con la eficiencia conseguida en la gestión del fondo y las rentas de las inversiones pertenecientes al mismo. El desembolso de las cotizaciones libera habitualmente al empleador de sus obligaciones con el fondo. Normalmente, no es necesario el asesoramiento de un profesional actuario, aunque tal asesoramiento se usa a veces para estimar los beneficios alcanzables en el futuro teniendo en cuenta las aportaciones actuales, así como los diversos niveles de aportaciones futuras y las ganancias que se consigan de las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Los participantes están interesados en las actividades del plan en tanto que afectan directamente a los importes de los beneficios futuros. Los participantes, asimismo, están interesados en saber si las aportaciones han sido recibidas y si se ha ejercido el control apropiado para la protección de los derechos de los beneficiarios. El empleador, por su parte, está interesado en el funcionamiento eficiente y equitativo del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El objetivo de la información procedente de un plan de aportaciones definidas es el de dar cuenta, periódicamente, de la situación del plan y de los rendimientos de sus inversiones. Tal objetivo se alcanza usualmente suministrando información que comprenda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las actividades más significativas del periodo y del efecto de cualesquiera cambios relativos al plan, así como a sus participantes, plazos y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estados demostrativos de las transacciones y del rendimiento de las inversiones en el periodo, así como la situación financiera del plan al final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la política de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Planes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17 La información proveniente de un plan de beneficios definidos debe contener la información reseñada en uno cualquiera de los siguientes apartados: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un estado que muestre 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activos netos para atender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valor actuarial presente de los beneficios prometidos, distinguiendo entre los beneficios irrevocables y los que no lo son;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superávit o déficit resultante;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estado de los activos netos para atender beneficios incluyendo o bien: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una nota en la que se revele el valor actuarial presente de los beneficios prometidos distinguiendo entre beneficios consolidados (irrevocables) y los que no lo son;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remisión al informe adjunto del actuario que contenga esta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no se ha preparado valoración actuarial en la fecha de la información, la valoración más reciente de que se disponga debe ser usada como base, revelando la fecha en que se hizo.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18 Para los propósitos del párrafo 17, el valor actuarial presente de los beneficios definidos, debe basarse en los beneficios definidos en virtud del plan, teniendo en cuenta los servicios prestados hasta la fecha de la rendición de cuentas. El establecimiento de la cifra concreta se hará, ya sea en función de los salarios actuales o de los proyectados, con explícita indicación del método utilizado. Asimismo, debe revelarse el efecto de cualquier cambio en las suposiciones actuariales que puedan tener una incidencia significativa en el valor actuarial presente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Los estados financieros explicarán la relación existente entre el valor actuarial presente de los beneficios prometidos y los activos netos para atender tales beneficios, así como de la política seguida para la capitalización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Dentro de un plan de beneficios definidos, el pago de los beneficios prometidos depende tanto de la situación financiera del plan y de la capacidad de los aportantes para realizar las aportaciones futuras, como del rendimiento de las inversiones del plan y de la eficiencia conseguida en la gestión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En un plan de beneficios definidos, es necesario el asesoramiento periódico de un profesional actuario para evaluar la situación financiera del plan, revisar las suposiciones actuariales y hacer recomendaciones sobre los niveles que deben alcanzar las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El objetivo de la información contable periódica, procedente de un plan de beneficios, es dar cuenta de los recursos financieros y de las actividades del plan, datos que son útiles al evaluar las relaciones entre la acumulación de recursos y los beneficios satisfechos por el </w:t>
      </w:r>
      <w:r w:rsidRPr="00401DFF">
        <w:rPr>
          <w:rFonts w:ascii="Times New Roman" w:eastAsia="Times New Roman" w:hAnsi="Times New Roman" w:cs="Times New Roman"/>
          <w:sz w:val="24"/>
          <w:szCs w:val="24"/>
          <w:lang w:eastAsia="es-CO"/>
        </w:rPr>
        <w:lastRenderedPageBreak/>
        <w:t>plan en cada momento. Este objetivo se alcanza, usualmente, suministrando información que comprenda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las actividades más significativas del periodo y del efecto de cualesquiera cambios relativos al plan, así como a sus participantes, plazos y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estados demostrativos de las transacciones y del rendimiento de las inversiones en el periodo, así como la situación financiera del plan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información actuarial, ya sea presentada formando parte de los anteriores estados o por separado;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descripción de la política de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actuarial presente de los beneficios por retiro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 valor presente de los beneficios a realizar en virtud de un plan de jubilación puede ser calculado, y presentados los cálculos, ya sea en función de los niveles de salarios actuales, o de los proyectados al momento del retiro de los participantes.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Entre las principales razones que pueden apoyar la adopción del método de los salarios actuales, están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actuarial presente de los beneficios prometidos, esto es, la suma de los importes actualmente atribuibles a cada participante en el plan, el cual puede ser calculado con este método más objetivamente que usando el de los salarios proyectados, dado que implica un número menor de suposiciones valorativas;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incrementos en los beneficios correspondientes a un aumento en el salario se convierten en obligaciones para el plan en el momento de producirse el citado aumento;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usando salarios actuales, el importe del valor actuarial de los beneficios prometidos está más estrechamente relacionado con la cantidad a pagar si se produjese el cese o interrupción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Entre las principales razones que pueden apoyar la adopción del método de los salarios proyectados, están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información financiera debe prepararse sobre la base de la continuidad del plan, cualesquiera que sean las suposiciones y estimaciones a realizar;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el caso de planes según pagos finales, los beneficios se determinan en función de los salarios en el momento del retiro o en épocas cercanas al mismo, por lo cual es necesario hacer proyecciones de salarios, niveles de aportación y tasas de rendimiento de las inversiones;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el hecho de no incorporar proyecciones de salarios, cuando la mayoría de las capitalizaciones se fundamentan en este tipo de datos, puede dar como resultado que el plan aparezca, en la información presentada, como supercapitalizado cuando en realidad no lo está, o aparezca suficientemente dotado cuando en realidad está infracapitalizado.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Dentro de las informaciones provenientes del plan, se suministra el valor actuarial presente de los beneficios prometidos en función de los salarios corrientes, para indicar el importe de las obligaciones acumuladas (devengadas) hasta la fecha del informe. El valor actuarial presente de los beneficios prometidos en función de los salarios proyectados, se suministra para indicar el importe de las obligaciones potenciales en un régimen de gestión continuada, suposición que generalmente se toma como base para la capitalización. Además de presentar el valor actuarial presente de los beneficios prometidos, puede ser necesario dar una explicación suficiente para indicar claramente cuál es el contexto en el que debe ser leída e interpretada esta cifra. Esta explicación puede revestir la forma de información acerca de la capitalización planeada en el futuro y de la política de capitalización basada en las proyecciones de los salarios. Todo ello puede incluirse bien en la información financiera, bien en el informe del actuario.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Frecuencia de las evaluaciones actuariales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En muchos países las evaluaciones actuariales requieren una frecuencia no mayor de una vez cada tres años. En caso de que no se haya hecho una evaluación actuarial en la fecha de los estados financieros, se utiliza la evaluación más reciente como base indicando la fecha en que fue realizada.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Contenido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Para el caso de los planes de aportaciones definidas, la información se suministra utilizando uno de los siguientes formatos, que reflejan diferentes prácticas en la presentación de la información actuarial: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incluye en los estados financieros un estado que muestra los activos netos para atender beneficios, el valor actuarial presente de los beneficios prometidos y el déficit o superávit resultante. Los estados financieros del plan contienen también estados de cambios en los activos netos utilizables para el pago de beneficios, así como en el valor actuarial presente de los beneficios prometidos. Los estados financieros pueden incluir, por separado, un informe del actuario apoyando el cálculo del valor actuarial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informe que incluye el estado de los activos netos para atender beneficios y el estado de cambios habidos en tales activos netos. El valor actuarial presente de los beneficios prometidos se desglosa en una nota a los anteriores estados. Los estados financieros pueden también estar acompañados de un informe del actuario apoyando el cálculo del valor actuarial de los beneficios prometidos;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estados financieros que incluyan el estado de activos netos para atender beneficios y el estado de cambios en los activos netos, suministrando por separado, a través del informe del actuario, el valor actuarial presente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cada uno de estos formatos de información, los estados financieros presentados pueden estar acompañados de un informe de los fideicomisarios a modo de informe de gestión y de un informe sobre las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Quienes apoyan los formatos descritos en los apartados 28 (a) y (b), estiman que la cuantificación de los beneficios prometidos y el resto de la información suministrada, ayudan a los usuarios al evaluar la situación actual del plan y la probabilidad de que puedan cumplirse los compromisos del mismo. También opinan que los estados financieros deben ser completos en sí mismos, sin tener que depender de los informes o declaraciones que puedan acompañarlos. No obstante, algunos piensan que el formato descrito en el apartado 28(a) puede llevar a la impresión de que existe una obligación contraída, cuando el valor actuarial presente de los beneficios prometidos no tiene, en su opinión, todas las características de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Quienes apoyan el formato descrito en el apartado 28(c) creen que el valor actuarial presente de los beneficios prometidos no debe ser incluido en el estado de los activos netos disponibles para el pago de beneficios, como se hace en el formato descrito en el apartado 28(a), ni siquiera ser desglosado en una nota como se hace en el formato del apartado 28(b), porque tal importe sería comparado directamente con la cuantía de los activos del plan y tal comparación puede no ser válida. Ellos argumentan que los actuarios no necesariamente comparan el valor actuarial presente de los beneficios prometidos con los valores de mercado de las inversiones, sino que, en su lugar, pueden evaluar simplemente el valor presente de los flujos de efectivo esperados de las inversiones. Por tanto, quienes apoyan este formato estiman poco probable que tal comparación pueda llevar a una evaluación actuarial global del plan y, por ello, que el hecho de realizarla puede inducir a error al lector de la información. Además, algunos opinan que las informaciones sobre beneficios prometidos, ya sean cuantitativas o no, solamente deben contenerse en el informe separado del actuario, donde puede ser suministrada la explicación adecuada.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La presente Norma acepta el punto de vista favorable a permitir la presentación de la información relativa a los beneficios prometidos en un informe del actuario que se suministre por separado. La Norma rechaza los argumentos en contra de la cuantificación del valor actuarial presente de los beneficios prometidos. Por consiguiente, los formatos descritos en los apartados 28(a) y (b) se consideran aceptables en el contexto de la Norma, así como el formato descrito en el apartado 28(c), siempre que la información financiera contenida en el mismo remita al informe actuarial adjunto que incluye el valor actual presente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Referente a todos los planes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Valoración de los activos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32 Las inversiones del plan de beneficio por retiro deben contabilizarse por su valor razonable. En el caso de títulos cotizados, el valor razonable es el de mercado. Cuando existen inversiones, dentro del plan, cuyo valor razonable no puede estimarse, debe revelarse la razón por la cual no se ha podido usar tal método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En el caso de títulos cotizados, el valor razonable es usualmente el valor de mercado, puesto que se considera como la medida más útil del valor de los mismos en la fecha de los estados financieros, así como del rendimiento de la inversión en el periodo. Los títulos con un valor fijo de reembolso, que han sido adquiridos para cumplir con las obligaciones que el plan tenga en el momento de su vencimiento, o con una parte de las mismas, puede ser contabilizados por importes basados en su valor de reembolso, de manera que se obtenga una rentabilidad constante hasta el momento del vencimiento. Cuando no se dispone de valores razonables para algunas inversiones del plan de beneficio por retiro, por ejemplo en caso de poseer la totalidad del capital de una entidad, se revelará en los estados financieros la razón para no usar el valor razonable. Si existen inversiones que no se contabilizan por su valor de mercado o por su valor razonable, este último se revela, generalmente, también en los estados financieros. Los activos usados en la gestión de las operaciones del fondo se contabilizan empleando las Normas que les sean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En la información procedente de un plan de beneficio por retiro, ya sea de aportaciones o de beneficios definidos, deben incluirse también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estado de cambios en los activos netos para atender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resumen de las políticas contables significativas;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descripción del plan y del efecto de cualesquiera cambios habidos en el plan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La información suministrada por los planes de beneficio por retiro incluye, en la medida en que sean aplicables, los siguientes 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estado de los activos netos para atender beneficios mostrando: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activos al final del periodo, clasificados adecuadamente;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bases de valoración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detalles de cualquier inversión individual que exceda el 5% de los activos netos para atender beneficios, o el 5% de cualquier clase o categoría de títulos;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detalles sobre cualquier inversión realizada en la entidad del empleador;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(v) los pasivos distintos del valor actuarial presente de los beneficios prometidos;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estado que muestre la evolución en el periodo de los activos netos para atender beneficios, mostrando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aportaciones del empleador;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aportaciones de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los rendimientos de las inversiones, tales como intereses y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los ingresos provenientes de otras fuentes;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los beneficios pagados en el periodo o exigibles a final del mismo (detallando, por ejemplo, los planes de beneficio por retiro, muerte e invalidez, así como los beneficios satisfechos mediante pagos únicos);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los gastos de administración y gestión;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otro tipo de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(viii) los impuestos sobre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(ix) las pérdidas y ganancias por disposición de inversiones, así como los cambios en el importe en libros de las mismas;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(x) las transferencias hechas a, o recibidas de, otros planes;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la política relacionada con la constitución y mantenimiento del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para los planes de beneficios definidos, el valor actuarial presente de los beneficios prometidos (pudiendo distinguir entre beneficios consolidados (irrevocables) y aquéllos que no lo son) en función de los beneficios por retiro prometidos según el plan y de los servicios prestados hasta la fecha, utilizando los niveles de salarios corrientes o proyectados, pudiendo incluirse esta información en el informe adjunto del actuario, el cual debe ser leído e interpretado de forma conjunta con la información financiera correspondiente;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para los planes de aportaciones definidas, una descripción de las principales suposiciones actuariales realizadas y del método usado para calcular el valor presente de los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La información suministrada por un plan de beneficio por retiro contiene una descripción del propio plan, ya sea como parte de la información financiera o en documento aparte. Tal información puede contener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los nombres de los empleadores y la identificación de los grupos de empleados cubiertos;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número de participantes que reciben beneficios, así como el número de otros participantes, clasificados convenientemente;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tipo de plan de aportaciones definidas o de beneficios definidos;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nota en la que se precise si los participantes realizan sus cotizaciones al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descripción de los beneficio por retiro prometidos a los participantes;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una descripción de las eventuales condiciones de cese del plan;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los cambios habidos en los apartados (a) a (f) durante el periodo cubierto por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 es infrecuente la práctica de remitir al usuario de la información a otros documentos, de fácil acceso y comprensión, donde se describe el plan, e incluir únicamente, en la información a que se refiere este párrafo, los cambios subsiguientes a la emisión de tales documentos.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Esta Norma Internacional de Contabilidad tendrá vigencia para los estados financieros que cubran periodos que comiencen a partir del 1 de enero de 1988.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los requerimientos de contabilización e información a revelar para inversiones en subsidiarias, negocios conjuntos y asociadas cuando una entidad prepara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deberá aplicarse a la contabilidad de las inversiones en subsidiarias, negocios conjuntos y asociadas en el caso de que una entidad opte por presentar estados financieros separados, o esté obligada a ello por las regulaciones locales.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norma no establece qué entidades elaborarán estados financieros separados. Se aplica en el caso de que una entidad elabore estados financieros separados que cumplan con las Normas Internacionales de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Estados financieros consolidados</w:t>
      </w:r>
      <w:r w:rsidRPr="00401DFF">
        <w:rPr>
          <w:rFonts w:ascii="Times New Roman" w:eastAsia="Times New Roman" w:hAnsi="Times New Roman" w:cs="Times New Roman"/>
          <w:b/>
          <w:bCs/>
          <w:sz w:val="24"/>
          <w:szCs w:val="24"/>
          <w:lang w:eastAsia="es-CO"/>
        </w:rPr>
        <w:t xml:space="preserve"> son los estados financieros de un grupo en el que los activos, pasivos, patrimonio, ingresos, gastos, y flujos de efectivo de la controladora y sus subsidiarias se presentan como si se tratase de una sola entidad económica.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Estados financieros separados</w:t>
      </w:r>
      <w:r w:rsidRPr="00401DFF">
        <w:rPr>
          <w:rFonts w:ascii="Times New Roman" w:eastAsia="Times New Roman" w:hAnsi="Times New Roman" w:cs="Times New Roman"/>
          <w:b/>
          <w:bCs/>
          <w:sz w:val="24"/>
          <w:szCs w:val="24"/>
          <w:lang w:eastAsia="es-CO"/>
        </w:rPr>
        <w:t xml:space="preserve"> son los presentados por una controladora (es decir, un inversor con el control de una subsidiaria) o un inversor con control conjunto en una participada o influencia significativa sobre ésta, en la que las inversiones se contabilizan al costo o de acuerdo con la NIIF 9 </w:t>
      </w:r>
      <w:r w:rsidRPr="00401DFF">
        <w:rPr>
          <w:rFonts w:ascii="Times New Roman" w:eastAsia="Times New Roman" w:hAnsi="Times New Roman" w:cs="Times New Roman"/>
          <w:b/>
          <w:bCs/>
          <w:i/>
          <w:iCs/>
          <w:sz w:val="24"/>
          <w:szCs w:val="24"/>
          <w:lang w:eastAsia="es-CO"/>
        </w:rPr>
        <w:t>Instrumentos Financieros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Los siguientes términos se definen en el Apéndice A de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xml:space="preserve">, Apéndice A de la NIIF 11 </w:t>
      </w:r>
      <w:r w:rsidRPr="00401DFF">
        <w:rPr>
          <w:rFonts w:ascii="Times New Roman" w:eastAsia="Times New Roman" w:hAnsi="Times New Roman" w:cs="Times New Roman"/>
          <w:i/>
          <w:iCs/>
          <w:sz w:val="24"/>
          <w:szCs w:val="24"/>
          <w:lang w:eastAsia="es-CO"/>
        </w:rPr>
        <w:t xml:space="preserve">Acuerdos Conjuntos </w:t>
      </w:r>
      <w:r w:rsidRPr="00401DFF">
        <w:rPr>
          <w:rFonts w:ascii="Times New Roman" w:eastAsia="Times New Roman" w:hAnsi="Times New Roman" w:cs="Times New Roman"/>
          <w:sz w:val="24"/>
          <w:szCs w:val="24"/>
          <w:lang w:eastAsia="es-CO"/>
        </w:rPr>
        <w:t xml:space="preserve">y párrafo 3 de la NIC 28 </w:t>
      </w:r>
      <w:r w:rsidRPr="00401DFF">
        <w:rPr>
          <w:rFonts w:ascii="Times New Roman" w:eastAsia="Times New Roman" w:hAnsi="Times New Roman" w:cs="Times New Roman"/>
          <w:i/>
          <w:iCs/>
          <w:sz w:val="24"/>
          <w:szCs w:val="24"/>
          <w:lang w:eastAsia="es-CO"/>
        </w:rPr>
        <w:t>Inversiones en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partícipes de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Estados financieros separados son los presentados además de los estados financieros consolidados o junto con estados financieros en los que las inversiones en asociadas o negocios conjuntos se contabilizan utilizando el método de la participación, en circunstancias distintas de las establecidas en el párrafo 8. No será necesario que los estados financieros separados se anexen o acompañen a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Los estados financieros en los que se aplica el método de la participación no son estados financieros separados. De forma análoga, los estados financieros de una entidad que no </w:t>
      </w:r>
      <w:r w:rsidRPr="00401DFF">
        <w:rPr>
          <w:rFonts w:ascii="Times New Roman" w:eastAsia="Times New Roman" w:hAnsi="Times New Roman" w:cs="Times New Roman"/>
          <w:sz w:val="24"/>
          <w:szCs w:val="24"/>
          <w:lang w:eastAsia="es-CO"/>
        </w:rPr>
        <w:lastRenderedPageBreak/>
        <w:t>tenga una subsidiaria, una asociada o una participación de participantes conjuntos en conjuntos en negocios conjuntos no son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entidad que esté exenta de acuerdo con el párrafo 4(a) de la NIIF 10 de la consolidación o con el párrafo 17 de la NIC 28 (modificada en 2011) de aplicar el método de la participación puede presentar estados financieros separados como sus únicos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Preparación de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Los estados financieros separados se elaborarán de acuerdo con todas las NIIF aplicables, excepto por lo previsto en el párrafo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Cuando una entidad elabore estados financieros separados, contabilizará las inversiones en subsidiarias, negocios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al costo,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entidad aplicará el mismo tratamiento contable a cada categoría de inversión. Las inversiones contabilizadas al costo se reconocerán de acuerdo con la NIIF 5 </w:t>
      </w:r>
      <w:r w:rsidRPr="00401DFF">
        <w:rPr>
          <w:rFonts w:ascii="Times New Roman" w:eastAsia="Times New Roman" w:hAnsi="Times New Roman" w:cs="Times New Roman"/>
          <w:b/>
          <w:bCs/>
          <w:i/>
          <w:iCs/>
          <w:sz w:val="24"/>
          <w:szCs w:val="24"/>
          <w:lang w:eastAsia="es-CO"/>
        </w:rPr>
        <w:t>Activos No Corrientes Mantenidos para la Venta y Operaciones Discontinuadas</w:t>
      </w:r>
      <w:r w:rsidRPr="00401DFF">
        <w:rPr>
          <w:rFonts w:ascii="Times New Roman" w:eastAsia="Times New Roman" w:hAnsi="Times New Roman" w:cs="Times New Roman"/>
          <w:b/>
          <w:bCs/>
          <w:sz w:val="24"/>
          <w:szCs w:val="24"/>
          <w:lang w:eastAsia="es-CO"/>
        </w:rPr>
        <w:t xml:space="preserve"> en aquellos casos en que éstas se clasifiquen como mantenidas para la venta (o se incluyan en un grupo de activos para su disposición que se clasifique como mantenido para la venta). En estas circunstancias, no se modificará la medición de las inversiones contabilizadas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Si una entidad opta, de acuerdo con el párrafo 18 de la NIC 28 (modificada en 2011), por medir sus inversiones en asociadas o negocios conjuntos a valor razonable con cambios en resultados de acuerdo con la NIIF 9, contabilizará también esas inversiones de la misma forma en sus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Una entidad reconocerá un dividendo procedente de una subsidiaria, negocio conjunto o asociada en el resultado de periodo en sus estados financieros separados cuando se establezca su derecho a recibirlo.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Cuando una controladora reorganice la estructura de su grupo estableciendo una nueva entidad como su controladora de forma que satisfaga los siguientes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nueva controladora obtiene el control de la controladora original mediante la emisión de instrumentos de patrimonio a cambio de los instrumentos de patrimonio existentes de la controladora original;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y pasivos del nuevo grupo y del grupo original son los mismos inmediatamente antes y después de la reorganización;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los propietarios de la controladora original antes de la reorganización tienen la misma participación relativa y absoluta en los activos netos del grupo original y del nuevo grupo inmediatamente antes y después de la reorganización,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y la nueva controladora contabilice en sus estados financieros separados sus inversiones en la controladora original de acuerdo con el párrafo 10(a), la nueva controladora medirá el costo al importe en libros de su participación en las partidas del patrimonio incluidas en los estados financieros separados de la controladora original en la fecha de la reorganización.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De forma análoga, una entidad que no sea una controladora puede establecer una nueva entidad como su controladora de forma que satisfaga los criterios del párrafo 13. Los requerimientos del párrafo 13 se aplicarán igualmente a estas reorganizaciones. En estos casos, las referencias a “controladora original” y “grupo original” son a la “entidad original”.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Una entidad aplicará todas las NIIF que correspondan cuando proporcione información a revelar en sus estados financieros separados, incluyendo los requerimientos de los párrafos 16 y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Cuando una controladora, de acuerdo con el párrafo 4(a) de la NIIF 10, opte por no elaborar estados financieros consolidados y en su lugar prepare estados financieros separados, revelará en esos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hecho de que los estados financieros son estados financieros separados; que se ha aplicado la exención que permite no consolidar; el nombre y domicilio principal donde desarrolle sus actividades (y país donde está constituida, si fuera diferente) la entidad que elaboró y produjo los estados financieros consolidados para uso público, que cumplen con las Normas Internacionales de Información Financiera; y la dirección donde se pueden obtener esos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lista de inversiones significativas en subsidiarias, negocios conjuntos y asociadas,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nombre de las participadas.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domicilio principal donde realizan sus actividades las participadas (y país donde están constituidas, si fuera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Su proporción de participación mantenida en la propiedad de las participadas (y su proporción en los derechos de voto, si fuera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descripción del método utilizado para contabilizar las inversiones incluidas en la lista del apartado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17 Cuando una controladora (distinta de una controladora contemplada en el párrafo 16) o un inversor con control conjunto en una participada, o con influencia significativa sobre ésta, elabore estados financieros separados, la controladora o inversor identificará los estados financieros elaborados de acuerdo con la NIIF 10, NIIF 11 o NIC 28 (modificada en 2011) con los que se relacionan. La controladora o inversor revelará también en sus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hecho de que se trata de estados financieros separados y las razones por las que se han preparado, en caso de que no fueran requeridos por estatuto.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lista de inversiones significativas en subsidiarias, negocios conjuntos y asociadas,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nombre de las participadas.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domicilio principal donde realizan sus actividades las participadas (y país donde están constituidas, si fuera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Su proporción de participación mantenida en la propiedad de las participadas (y su proporción en los derechos de voto, si fuera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descripción del método utilizado para contabilizar las inversiones incluidas en la lista del apartado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controladora o inversor identificará también los estados financieros elaborados de acuerdo con la NIIF 10, NIIF 11 o NIC 28 (modificada en 2011) con que se relacionan.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Una entidad aplicará esta Norma para los periodos anuales que comiencen a partir del 1 de enero de 2013. Se permite su aplicación anticipada. Si una entidad aplica esta Norma de forma anticipada, revelará ese hecho y aplicará al mismo tiempo la NIIF 10, NIIF 11, NIIF 12 </w:t>
      </w:r>
      <w:r w:rsidRPr="00401DFF">
        <w:rPr>
          <w:rFonts w:ascii="Times New Roman" w:eastAsia="Times New Roman" w:hAnsi="Times New Roman" w:cs="Times New Roman"/>
          <w:i/>
          <w:iCs/>
          <w:sz w:val="24"/>
          <w:szCs w:val="24"/>
          <w:lang w:eastAsia="es-CO"/>
        </w:rPr>
        <w:t>Información a Revelar sobre Participaciones en Otras Entidades</w:t>
      </w:r>
      <w:r w:rsidRPr="00401DFF">
        <w:rPr>
          <w:rFonts w:ascii="Times New Roman" w:eastAsia="Times New Roman" w:hAnsi="Times New Roman" w:cs="Times New Roman"/>
          <w:sz w:val="24"/>
          <w:szCs w:val="24"/>
          <w:lang w:eastAsia="es-CO"/>
        </w:rPr>
        <w:t xml:space="preserve"> y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19 Si una entidad aplica esta Norma pero no aplica todavía la NIIF 9, cualquier referencia a la NIIF 9 deberá interpretarse como una referencia a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27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Esta Norma se emite simultáneamente con la NIIF 10. Conjuntamente, las dos NIIF sustituyen la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(revisada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Norma Internacional de Contabilidad 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Inversiones en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El objetivo de esta Norma es prescribir la contabilidad de las inversiones en asociadas y establecer los requerimientos para la aplicación del método de la participación al contabilizar las inversiones en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 aplicará a todas las entidades que sean inversores con control conjunto de una participada o tengan influencia significativa sobre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 xml:space="preserve">asociada </w:t>
      </w:r>
      <w:r w:rsidRPr="00401DFF">
        <w:rPr>
          <w:rFonts w:ascii="Times New Roman" w:eastAsia="Times New Roman" w:hAnsi="Times New Roman" w:cs="Times New Roman"/>
          <w:b/>
          <w:bCs/>
          <w:sz w:val="24"/>
          <w:szCs w:val="24"/>
          <w:lang w:eastAsia="es-CO"/>
        </w:rPr>
        <w:t>es una entidad sobre la que el inversor tiene una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Estados financieros consolidados</w:t>
      </w:r>
      <w:r w:rsidRPr="00401DFF">
        <w:rPr>
          <w:rFonts w:ascii="Times New Roman" w:eastAsia="Times New Roman" w:hAnsi="Times New Roman" w:cs="Times New Roman"/>
          <w:b/>
          <w:bCs/>
          <w:sz w:val="24"/>
          <w:szCs w:val="24"/>
          <w:lang w:eastAsia="es-CO"/>
        </w:rPr>
        <w:t xml:space="preserve"> son los estados financieros de un grupo en el que los activos, pasivos, patrimonio, ingresos, gastos, y flujos de efectivo de la controladora y sus subsidiarias se presentan como si se tratase de una sola entidad económica.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 xml:space="preserve">método de la participación </w:t>
      </w:r>
      <w:r w:rsidRPr="00401DFF">
        <w:rPr>
          <w:rFonts w:ascii="Times New Roman" w:eastAsia="Times New Roman" w:hAnsi="Times New Roman" w:cs="Times New Roman"/>
          <w:b/>
          <w:bCs/>
          <w:sz w:val="24"/>
          <w:szCs w:val="24"/>
          <w:lang w:eastAsia="es-CO"/>
        </w:rPr>
        <w:t>es un método de contabilización según el cual la inversión se registra inicialmente al costo, y es ajustada posteriormente por los cambios posteriores a la adquisición en la parte del inversor, de los activos netos de la participada. El resultado del periodo del inversor incluye su participación en el resultado del periodo de la participada y el otro resultado integral del inversor incluye su participación en el otro resultado integral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acuerdo conjunto</w:t>
      </w:r>
      <w:r w:rsidRPr="00401DFF">
        <w:rPr>
          <w:rFonts w:ascii="Times New Roman" w:eastAsia="Times New Roman" w:hAnsi="Times New Roman" w:cs="Times New Roman"/>
          <w:b/>
          <w:bCs/>
          <w:sz w:val="24"/>
          <w:szCs w:val="24"/>
          <w:lang w:eastAsia="es-CO"/>
        </w:rPr>
        <w:t xml:space="preserve"> es un acuerdo mediante el cual dos o más partes mantienen control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Control conjunto</w:t>
      </w:r>
      <w:r w:rsidRPr="00401DFF">
        <w:rPr>
          <w:rFonts w:ascii="Times New Roman" w:eastAsia="Times New Roman" w:hAnsi="Times New Roman" w:cs="Times New Roman"/>
          <w:b/>
          <w:bCs/>
          <w:sz w:val="24"/>
          <w:szCs w:val="24"/>
          <w:lang w:eastAsia="es-CO"/>
        </w:rPr>
        <w:t xml:space="preserve"> es el reparto del control contractualmente decidido de un acuerdo, que existe solo cuando las decisiones sobre las actividades relevantes requieren el consentimiento unánime de las partes que comparten 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negocio conjunto</w:t>
      </w:r>
      <w:r w:rsidRPr="00401DFF">
        <w:rPr>
          <w:rFonts w:ascii="Times New Roman" w:eastAsia="Times New Roman" w:hAnsi="Times New Roman" w:cs="Times New Roman"/>
          <w:b/>
          <w:bCs/>
          <w:sz w:val="24"/>
          <w:szCs w:val="24"/>
          <w:lang w:eastAsia="es-CO"/>
        </w:rPr>
        <w:t xml:space="preserve"> es un acuerdo conjunto mediante el cual las partes que tienen control conjunto del acuerdo tienen derecho a los activos netos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participante en un negocio conjunto</w:t>
      </w:r>
      <w:r w:rsidRPr="00401DFF">
        <w:rPr>
          <w:rFonts w:ascii="Times New Roman" w:eastAsia="Times New Roman" w:hAnsi="Times New Roman" w:cs="Times New Roman"/>
          <w:b/>
          <w:bCs/>
          <w:sz w:val="24"/>
          <w:szCs w:val="24"/>
          <w:lang w:eastAsia="es-CO"/>
        </w:rPr>
        <w:t xml:space="preserve"> es una parte de un negocio conjunto que tiene control conjunto sobre éste.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Influencia significativa</w:t>
      </w:r>
      <w:r w:rsidRPr="00401DFF">
        <w:rPr>
          <w:rFonts w:ascii="Times New Roman" w:eastAsia="Times New Roman" w:hAnsi="Times New Roman" w:cs="Times New Roman"/>
          <w:b/>
          <w:bCs/>
          <w:sz w:val="24"/>
          <w:szCs w:val="24"/>
          <w:lang w:eastAsia="es-CO"/>
        </w:rPr>
        <w:t xml:space="preserve"> es el poder de intervenir en las decisiones de política financiera y de operación de la participada, sin llegar a tener el control ni el control conjunto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Los siguientes términos se definen en el párrafo 4 de la NIC 27 </w:t>
      </w:r>
      <w:r w:rsidRPr="00401DFF">
        <w:rPr>
          <w:rFonts w:ascii="Times New Roman" w:eastAsia="Times New Roman" w:hAnsi="Times New Roman" w:cs="Times New Roman"/>
          <w:i/>
          <w:iCs/>
          <w:sz w:val="24"/>
          <w:szCs w:val="24"/>
          <w:lang w:eastAsia="es-CO"/>
        </w:rPr>
        <w:t>Estados Financieros Separados</w:t>
      </w:r>
      <w:r w:rsidRPr="00401DFF">
        <w:rPr>
          <w:rFonts w:ascii="Times New Roman" w:eastAsia="Times New Roman" w:hAnsi="Times New Roman" w:cs="Times New Roman"/>
          <w:sz w:val="24"/>
          <w:szCs w:val="24"/>
          <w:lang w:eastAsia="es-CO"/>
        </w:rPr>
        <w:t xml:space="preserve"> y en el Apéndice A de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xml:space="preserve"> y se utilizan en esta Norma con el significado especificado en las NIIF en las que se definen.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Se presume que la entidad ejerce influencia significativa si posee, directa o indirectamente (por ejemplo, a través de subsidiarias), el 20 por ciento o más del poder de voto de la participada, a menos que pueda demostrarse claramente que tal influencia no existe. A la inversa, se presume que la entidad no ejerce influencia significativa si posee, directa o indirectamente (por ejemplo, a través de subsidiarias), menos del 20 por ciento del poder de voto de la participada, a menos que pueda demostrarse claramente que existe tal influencia. La existencia de otro inversor, que posea una participación mayoritaria o sustancial, no impide necesariamente que una entidad ejerza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existencia de la influencia significativa por una entidad se pone en evidencia, habitualmente, a través de una o varias de las siguientes vías: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representación en el consejo de administración, u órgano equivalente de dirección de la entidad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participación en los procesos de fijación de políticas, entre los que se incluyen las participaciones en las decisiones sobre dividendos y otras distribuciones;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transacciones de importancia relativa entre la entidad y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intercambio de personal directivo;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suministro de información técnica esencial.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Una entidad puede poseer certificados de opción para la suscripción de acciones (warrants), opciones de compra de acciones, instrumentos de deuda o de patrimonio que </w:t>
      </w:r>
      <w:r w:rsidRPr="00401DFF">
        <w:rPr>
          <w:rFonts w:ascii="Times New Roman" w:eastAsia="Times New Roman" w:hAnsi="Times New Roman" w:cs="Times New Roman"/>
          <w:sz w:val="24"/>
          <w:szCs w:val="24"/>
          <w:lang w:eastAsia="es-CO"/>
        </w:rPr>
        <w:lastRenderedPageBreak/>
        <w:t>sean convertibles en acciones ordinarias, u otros instrumentos similares que tienen el potencial, si se ejercen o convierten, de dar a la entidad poder de voto adicional, o reducir los derechos de voto de terceras partes, sobre las políticas financieras y de operación de otra entidad (es decir, derechos de voto potenciales). Cuando se esté evaluando si una determinada entidad tiene influencia significativa, se tendrá en cuenta la existencia y efecto de los derechos de voto potenciales que sean, en ese momento, ejercitables o convertibles, incluyendo los derechos de voto potenciales poseídos por otras entidades. No tendrán la consideración de derechos de voto potenciales ejercitables o convertibles en ese momento los que, por ejemplo, no puedan ser ejercidos o convertidos hasta una fecha futura, o hasta que haya ocurrido un suceso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Al evaluar si los derechos de voto potenciales contribuyen a la existencia de influencia significativa, la entidad examinará todos los hechos y circunstancias (incluyendo las condiciones de ejercicio de tales derechos potenciales de voto y cualesquiera otros acuerdos contractuales, considerados aislada o conjuntamente) que afecten a los mismos, salvo la intención de la gerencia y la capacidad financiera de ejercer o convertir dichos derechos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entidad perderá la influencia significativa sobre la participada cuando carezca del poder de intervenir en las decisiones de política financiera y de operación de ésta. La pérdida de influencia significativa puede tener lugar con o sin un cambio en los niveles absolutos o relativos de propiedad. Podría tener lugar, por ejemplo, cuando una asociada quedase sujeta al control de una administración pública, tribunal, administrador o regulador. También podría ocurrir como resultado de un acuerdo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Según el método de la participación, en el reconocimiento inicial la inversión en una asociada o negocio conjunto se registrará al costo, y el importe en libros se incrementará o disminuirá para reconocer la parte del inversor en el resultado del periodo de la participada, después de la fecha de adquisición. La parte del inversor en el resultado del periodo de la participada se reconocerá, en el resultado del periodo del inversor. Las distribuciones recibidas de la participada reducirán el importe en libros de la inversión. Podría ser necesaria la realización de ajustes al importe por cambios en la participación proporcional del inversor en la participada que surja por cambios en el otro resultado integral de la participada. Estos cambios incluyen los que surjan de la revaluación de las propiedades, planta y equipo y de las diferencias de conversión de la moneda extranjera. La parte que corresponda al inversor en esos cambios se reconocerá en el otro resultado integral de éste (véase la 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El reconocimiento de ingresos por las distribuciones recibidas podría no ser una medida adecuada de la ganancia obtenida por un inversor por la inversión en la asociada o negocio conjunto, ya que las distribuciones recibidas pueden tener poca relación con el rendimiento de éstos. Puesto que el inversor ejerce control conjunto o influencia significativa sobre la participada, tiene una participación en los rendimientos de la asociada o negocio conjunto y, por tanto, en el producto financiero de la inversión. El inversor contabilizará esta participación extendiendo el alcance de sus estados financieros, para incluir su parte del </w:t>
      </w:r>
      <w:r w:rsidRPr="00401DFF">
        <w:rPr>
          <w:rFonts w:ascii="Times New Roman" w:eastAsia="Times New Roman" w:hAnsi="Times New Roman" w:cs="Times New Roman"/>
          <w:sz w:val="24"/>
          <w:szCs w:val="24"/>
          <w:lang w:eastAsia="es-CO"/>
        </w:rPr>
        <w:lastRenderedPageBreak/>
        <w:t>resultado del periodo de la participada. En consecuencia, la aplicación del método de la participación suministra datos de mayor valor informativo acerca de los activos netos y del resultado del periodo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Cuando existan derechos de voto potenciales u otros derivados que contengan derecho de voto potenciales, la participación de una entidad en una asociada o negocio conjunto se determinará únicamente sobre la base de las participaciones en la propiedad existentes y no refleja la posibilidad de ejercer o convertir los derechos de voto potenciales y otros instrumentos derivados, a menos que aplique el párrafo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En algunas circunstancias, una entidad tiene, en esencia, una propiedad que existe como resultado de una transacción que da acceso, en ese momento, a los rendimientos asociados con una participación en la propiedad. En estas circunstancias, la proporción asignada a la entidad se determina teniendo en cuenta el ejercicio eventual de estos derechos de voto potenciales y otros instrumentos derivados que dan acceso, en ese momento, a la entidad a los rendimientos.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no se aplica a las participaciones en asociadas y negocios conjuntos que se contabilizan utilizando el método de la participación. Cuando los instrumentos que contienen derechos de voto potenciales dan en esencia, en ese momento, acceso a los rendimientos asociados con la participación en la propiedad en una asociada o negocio conjunto, los instrumentos no están sujetos a la NIIF 9. En los demás casos, los instrumentos que contienen derechos de voto potenciales en una asociada o negocio conjunto se contabilizarán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A menos que una inversión, o una parte de una inversión, en una asociada o negocio conjunto se clasifique como mantenido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xml:space="preserve"> la inversión, o cualquier participación retenida en la inversión no clasificada como mantenida para la venta, se clasificará como un activo no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Una entidad con control conjunto o influencia significativa sobre una participada se contabilizará como su inversión en una asociada o negocio conjunto utilizando el método de la participación excepto cuando esa inversión cumpla los requisitos de exención de acuerdo con los párrafos 17 a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Exención de la aplicación del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Una entidad no necesitará aplicar el método de la participación a su inversión en una asociada o negocio conjunto si la entidad es una controladora que esté exenta de la elaboración de estados financieros consolidados por la excepción al alcance del párrafo 4(a) de la NIIF 10 o si se aplican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entidad es una subsidiaria totalmente participada, o parcialmente participada por otra entidad, y sus otros propietarios, incluyendo los que no tienen derecho a voto, han sido informados de que la entidad no aplicará el método de la participación y no han manifestado objeciones a ello.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instrumentos de deuda o de patrimonio de la entidad no se negocian en un mercado público (ya sea una bolsa de valores nacional o extranjera, o un mercado no organizado, incluyendo los mercados locales o regionales).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entidad no registró, ni está en proceso de registrar, sus estados financieros en una comisión de valores u otra organización reguladora, con el fin de emitir algún tipo de instrumentos en un mercado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controladora última, o alguna de las controladoras intermedias de la entidad, elabora estados financieros consolidados que están disponibles para el uso público y cumplen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Cuando una inversión en una asociada o negocio conjunto se mantiene directa o indirectamente por una entidad que es una organización de capital de riesgo o un fondo de inversión colectiva, fideicomiso de inversión u otra entidad análoga, incluyendo los fondos de seguro ligados a inversiones, la entidad puede optar por medir las inversiones en esas asociadas y negocios conjuntos al valor razonable con cambios en resultados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Cuando una entidad tenga una inversión en una asociada, una parte de la cual se mantenga indirectamente a través de una organización de capital de riesgo o un fondo de inversión colectiva, fideicomiso de inversión u otra entidad similar incluyendo fondos de seguro ligados a inversiones, la entidad puede optar por medir esa parte de la inversión en la asociada a valor razonable con cambios en resultados de acuerdo con la NIIF 9 independiente de si la organización de capital de riesgo o un fondo de inversión colectiva, fideicomiso de inversión u otra entidad similar incluyendo fondos de seguro ligados a inversiones, tenga una influencia significativa sobre esa parte de la inversión. Si la entidad realiza esa elección, aplicará el método de la participación a la parte restante de su inversión en una asociada que no se mantenga mediante una organización de capital de riesgo o un fondo de inversión colectiva, fideicomiso de inversión y otra entidad similar incluyendo fondos de seguro ligados a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como mantenido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Una entidad aplicará la NIIF 5 a una inversión, o parte de una inversión, en una asociada o negocio conjunto que cumpla los criterios para ser clasificada como mantenida para la venta. La parte retenida de una inversión en una asociada o negocio conjunto que no haya sido clasificada como mantenida para la venta se contabilizará utilizando el método de la participación hasta que tenga lugar la disposición de la parte clasificada como mantenida para la venta. Después de que tenga lugar la disposición, una entidad contabilizará cualquier participación retenida en la asociada o negocio conjunto de acuerdo con la NIIF 9 </w:t>
      </w:r>
      <w:r w:rsidRPr="00401DFF">
        <w:rPr>
          <w:rFonts w:ascii="Times New Roman" w:eastAsia="Times New Roman" w:hAnsi="Times New Roman" w:cs="Times New Roman"/>
          <w:sz w:val="24"/>
          <w:szCs w:val="24"/>
          <w:lang w:eastAsia="es-CO"/>
        </w:rPr>
        <w:lastRenderedPageBreak/>
        <w:t>a menos que la participación retenida continúe siendo una asociada o negocio conjunto, en cuyo caso la entidad utilizará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Cuando una inversión, o una parte de la misma, en una asociada o negocio conjunto clasificada previamente como mantenida para la venta deje de satisfacer los criterios para mantener esa clasificación, se contabilizará utilizando el método de la participación de forma retroactiva desde la fecha en la que fue clasificada como mantenida para la venta. Por consiguiente, los estados financieros referidos a los periodos desde que tuvo lugar la clasificación como mantenida para la venta también se modificarán.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Discontinuación del uso del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Una entidad interrumpirá el uso del método de la participación a partir de la fecha en que su inversión deje de ser una asociada o negocio conjunto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Si la inversión pasa a ser una subsidiaria, la entidad contabilizará su inversión de acuerdo con la NIIF 3 </w:t>
      </w:r>
      <w:r w:rsidRPr="00401DFF">
        <w:rPr>
          <w:rFonts w:ascii="Times New Roman" w:eastAsia="Times New Roman" w:hAnsi="Times New Roman" w:cs="Times New Roman"/>
          <w:b/>
          <w:bCs/>
          <w:i/>
          <w:iCs/>
          <w:sz w:val="24"/>
          <w:szCs w:val="24"/>
          <w:lang w:eastAsia="es-CO"/>
        </w:rPr>
        <w:t>Combinaciones de Negocios</w:t>
      </w:r>
      <w:r w:rsidRPr="00401DFF">
        <w:rPr>
          <w:rFonts w:ascii="Times New Roman" w:eastAsia="Times New Roman" w:hAnsi="Times New Roman" w:cs="Times New Roman"/>
          <w:b/>
          <w:bCs/>
          <w:sz w:val="24"/>
          <w:szCs w:val="24"/>
          <w:lang w:eastAsia="es-CO"/>
        </w:rPr>
        <w:t xml:space="preserve"> y la 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la participación retenida en la anterior asociada o negocio conjunto es un activo financiero, la entidad medirá la participación retenida al valor razonable. El valor razonable de la participación retenida se considerará como su valor razonable en el momento del reconocimiento inicial como un activo financiero de acuerdo con la NIIF 9. La entidad reconocerá en el resultado del periodo las diferencias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valor razonable de cualquier inversión retenida y el producto de la disposición de parte de la participación en la asociada o negocio conjunto;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en libros de la inversión en la fecha en que se interrumpió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Cuando una entidad interrumpe el uso del método de la participación ésta contabilizará todos los importes reconocidos anteriormente en otro resultado integral en relación a esa inversión sobre la misma base que se habría requerido si la participada hubiera dispuesto directamente de los activos o pasivos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Por ello, cuando se interrumpa el método de la participación, si una ganancia o pérdida anteriormente reconocida en otro resultado integral por una participada se hubiera reclasificado al resultado del periodo en el momento de la disposición de los activos o pasivos relacionados, la entidad reclasificará la ganancia o pérdida del patrimonio al resultado del periodo (como un ajuste por reclasificación). Por ejemplo, si una asociada o negocio conjunto tiene diferencias de cambio acumuladas relativas a negocios en el extranjero y la entidad interrumpe el uso del método de la participación, la entidad reclasificará como resultado del periodo la ganancia o pérdida anteriormente reconocida en otro resultado integral en relación con 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24 Si una inversión en una asociada pasa a ser una inversión en un negocio conjunto o una inversión en un negocio conjunto pasa a ser una inversión en una asociada, la entidad continuará aplicando el método de la participación y no medirá nuevamente la participación retenida.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 participación en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Si una participación en la propiedad de una asociada o negocio conjunto se reduce, pero la entidad continúa aplicando el método de la participación, la entidad reclasificará al resultado del periodo la proporción de la ganancia o pérdida que había anteriormente sido reconocida en otro resultado integral relativo a esa reducción en la participación en la propiedad en el caso de que esa ganancia o pérdida requiriera reclasificarse al resultado del periodo en el momento de la disposición de los activos o pasivos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Procedimientos del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Muchos de los procedimientos, que son apropiados para la aplicación del método de la participación, son similares a los procedimientos de consolidación descritos en la NIIF 10. Además, los conceptos implícitos en los procedimientos utilizados en la contabilización de la adquisición de una subsidiaria se adoptarán también en el caso de adquisición de una inversión en una asociada o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 participación de un grupo en una asociada o negocio conjunto será la suma de las participaciones mantenidas, en esa asociada o negocio conjunto, por la controladora y sus subsidiarias. Se ignorarán, para este propósito, las participaciones procedentes de otras asociadas o negocios conjuntos del grupo. Cuando una asociada o negocio conjunto tenga subsidiarias, asociadas o negocios conjuntos, el resultado del periodo, otro resultado integral y los activos netos tenidos en cuenta para aplicar el método de la participación, serán los reconocidos en los estados financieros de la asociada o negocio conjunto (donde se incluirá la parte de la asociada o negocio conjunto en el resultado del periodo, otro resultado integral y en los activos netos de sus asociadas y negocios conjuntos), después de efectuar los ajustes necesarios para conseguir que las políticas contables utilizadas sean uniformes (véanse los párrafos 35 y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Las ganancias y pérdidas procedentes de las transacciones “ascendentes” y “descendentes” entre una entidad (con sus subsidiarias consolidadas) y su asociada o negocio conjunto, se reconocerán en los estados financieros de la entidad sólo en la medida en que correspondan a las participaciones de otros inversores en la asociada o negocio conjunto no relacionados con el inversor. Son transacciones “ascendentes”, por ejemplo, las ventas de activos de la asociada o negocio conjunto al inversor. Son transacciones “descendentes”, por ejemplo, las ventas o aportaciones de activos del inversor a su asociada o negocio conjunto. Se eliminará la parte del inversor de las ganancias y pérdidas de la asociada o negocio conjunto procedentes de estas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29 Cuando las transacciones descendentes proporcionen evidencia de una reducción en el valor neto realizable de los activos a ser vendido o aportados o de un deterioro de valor de esos activos, las pérdidas se reconocerán totalmente por el inversor. Cuando las </w:t>
      </w:r>
      <w:r w:rsidRPr="00401DFF">
        <w:rPr>
          <w:rFonts w:ascii="Times New Roman" w:eastAsia="Times New Roman" w:hAnsi="Times New Roman" w:cs="Times New Roman"/>
          <w:sz w:val="24"/>
          <w:szCs w:val="24"/>
          <w:lang w:eastAsia="es-CO"/>
        </w:rPr>
        <w:lastRenderedPageBreak/>
        <w:t>transacciones ascendentes proporcionen evidencia de una reducción en el valor neto realizable de los activos a ser comprados o de un deterioro de valor de esos activos, el inversor reconocerá su participación en esas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La aportación de un activo no monetario a una asociada o negocio conjunto a cambio de una participación en el patrimonio de la asociada o negocio conjunto se contabilizará de acuerdo con el párrafo 28, excepto cuando la aportación carezca de sustancia comercial, tal como se describe esa condición en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Si esta aportación carece de sustancia comercial, la ganancia o pérdida se considerará como no realizada y no se reconocerá a menos que se aplique también el párrafo 31. Estas ganancias o pérdidas no realizadas se eliminarán contra la inversión contabilizada utilizando el método de la participación y no se presentará como ganancias o pérdidas diferidas en el estado de situación financiera consolidado de la entidad o en el estado de situación financiera de la entidad en el que se encuentra contabilizada la inversión utilizando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Si, además de recibir una participación en el patrimonio de una asociada o negocio conjunto, una entidad recibe activos monetarios o no monetarios, la entidad reconocerá totalmente en el resultado del periodo la parte de la ganancia o pérdida en la aportación no monetaria relativa a los activos monetarios o no monetarios recibidos.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Una inversión se contabilizará utilizando el método de la participación, desde la fecha en que pasa a ser una asociada o negocio conjunto. En el momento de la adquisición de la inversión, cualquier diferencia entre el costo de la inversión y la parte de la entidad en el valor razonable neto de los activos y pasivos identificables de la participada, se contabilizará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plusvalía relacionada con una asociada o negocio conjunto se incluirá en el importe en libros de la inversión. No se permitirá la amortización de esa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exceso de la parte de la entidad en el valor razonable neto de los activos y pasivos identificables de la participada sobre el costo de la inversión se incluirá como ingreso para la determinación de la parte de la entidad en el resultado del periodo de la asociada o negocio conjunto en el periodo en el que se adquiera la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Se realizarán los ajustes adecuados, en la parte de la entidad en el resultado del periodo de la asociada o negocio conjunto después de la adquisición para contabilizar, por ejemplo, la depreciación de los activos depreciables basados en sus valores razonables en la fecha de adquisición. De forma similar, es preciso realizar ajustes adecuados sobre la parte de la entidad en el resultado del periodo de la asociada o negocio conjunto después de la adquisición por las pérdidas por deterioro de valor tales como la plusvalía o las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33 Al aplicar el método de la participación, se utilizarán los estados financieros disponibles más recientes de la asociada o negocio conjunto. Cuando el final del periodo sobre el que se informa de la entidad y de la asociada o negocio conjunto sean diferentes, la asociada o negocio conjunto elaborará para uso de la entidad, estados </w:t>
      </w:r>
      <w:r w:rsidRPr="00401DFF">
        <w:rPr>
          <w:rFonts w:ascii="Times New Roman" w:eastAsia="Times New Roman" w:hAnsi="Times New Roman" w:cs="Times New Roman"/>
          <w:b/>
          <w:bCs/>
          <w:sz w:val="24"/>
          <w:szCs w:val="24"/>
          <w:lang w:eastAsia="es-CO"/>
        </w:rPr>
        <w:lastRenderedPageBreak/>
        <w:t>financieros referidos a la misma fecha que los de ésta, a menos que resulte impracticable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Cuando, de acuerdo con lo establecido en el párrafo 33, los estados financieros de una asociada o negocio conjunto utilizados para aplicar el método de la participación, se refieran a una fecha diferente a la utilizada por la entidad, se practicarán los ajustes pertinentes para reflejar los efectos de las transacciones o eventos significativos que hayan ocurrido entre las dos fechas citadas. En ningún caso, la diferencia entre el final del periodo sobre el que se informa de la asociada o negocio conjunto y el de la entidad será mayor de tres meses. La duración de los periodos sobre los se que informa, así como cualquier diferencia entre la fecha de cierre de éstos, serán las mismas de un periodo a otro.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Los estados financieros de la entidad se elaborarán aplicando políticas contables uniformes para transacciones y otros eventos que, siendo similares, se hayan producido en circunstancias parecidas.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Si una asociada o negocio conjunto aplica políticas contables diferentes de las adoptadas por la entidad, para transacciones y otros eventos similares que se hayan producido en circunstancias similares, se realizarán ajustes en los estados financieros de la asociada o negocio conjunto que la entidad utilice para aplicar el método de la participación, a fin de conseguir que las políticas contables de la asociada o negocio conjunto se correspondan con las empleadas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Si una asociada o negocio conjunto tiene en circulación acciones preferentes, con derechos acumulativos, que estén mantenidas por partes distintas de la entidad y que hayan sido clasificadas como patrimonio, la entidad registrará su participación en el resultado del periodo tras haber ajustado los dividendos de tales acciones, con independencia de que los dividendos hayan sido acordados.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Si la parte de una entidad en las pérdidas de una asociada o negocio conjunto iguala o excede su participación en éstos, la entidad dejará de reconocer su participación en las pérdidas adicionales. La participación en una asociada o negocio conjunto será el importe en libros de la inversión en la asociada o negocio conjunto determinado según el método de la participación, junto con cualquier participación a largo plazo que, en esencia, forme parte de la inversión neta de la entidad en la asociada o negocio conjunto. Por ejemplo, una partida para la que no esté prevista la cancelación ni vaya a ocurrir en un futuro previsible, es, en esencia, una extensión de la inversión de la entidad en esa asociada o negocio conjunto. Entre tales partidas podrían estar incluidas las acciones preferentes y los préstamos o cuentas por cobrar a largo plazo, pero no lo estarían las deudas comerciales por cobrar o pagar, ni las partidas por cobrar a largo plazo para las que existan garantías colaterales adecuadas, tales como los préstamos garantizados. Las pérdidas reconocidas, según el método de la participación por encima de la inversión de la entidad en acciones ordinarias, se aplicarán a los otros componentes de la inversión de la entidad en una asociada o negocio conjunto, en orden inverso a su grado de prelación (es decir, a su prioridad en caso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39 Una vez que la participación de la entidad se reduzca a cero, se mantendrán las pérdidas adicionales y se reconocerá un pasivo, sólo en la medida en que la entidad haya incurrido en obligaciones legales o implícitas, o haya efectuado pagos en nombre de la asociada o negocio conjunto. Si la asociada o negocio conjunto informara con posterioridad ganancias, la entidad reanudará el reconocimiento de su participación en éstas únicamente después de que su participación en las citadas ganancias iguale la participación en las pérdidas no reconocidas.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40 Una vez que se haya aplicado el método de la participación, incluyendo el reconocimiento de las pérdidas de la asociada o negocio conjunto de acuerdo con el párrafo 38, la entidad aplicará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para determinar si es necesario reconocer cualquier pérdida por deterioro de valor adicional con respecto a su inversión neta que tenga en la asociada o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 entidad también aplicará la NIC 39 para determinar si tiene que reconocer pérdidas por deterioro de valor adicionales, con respecto a su participación en la asociada o negocio conjunto que no formen parte de la inversión neta y el importe de esa pérdida por deterioro de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Puesto que la plusvalía que forma parte del importe en libros de una inversión en una asociada o negocio conjunto no se reconoce de forma separada, no se comprobará su deterioro de valor por separado, por aplicación de los requerimientos para la comprobación del deterioro de valor de la plusvalía de la NIC 36 Deterioro del Valor de los Activos. En su lugar, se comprobará el deterioro del valor para la totalidad del importe en libros de la inversión, de acuerdo con la NIC 36, como un activo individual, mediante la comparación de su importe recuperable (el mayor de entre el valor en uso y el valor razonable, menos los costos de venta) con su importe en libros, siempre que la aplicación de la NIC 39 indique que la inversión puede haberse deteriorado. Una pérdida por deterioro de valor reconocida en esas circunstancias no se asignará a ningún activo, incluyendo la plusvalía, que forme parte del importe en libros de la inversión en la asociada o negocio conjunto. Por consiguiente, las reversiones de esa pérdida por deterioro de valor se reconocerán de acuerdo con la NIC 36, en la medida en que el importe recuperable de la inversión se incremente con posterioridad. Para determinar el valor en uso de la inversión, una entidad estimará: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 parte del valor presente de los flujos de efectivo estimados que se espera que sean generados por la asociada o negocio conjunto, incluyendo los de las operaciones de la asociada o negocio conjunto y los importes resultantes de la disposición final de la inversión;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presente de los flujos de efectivo futuro estimados que se espera que surjan como dividendos a recibir de la inversión y de su disposición final.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se utilizan los supuestos adecuados, ambos métodos darán el mismo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 El importe recuperable de una inversión en una asociada o negocio conjunto se evaluará para cada asociada o negocio conjunto, a menos que la asociada o negocio conjunto no genere entradas de efectivo por su uso continuo que sean en gran medida independientes de las procedentes de otros activos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Una inversión en una asociada o negocio conjunto se contabilizará en los estados financieros separados de la entidad de acuerdo con el párrafo 10 de la NIC 27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Una entidad aplicará esta Norma para los periodos anuales que comiencen a partir del 1 de enero de 2013. Se permite su aplicación anticipada. Si una entidad aplica esta Norma de forma anticipada, revelará ese hecho y aplicará al mismo tiempo la NIIF 10,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NIIF 12 </w:t>
      </w:r>
      <w:r w:rsidRPr="00401DFF">
        <w:rPr>
          <w:rFonts w:ascii="Times New Roman" w:eastAsia="Times New Roman" w:hAnsi="Times New Roman" w:cs="Times New Roman"/>
          <w:i/>
          <w:iCs/>
          <w:sz w:val="24"/>
          <w:szCs w:val="24"/>
          <w:lang w:eastAsia="es-CO"/>
        </w:rPr>
        <w:t xml:space="preserve">Información a Revelar sobre Participaciones en Otras Entidades </w:t>
      </w:r>
      <w:r w:rsidRPr="00401DFF">
        <w:rPr>
          <w:rFonts w:ascii="Times New Roman" w:eastAsia="Times New Roman" w:hAnsi="Times New Roman" w:cs="Times New Roman"/>
          <w:sz w:val="24"/>
          <w:szCs w:val="24"/>
          <w:lang w:eastAsia="es-CO"/>
        </w:rPr>
        <w:t>y NIC 27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Si una entidad aplica esta Norma pero no aplica todavía la NIIF 9, cualquier referencia a la NIIF 9 deberá interpretarse como una referencia a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28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47 Esta Norma deroga la NIC 28 </w:t>
      </w:r>
      <w:r w:rsidRPr="00401DFF">
        <w:rPr>
          <w:rFonts w:ascii="Times New Roman" w:eastAsia="Times New Roman" w:hAnsi="Times New Roman" w:cs="Times New Roman"/>
          <w:i/>
          <w:iCs/>
          <w:sz w:val="24"/>
          <w:szCs w:val="24"/>
          <w:lang w:eastAsia="es-CO"/>
        </w:rPr>
        <w:t>Inversiones en Asociadas</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Financiera en Economías Hiperinflacionarias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La presente Norma será de aplicación a los estados financieros incluyendo a los estados financieros consolidados, de una entidad cuya moneda funcional es la moneda correspondiente a una economía hiperinflacionaria.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En una economía hiperinflacionaria, la información sobre los resultados de las operaciones y la situación financiera en la moneda local sin reexpresar no es útil. Pérdidas del poder de compra de la moneda a tal ritmo que resulta equívoca cualquier comparación entre las cifras procedentes de transacciones y otros acontecimientos ocurridos en diferentes momentos del tiempo, incluso dentro de un mismo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Norma no establece una tasa absoluta para considerar que, al sobrepasarla, surge el estado de hiperinflación. Es, por el contrario, un problema de criterio juzgar cuándo se hace </w:t>
      </w:r>
      <w:r w:rsidRPr="00401DFF">
        <w:rPr>
          <w:rFonts w:ascii="Times New Roman" w:eastAsia="Times New Roman" w:hAnsi="Times New Roman" w:cs="Times New Roman"/>
          <w:sz w:val="24"/>
          <w:szCs w:val="24"/>
          <w:lang w:eastAsia="es-CO"/>
        </w:rPr>
        <w:lastRenderedPageBreak/>
        <w:t>necesario reexpresar los estados financieros de acuerdo con la presente Norma. El estado de hiperinflación viene indicado por las características del entorno económico del país, entre las cuales se incluyen, de forma no exhaustiva,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población en general prefiere conservar su riqueza en forma de activos no monetarios, o bien en una moneda extranjera relativamente estable; Las cantidades de moneda local obtenidas son invertidas inmediatamente para mantener la capacidad adquisitiva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población en general no toma en consideración las cantidades monetarias en términos de moneda local, sino que las ve en términos de otra moneda extranjera relativamente estable; Los precios pueden establecerse en esta otra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ventas y compras a crédito tienen lugar a precios que compensan la pérdida de poder adquisitivo esperada durante el aplazamiento, incluso cuando el periodo es corto;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tasas de interés, salarios y precios se ligan a la evolución de un índice de precios;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tasa acumulada de inflación en tres años se aproxima o sobrepasa el 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 preferible que todas las entidades que presentan información en la moneda de la misma economía hiperinflacionaria apliquen esta Norma desde la misma fecha. No obstante, la norma es aplicable a los estados financieros de cualquier entidad, desde el comienzo del periodo contable en el que se identifique la existencia de hiperinflación en el país en cuya moneda presenta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reexpresión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precios, ya sean generales o específicos, cambian en el tiempo como resultado de diversas fuerzas económicas y sociales. Las fuerzas específicas que actúan en el mercado de cada producto, tales como cambios en la oferta y demanda o los cambios tecnológicos, pueden causar incrementos o decrementos significativos en los precios individuales, independientemente de cómo se comporten los otros precios. Además, las causas generales pueden dar como resultado un cambio en el nivel general de precios y, por tanto, en el poder adquisitivo general de la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Las entidades que elaboren estados financieros sobre la base contable del costo histórico lo harán de esta forma, independientemente de los cambios en el nivel general de precios o del incremento de precios específicos de los pasivos o activos reconocidos. Constituyen excepciones a lo anterior aquellos activos y pasivos para los que se requiera que la entidad los mida a valor razonable, o para los que ella misma elija hacerlo. Por ejemplo, las propiedades, planta y equipo pueden ser revaluadas a valor razonable y los activos biológicos generalmente se requiere que sean medidos por su valor razonable. No obstante, algunas entidades presentan sus estados financieros basados en el método del costo corriente que refleja los efectos de los cambios en los precios específicos de los activos poseídos.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 En una economía hiperinflacionaria, los estados financieros, ya estén confeccionados siguiendo el costo histórico o siguiendo las bases del costo corriente, solamente resultan de utilidad si se encuentran expresados en términos de unidades de medida corrientes al final del periodo sobre el que se informa. Por ello esta Norma es aplicable a los estados financieros principales de las entidades que los elaboran y presentan en la moneda de una economía hiperinflacionaria. No está permitida la presentación de la información exigida en esta Norma como un suplemento a los estados financieros sin reexpresar. Es más, se desaconseja la presentación separada de los estados financieros antes de su reexpresión.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8 Los estados financieros de una entidad cuya moneda funcional sea la de una economía hiperinflacionaria, independientemente de si están basados en el método del costo histórico o en el método del costo corriente, deberán expresarse en términos de la unidad de medida corriente en la fecha de cierre del periodo sobre el que se informa. Tanto las cifras comparativas correspondientes al periodo anterior, requeridas por la NIC 1 </w:t>
      </w:r>
      <w:r w:rsidRPr="00401DFF">
        <w:rPr>
          <w:rFonts w:ascii="Times New Roman" w:eastAsia="Times New Roman" w:hAnsi="Times New Roman" w:cs="Times New Roman"/>
          <w:b/>
          <w:bCs/>
          <w:i/>
          <w:iCs/>
          <w:sz w:val="24"/>
          <w:szCs w:val="24"/>
          <w:lang w:eastAsia="es-CO"/>
        </w:rPr>
        <w:t xml:space="preserve">Presentación de Estados Financieros </w:t>
      </w:r>
      <w:r w:rsidRPr="00401DFF">
        <w:rPr>
          <w:rFonts w:ascii="Times New Roman" w:eastAsia="Times New Roman" w:hAnsi="Times New Roman" w:cs="Times New Roman"/>
          <w:b/>
          <w:bCs/>
          <w:sz w:val="24"/>
          <w:szCs w:val="24"/>
          <w:lang w:eastAsia="es-CO"/>
        </w:rPr>
        <w:t xml:space="preserve">(revisada en 2007) como la información referente a periodos anteriores, deberán también expresarse en términos de la unidad de medida corriente en la fecha de cierre del periodo sobre el que se informa. Para presentar los importes comparativos en una moneda de presentación diferente, se aplicarán los párrafos 42(b) y 43 de la NIC 21 </w:t>
      </w:r>
      <w:r w:rsidRPr="00401DFF">
        <w:rPr>
          <w:rFonts w:ascii="Times New Roman" w:eastAsia="Times New Roman" w:hAnsi="Times New Roman" w:cs="Times New Roman"/>
          <w:b/>
          <w:bCs/>
          <w:i/>
          <w:iCs/>
          <w:sz w:val="24"/>
          <w:szCs w:val="24"/>
          <w:lang w:eastAsia="es-CO"/>
        </w:rPr>
        <w:t>Efectos de las Variaciones en las Tasas de Cambio de la Moneda Extranjera</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Las pérdidas o ganancias por la posición monetaria neta, deben incluirse en la ganancia neta, revelando esta información en una partida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reexpresión de estados financieros, de acuerdo con esta Norma, requiere la aplicación de ciertos procedimientos, así como del juicio profesional. La aplicación uniforme de tales procedimientos y juicios, de un periodo a otro, es más importante que la exactitud de las cifras que, como resultado de la reexpresión, aparezcan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a costo histórico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Los importes del estado de situación financiera, no expresadas todavía en términos de la unidad de medida corriente al final del periodo sobre el que se informa, se reexpresarán aplicando un índice general de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Las partidas monetarias no serán reexpresadas puesto que ya se encuentran expresadas en la unidad de medida corriente al cierre del periodo sobre el que se informa. Son partidas monetarias el dinero conservado y las partidas a recibir o pagar en metálico.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Los activos y las obligaciones vinculadas, mediante acuerdos o convenios, a cambios en los precios, tales como los bonos o préstamos indexados, se ajustan en función del acuerdo o convenio para expresar el saldo pendiente al final del periodo sobre el que se informa. Tales partidas se contabilizan, en el estado de situación financiera reexpresado, por su cuantía ajustada de esta manera.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14 Todos los demás activos y obligaciones son de carácter no monetario. Algunas partidas no monetarias se registrarán según sus importes corrientes al final del periodo sobre el que se informa, tales como el valor neto realizable o el valor razonable, de forma que no es necesario reexpresarlas. Todos los demás activos y pasivos habrán de ser reexpresados.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 mayoría de las partidas no monetarias se llevan al costo o al costo menos la depreciación acumulada; por ello se expresan en importes corrientes en su fecha de adquisición. El costo reexpresado de cada partida, o el costo menos la depreciación, se determina aplicando a su costo histórico y a la depreciación acumulada la variación de un índice general de precios desde la fecha de adquisición hasta el cierre del periodo sobre el que se informa. Por ejemplo, las propiedades, planta y equipo, los inventarios de materias primas y mercancías, la plusvalía, las patentes, las marcas y otros activos similares, se reexpresan a partir de la fecha de su adquisición. Los inventarios de producción en proceso y de productos terminados se reexpresarán desde las fechas en que fueron incurridos los costos de compra y conversión.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Los registros detallados de las fechas de adquisición de los elementos componentes de las propiedades, planta y equipo pueden no estar disponibles, y en ocasiones tampoco es factible su estimación. En estas circunstancias excepcionales puede ser necesario, para el primer periodo de aplicación de esta Norma, utilizar una evaluación profesional independiente del valor de tales partidas que sirva como base para su reexpresión.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Puede no estar disponible un índice general de precios referido a los periodos para los que, según esta Norma, se requiere la reexpresión de las propiedades, planta y equipo. En estas circunstancias, puede ser necesario utilizar una estimación basada, por ejemplo, en los movimientos de la tasa de cambio entre la moneda funcional y una moneda extranjera relativamente estable.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Algunas partidas no monetarias se llevan según valores corrientes en fechas distintas a la del estado de situación financiera o la adquisición; por ejemplo, esto puede aparecer cuando los elementos componentes de las propiedades, planta y equipo se han revaluado en una fecha previa. En tales casos, los valores en libros se reexpresarán desde la fecha de la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Cuando el importe reexpresado de una partida no monetaria exceda a su importe recuperable, se reducirá de acuerdo con las NIIF apropiadas. Por ejemplo, los importes reexpresados de las propiedades, planta y equipo, plusvalía, patentes y marcas se reducirán a su importe recuperable y los importes reexpresados de los inventarios se reducirán a su valor neto realizable.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Una entidad participada que se contabilice según el método de la participación, podría informar en la moneda de una economía hiperinflacionaria. El estado de situación financiera y el estado del resultado integral de esta participada se reexpresarán de acuerdo con esta Norma para calcular la participación del inversor en sus activos netos y en resultados. Cuando los estados financieros reexpresados de la participada lo sean en una moneda extranjera, se convertirán aplicando las tasas de cambio de cierre.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21 Usualmente, el impacto de la inflación queda reconocido en los costos por préstamos. No es apropiado proceder simultáneamente a reexpresar los desembolsos efectuados en las inversiones financiadas con préstamos y, de forma simultánea, capitalizar aquella parte de los costos por préstamos que compensa al prestamista por la inflación en el mismo periodo. Esta parte de los costos por préstamos se reconoce como un gasto en el mismo periodo en que se incurren los susodichos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entidad puede adquirir activos mediante un acuerdo que le permita diferir el pago, sin incurrir explícitamente en ningún cargo por intereses. Cuando no se pueda determinar el importe de los intereses, tales activos se reexpresarán utilizando la fecha de pago y no la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Al comienzo del primer periodo de aplicación de esta Norma, los componentes del patrimonio de los propietarios, excepto las ganancias acumuladas y los superávit de revaluación de activos, se reexpresarán aplicando un índice general de precios a las diferentes partidas, desde la fechas en que fueron aportadas, o desde el momento en que surgieron por cualquier otra vía. Por su parte, cualquier superávit de revaluación surgido con anterioridad se eliminará. Las ganancias acumuladas reexpresadas se derivarán a partir del resto de importes del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Al final del primer periodo y en los periodos posteriores, se reexpresarán todos los componentes del patrimonio, aplicando un índice general de precios desde el principio del periodo, o desde la fecha de aportación si es posterior. Los movimientos habidos, durante el periodo, en el patrimonio de los propietarios se revelarán de acuerdo con la NIC 1</w:t>
      </w:r>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La presente Norma exige que todas las partidas del estado de resultado integral vengan expresadas en la unidad monetaria corriente al final del periodo sobre el que se informa. Para ello, todos los importes necesitan ser reexpresados mediante la utilización de la variación experimentada por el índice general de precios, desde la fecha en que los gastos e ingresos fueron recogidos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Pérdidas o ganancias derivadas de la posición monetaria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En un periodo de inflación, toda entidad que mantenga un exceso de activos monetarios sobre pasivos monetarios, perderá poder adquisitivo, y toda entidad que mantenga un exceso de pasivos monetarios sobre activos monetarios, ganará poder adquisitivo, siempre que tales partidas no se encuentren sujetas a un índice de precios. Estas pérdidas o ganancias, por la posición monetaria neta, pueden determinarse como la diferencia procedente de la reexpresión de los activos no monetarios, patrimonio de los propietarios y partidas en el estado del resultado integral y los ajustes de activos y obligaciones indexados. Esta pérdida o ganancia puede estimarse también aplicando el cambio en el índice general de precios al promedio ponderado, para el periodo, de la diferencia entre activos y pasivos monetarios.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28 La pérdida o ganancia derivada de la posición monetaria neta se incluirá en el resultado del periodo. El ajuste efectuado en los activos y pasivos indexados por cambios en precios, hecho de acuerdo con el párrafo 13, se compensará con la pérdida o ganancia derivada de la posición monetaria neta. Otras partidas de ingreso y gasto, tales como los ingresos y gastos financieros, así como las diferencias de cambio en moneda extranjera, relacionadas con los fondos prestados o tomados en préstamo, estarán también asociadas con la posición monetaria neta. Aunque estas partidas se revelarán por separado, puede ser útil presentarlas de forma agrupada con las pérdidas o ganancias procedentes de la posición monetaria neta en el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a costo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Las partidas medidas a costo corriente no serán objeto de reexpresión, por estar ya medidas en términos de la unidad de medida corriente al final del periodo sobre el que se informa. Otras partidas en el estado de situación financiera se reexpresarán de acuerdo con los párrafos 11 a 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El estado a costo corriente del resultado integral, antes de la reexpresión, generalmente informa sobre costos corrientes en el momento en el que las transacciones y sucesos subyacentes ocurrieron. El costo de las ventas y la depreciación se registran según sus costos corrientes en el momento del consumo; las ventas y los otros gastos se registran por sus importes monetarios al ser llevados a cabo. Por ello todas estas partidas necesitan ser reexpresadas en términos de la unidad de medida corriente al final del periodo sobre el que se informa, y ello se hace aplicando las variaciones de un índice general de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Pérdidas o ganancias derivadas de la posición monetaria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Las pérdidas y ganancias por la posición monetaria neta se calculan y presentan de acuerdo a lo establecido en los párrafos 27 y 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La reexpresión de los estados financieros de acuerdo con esta Norma puede dar lugar a diferencias entre el importe en libros de los activos y pasivos individuales en el estado de situación financiera y sus bases fiscales. Tales diferencias se tratan contablemente de acuerdo con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Esta Norma exige que todas las partidas del estado de flujos de efectivo se reexpresen en términos de la unidad de medida corriente en la fecha de cierre del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Cifras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Las cifras correspondientes a las partidas del periodo anterior, ya estén basadas en el método del costo histórico o del costo corriente, se reexpresarán aplicando un índice general de precios, de forma que los estados financieros comparativos se presenten en términos de la unidad de medida corriente en la fecha de cierre del periodo sobre el que se informa. La información que se revele respecto a periodos anteriores se expresará también en términos de la unidad de medida corriente en la fecha de cierre del periodo sobre el que se informa. Para el propósito de presentar los importes comparativos en una moneda de presentación diferente, se aplicarán los párrafos 42(b) y 43 de la NIC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Una sociedad controladora que presente información en la moneda de una economía hiperinflacionaria puede tener subsidiarias que presenten también información en monedas de economías hiperinflacionarias. Los estados financieros de tales subsidiarias necesitarán ser reexpresados, mediante la aplicación de un índice general de precios correspondiente al país en cuya moneda presentan la información, antes de incluirse en los estados financieros consolidados a presentar por la controladora. Cuando la subsidiaria es extranjera, sus estados financieros se convertirán a las tasas de cambio de cierre. Los estados financieros de las subsidiarias, que no presenten información en monedas de economías hiperinflacionarias, se tratarán contablemente de acuerdo con lo establecido en la NIC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Si se consolidan estados financieros con fechas de final del periodo sobre el que se informa diferentes, todas las partidas, sean o no monetarias, necesitarán ser reexpresadas en la unidad de medida corriente a la fecha de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Selección y uso de un índice general de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reexpresión de los estados financieros, conforme a lo establecido en esta Norma, exige el uso de un índice general de precios que refleje los cambios en el poder adquisitivo general de la moneda. Es preferible que todas las entidades que presenten información en la moneda de una misma economía utilicen el mismo índice.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Economías que dejan de ser hiperinflacionarias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38 Cuando una economía deje de ser hiperinflacionaria y una entidad cese en la preparación y presentación de estados financieros elaborados conforme a lo establecido en esta Norma, debe tratar las cifras expresadas en la unidad de medida corriente al final del periodo previo, como base para los importes en libros de las partidas en sus estados financieros subsiguientes.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La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el hecho de que los estados financieros, así como las cifras correspondientes para periodos anteriores, han sido reexpresados para considerar los cambios en el poder adquisitivo general de la moneda funcional y que, como resultado, están expresados en la unidad de medida corriente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los estados financieros antes de la reexpresión estaban elaborados utilizando el método del costo histórico o el del costo corriente;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identificación y valor del índice general de precios al final del periodo sobre el que se informa, así como el movimiento del mismo durante el periodo corriente y el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Esta Norma exige que se revele la información necesaria para dejar claras las bases del tratamiento de los efectos de la inflación en los estados financieros. Además, se ha de intentar suministrar la información necesaria para comprender estas bases y las cantidades resultantes.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Esta Norma tendrá vigencia para los estados financieros que cubran periodos que comiencen a partir del 1 de enero de 1990.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Como parte del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el Consejo cambió los términos utilizados en la NIC 29 para ser congruentes con otras NIIF de la forma siguiente: (a) “valor de mercado” se modificó como “valor razonable”, y (b) “resultados de operación” y “resultado neto” se modificaron como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Instrumentos Financieros: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El objetivo de esta Norma es establecer principios para presentar los instrumentos financieros como pasivos o patrimonio y para compensar activos y pasivos financieros. Ella aplica a la clasificación de los instrumentos financieros, desde la perspectiva del emisor, en activos financieros, pasivos financieros e instrumentos de patrimonio; en la clasificación de los intereses, dividendos y pérdidas y ganancias relacionadas con ellos, y en las circunstancias que obligan a la compensación de activos financieros y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Los principios de esta Norma complementan los relativos al reconocimiento y medición de los activos y pasivos financieros, de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y a la información a revelar sobre ellos en la NIIF 7 </w:t>
      </w:r>
      <w:r w:rsidRPr="00401DFF">
        <w:rPr>
          <w:rFonts w:ascii="Times New Roman" w:eastAsia="Times New Roman" w:hAnsi="Times New Roman" w:cs="Times New Roman"/>
          <w:i/>
          <w:iCs/>
          <w:sz w:val="24"/>
          <w:szCs w:val="24"/>
          <w:lang w:eastAsia="es-CO"/>
        </w:rPr>
        <w:t>Instrumentos Financieros: Información a Revelar</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Esta Norma se aplicará por todas las entidades y a todos los tipos de instrumentos financieros, excepto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aquellas participaciones en subsidiarias, asociadas o negocios conjuntos, que se contabilicen de acuerdo con la NIIF 10 </w:t>
      </w:r>
      <w:r w:rsidRPr="00401DFF">
        <w:rPr>
          <w:rFonts w:ascii="Times New Roman" w:eastAsia="Times New Roman" w:hAnsi="Times New Roman" w:cs="Times New Roman"/>
          <w:b/>
          <w:bCs/>
          <w:i/>
          <w:iCs/>
          <w:sz w:val="24"/>
          <w:szCs w:val="24"/>
          <w:lang w:eastAsia="es-CO"/>
        </w:rPr>
        <w:t>Estados Financieros Consolidados</w:t>
      </w:r>
      <w:r w:rsidRPr="00401DFF">
        <w:rPr>
          <w:rFonts w:ascii="Times New Roman" w:eastAsia="Times New Roman" w:hAnsi="Times New Roman" w:cs="Times New Roman"/>
          <w:b/>
          <w:bCs/>
          <w:sz w:val="24"/>
          <w:szCs w:val="24"/>
          <w:lang w:eastAsia="es-CO"/>
        </w:rPr>
        <w:t xml:space="preserve">, NIC 27 </w:t>
      </w:r>
      <w:r w:rsidRPr="00401DFF">
        <w:rPr>
          <w:rFonts w:ascii="Times New Roman" w:eastAsia="Times New Roman" w:hAnsi="Times New Roman" w:cs="Times New Roman"/>
          <w:b/>
          <w:bCs/>
          <w:i/>
          <w:iCs/>
          <w:sz w:val="24"/>
          <w:szCs w:val="24"/>
          <w:lang w:eastAsia="es-CO"/>
        </w:rPr>
        <w:t>Estados Financieros Separados,</w:t>
      </w:r>
      <w:r w:rsidRPr="00401DFF">
        <w:rPr>
          <w:rFonts w:ascii="Times New Roman" w:eastAsia="Times New Roman" w:hAnsi="Times New Roman" w:cs="Times New Roman"/>
          <w:b/>
          <w:bCs/>
          <w:sz w:val="24"/>
          <w:szCs w:val="24"/>
          <w:lang w:eastAsia="es-CO"/>
        </w:rPr>
        <w:t xml:space="preserve"> NIC 28 </w:t>
      </w:r>
      <w:r w:rsidRPr="00401DFF">
        <w:rPr>
          <w:rFonts w:ascii="Times New Roman" w:eastAsia="Times New Roman" w:hAnsi="Times New Roman" w:cs="Times New Roman"/>
          <w:b/>
          <w:bCs/>
          <w:i/>
          <w:iCs/>
          <w:sz w:val="24"/>
          <w:szCs w:val="24"/>
          <w:lang w:eastAsia="es-CO"/>
        </w:rPr>
        <w:t>Inversiones en Asociadas y Negocios Conjuntos</w:t>
      </w:r>
      <w:r w:rsidRPr="00401DFF">
        <w:rPr>
          <w:rFonts w:ascii="Times New Roman" w:eastAsia="Times New Roman" w:hAnsi="Times New Roman" w:cs="Times New Roman"/>
          <w:b/>
          <w:bCs/>
          <w:sz w:val="24"/>
          <w:szCs w:val="24"/>
          <w:lang w:eastAsia="es-CO"/>
        </w:rPr>
        <w:t>. No obstante, en algunos casos la NIC 27 o la NIC 28 permiten que una entidad contabilice las participaciones en una subsidiaria, asociada o negocio conjunto aplicando la NIIF 9; en esos casos, las entidades aplicarán los requerimientos de esta Norma. Las entidades aplicarán también esta Norma a todos los derivados vinculados a participaciones en subsidiarias, asociadas o negocios conjuntos</w:t>
      </w:r>
      <w:r w:rsidRPr="00401DFF">
        <w:rPr>
          <w:rFonts w:ascii="Times New Roman" w:eastAsia="Times New Roman" w:hAnsi="Times New Roman" w:cs="Times New Roman"/>
          <w:b/>
          <w:bCs/>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Los derechos y obligaciones de los empleadores derivados de planes de beneficios a los empleados, a los que se aplique la NIC 19 </w:t>
      </w:r>
      <w:r w:rsidRPr="00401DFF">
        <w:rPr>
          <w:rFonts w:ascii="Times New Roman" w:eastAsia="Times New Roman" w:hAnsi="Times New Roman" w:cs="Times New Roman"/>
          <w:b/>
          <w:bCs/>
          <w:i/>
          <w:iCs/>
          <w:sz w:val="24"/>
          <w:szCs w:val="24"/>
          <w:lang w:eastAsia="es-CO"/>
        </w:rPr>
        <w:t>Beneficios a los Empleados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(d) Los contratos de seguro, según se definen en la NIIF 4 </w:t>
      </w:r>
      <w:r w:rsidRPr="00401DFF">
        <w:rPr>
          <w:rFonts w:ascii="Times New Roman" w:eastAsia="Times New Roman" w:hAnsi="Times New Roman" w:cs="Times New Roman"/>
          <w:b/>
          <w:bCs/>
          <w:i/>
          <w:iCs/>
          <w:sz w:val="24"/>
          <w:szCs w:val="24"/>
          <w:lang w:eastAsia="es-CO"/>
        </w:rPr>
        <w:t>Contratos de Seguro</w:t>
      </w:r>
      <w:r w:rsidRPr="00401DFF">
        <w:rPr>
          <w:rFonts w:ascii="Times New Roman" w:eastAsia="Times New Roman" w:hAnsi="Times New Roman" w:cs="Times New Roman"/>
          <w:b/>
          <w:bCs/>
          <w:sz w:val="24"/>
          <w:szCs w:val="24"/>
          <w:lang w:eastAsia="es-CO"/>
        </w:rPr>
        <w:t>. No obstante, esta Norma se aplica a los derivados implícitos en contratos de seguro, siempre que la NIIF 9 requiera que la entidad los contabilice por separado. Además, un emisor aplicará esta Norma a contratos de garantía financiera si aplica la NIIF 9 para reconocer y medir los contratos, pero aplicará la NIIF 4 si opta, de acuerdo con su párrafo 4(d) de la NIIF 4, por aplicar la NIIF 4 para reconocerlos y medirlos.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Instrumentos financieros que entren dentro del alcance de la NIIF 4 porque contengan un componente de participación discrecional. El emisor de dichos instrumentos está exento de aplicar a esos componentes los párrafos 15 a 32 y GA25 a GA35 de esta Norma, que se refieren a la distinción entre pasivos financieros e instrumentos de patrimonio. Sin embargo, los instrumentos están sujetos al resto de requerimientos de esta Norma. Además, esta Norma es de aplicación a los derivados que estén implícitos en dichos instrumentos (véase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(f) Instrumentos financieros, contratos y obligaciones derivados de transacciones con pagos basados en acciones, a las que se aplica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 xml:space="preserve"> salvo en los siguientes casos: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contratos que entren dentro del alcance de los párrafos 8 a 10 de esta Norma, a los que es de aplicación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los párrafos 33 y 34 de esta Norma, que serán aplicados a las acciones propias en cartera adquiridas, vendidas, emitidas o liquidadas, que tengan relación con planes de opciones sobre acciones para los empleados, planes de compra de acciones por empleados y todos los demás acuerdos de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5-7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Esta Norma se aplicará a aquellos contratos de compra o venta de partidas no financieras que se liquiden por el importe neto, en efectivo o en otro instrumento financiero, o mediante el intercambio de instrumentos financieros, como si dichos contratos fuesen instrumentos financieros, con la excepción de los contratos que se celebraron y se mantienen con el objetivo de recibir o entregar una partida no financiera, de acuerdo con las compras, ventas o necesidades de utilización esperadas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Existen diversas formas por las que un contrato de compra o de venta de partidas no financieras puede liquidarse por el importe neto, en efectivo o en otro instrumento financiero, o mediante el intercambio de instrumentos financieros. Entre ellas 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las cláusulas del contrato permitan a cualquiera de las partes liquidar por el importe neto, en efectivo o en otro instrumento financiero o mediante el intercambio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la capacidad para liquidar por el importe neto, en efectivo o en otro instrumento financiero o mediante el intercambio de instrumentos financieros, no esté explícitamente recogida en las cláusulas del contrato, pero la entidad liquide habitualmente contratos similares por el importe neto, en efectivo u otro instrumento financiero o mediante el intercambio de instrumentos financieros (ya sea con la contraparte, mediante acuerdos de compensación o mediante la venta del contrato antes de su ejercicio o caducidad del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cuando, para contratos similares, la entidad exija habitualmente la entrega del subyacente y lo venda en un periodo corto con el objetivo de generar ganancias por las fluctuaciones del precio a corto plazo o un margen de intermediación;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el elemento no financiero objeto del contrato sea fácilmente convertible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al que le sean de aplicación los apartados (b) o (c), no se celebra con el objetivo de recibir o entregar el elemento no financiero, de acuerdo con las compras, ventas o necesidades de utilización esperadas por la entidad y, en consecuencia, estará dentro del alcance de esta Norma. Los demás contratos, a los que sea de aplicación el párrafo 8, se evaluarán para determinar si han sido celebrados o se mantienen con el objetivo de recibir o entregar una partida no financiera de acuerdo con las compras, ventas o necesidades de utilización esperadas por la entidad y si, por ello, están dentro del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Una opción emitida de compra o venta de elementos no financieros, que pueda ser liquidada por el importe neto, en efectivo o en otro instrumento financiero, o mediante el intercambio de instrumentos financieros, de acuerdo con los apartados (a) o (d) del párrafo 9, está dentro del alcance de esta Norma. Dicho contrato no puede haberse celebrado con el objetivo de recibir o entregar una partida no financiera de acuerdo con las compras, ventas o necesidades de utilización esperadas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Definiciones (véanse también los párrafos GA3 a GA23)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instrumento financiero</w:t>
      </w:r>
      <w:r w:rsidRPr="00401DFF">
        <w:rPr>
          <w:rFonts w:ascii="Times New Roman" w:eastAsia="Times New Roman" w:hAnsi="Times New Roman" w:cs="Times New Roman"/>
          <w:b/>
          <w:bCs/>
          <w:sz w:val="24"/>
          <w:szCs w:val="24"/>
          <w:lang w:eastAsia="es-CO"/>
        </w:rPr>
        <w:t xml:space="preserve"> es cualquier contrato que dé lugar a un activo financiero en una entidad y a un pasivo financiero o a un instrumento de patrimonio en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activo financiero </w:t>
      </w:r>
      <w:r w:rsidRPr="00401DFF">
        <w:rPr>
          <w:rFonts w:ascii="Times New Roman" w:eastAsia="Times New Roman" w:hAnsi="Times New Roman" w:cs="Times New Roman"/>
          <w:b/>
          <w:bCs/>
          <w:sz w:val="24"/>
          <w:szCs w:val="24"/>
          <w:lang w:eastAsia="es-CO"/>
        </w:rPr>
        <w:t>es cualquier activo que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instrumento de patrimonio de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 derecho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 recibir efectivo u otro activo financiero de otra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a intercambiar activos financieros o pasivos financieros con otra entidad, en condiciones que sean potencialmente favorables para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 contrato que será o podrá ser liquidado utilizando instrumentos de patrimonio propio de la entidad, y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 instrumento no derivado, según el cual la entidad está o puede estar obligada a recibir una cantidad variable de sus instrumentos de patrimonio propios,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 instrumento derivado que será o podrá ser liquidado mediante una forma distinta al intercambio de un importe fijo de efectivo, o de otro activo financiero, por una cantidad fija de los instrumentos de patrimonio propio de la entidad. A estos efectos los instrumentos de patrimonio propio de la entidad no incluyen los instrumentos financieros con opción de venta clasificados como instrumentos de patrimonio de acuerdo con los párrafos 16A y 16B, instrumentos que imponen una obligación a la entidad de entregar a terceros una participación proporcional de los activos netos de la entidad solo en el momento de la liquidación y se clasifican como instrumentos de patrimonio de acuerdo con los párrafos 16C y 16D, o los instrumentos que son contratos para la recepción o entrega futura de instrumentos de patrimonio propios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pasivo financiero </w:t>
      </w:r>
      <w:r w:rsidRPr="00401DFF">
        <w:rPr>
          <w:rFonts w:ascii="Times New Roman" w:eastAsia="Times New Roman" w:hAnsi="Times New Roman" w:cs="Times New Roman"/>
          <w:b/>
          <w:bCs/>
          <w:sz w:val="24"/>
          <w:szCs w:val="24"/>
          <w:lang w:eastAsia="es-CO"/>
        </w:rPr>
        <w:t>es cualquier pasivo que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obligación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de entregar efectivo u otro activo financiero a otra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 de intercambiar activos financieros o pasivos financieros con otra entidad, en condiciones que sean potencialmente desfavorables para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contrato que será o podrá ser liquidado utilizando instrumentos de patrimonio propio de la entidad, y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 instrumento no derivado, según el cual la entidad estuviese o pudiese estar obligada a entregar una cantidad variable de los instrumentos de patrimonio propio;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 instrumento derivado que será o podrá ser liquidado mediante una forma distinta al intercambio de un importe fijo de efectivo, o de otro activo financiero, por una cantidad fija de los instrumentos de patrimonio propio de la entidad. A este efecto, los derechos, opciones o certificados de opciones para compra de acciones (warrants) para adquirir una cantidad fija de los instrumentos de patrimonio propio de la entidad por un importe fijo de cualquier moneda son instrumentos de patrimonio si la entidad ofrece los derechos, opciones o certificados de opciones para compra de acciones (warrants) de forma proporcional a todos los propietarios existentes de la misma clase de sus instrumentos de patrimonio no derivados propios. A estos efectos los instrumentos de patrimonio propio de la entidad no incluyen los instrumentos financieros con opción de venta clasificados como instrumentos de patrimonio de acuerdo con los párrafos 16A y 16B, instrumentos que imponen una obligación a la entidad de entregar a terceros un participación proporcional de los activos netos de la entidad solo en el momento de la liquidación y que se clasifican como instrumentos de patrimonio de acuerdo con los párrafos 16C y 16D, o los instrumentos que son contratos para la recepción o entrega futura de instrumentos de patrimonio propio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Como excepción, un instrumento que cumpla la definición de un pasivo financiero se clasificará como un instrumento de patrimonio, si tiene todas las características y cumple las condiciones de los párrafos 16A y 16B o de los párrafos 16C y 16D.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instrumento de patrimonio </w:t>
      </w:r>
      <w:r w:rsidRPr="00401DFF">
        <w:rPr>
          <w:rFonts w:ascii="Times New Roman" w:eastAsia="Times New Roman" w:hAnsi="Times New Roman" w:cs="Times New Roman"/>
          <w:b/>
          <w:bCs/>
          <w:sz w:val="24"/>
          <w:szCs w:val="24"/>
          <w:lang w:eastAsia="es-CO"/>
        </w:rPr>
        <w:t>es cualquier contrato que ponga de manifiesto una participación residual en los activos de una entidad, después de deducir todos sus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instrumento con opción de venta</w:t>
      </w:r>
      <w:r w:rsidRPr="00401DFF">
        <w:rPr>
          <w:rFonts w:ascii="Times New Roman" w:eastAsia="Times New Roman" w:hAnsi="Times New Roman" w:cs="Times New Roman"/>
          <w:b/>
          <w:bCs/>
          <w:sz w:val="24"/>
          <w:szCs w:val="24"/>
          <w:lang w:eastAsia="es-CO"/>
        </w:rPr>
        <w:t xml:space="preserve"> es un instrumento financiero que proporciona al tenedor el derecho a devolver el instrumento al emisor a cambio de efectivo o de otro activo financiero o es devuelvo automáticamente al emisor en el momento en que tenga lugar un suceso futuro incierto o la muerte o jubilación del tenedor de dicho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12 Los siguientes términos se definen en el Apéndice A de la NIIF 9 o en el párrafo 9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y se utilizan en esta Norma con el significado especificado en la NIC 39 y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compra o venta convencional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compromiso en firme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contrato de garantía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costo amortizado de un activo financiero o de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costos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derivado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eficacia de la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mantenido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método del interés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partida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pasivos financieros que se contabilicen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transacción prevista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En esta Norma, los términos “contrato” y “contractual” hacen referencia a un acuerdo entre dos o más partes, que les produce claras consecuencias económicas que ellas tienen poca o ninguna capacidad de evitar, por ser el cumplimiento del acuerdo legalmente exigible. Los contratos, y por tanto los instrumentos financieros asociados, pueden adoptar una gran variedad de formas y no precisan ser fijados por escrito.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En esta Norma, el término “entidad” incluye tanto a empresarios individuales como a formas asociativas entre individuos o entidades, sociedades legalmente establecidas, fideicomisos y agencias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y patrimonio (véanse también los párrafos GA13 a GA14J y GA25 a GA29A)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15 El emisor de un instrumento financiero lo clasificará en su totalidad o en cada una de sus partes integrantes, en el momento de su reconocimiento inicial, como un pasivo financiero, un activo financiero o un instrumento de patrimonio, de conformidad con la esencia económica del acuerdo contractual y con las definiciones de pasivo financiero, de activo financiero y de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Cuando un emisor aplique las definiciones del párrafo 11, para determinar si un instrumento financiero es un instrumento de patrimonio en lugar de un pasivo financiero, el instrumento será de patrimonio si, y solo si, se cumplen las dos condiciones (a) y (b) descritas a continuación.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instrumento no incorpora una obligación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de entregar efectivo u otro activo financiero a otra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 intercambiar activos o pasivos financieros con otra entidad bajo condiciones que sean potencialmente desfavorables para el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el instrumento será o podrá ser liquidado con los instrumentos de patrimonio propio del emisor,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 instrumento no derivado, que no incluye ninguna obligación contractual para el emisor de entregar una cantidad variable de sus instrumentos de patrimonio propio;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un derivado que será liquidado solo por el emisor a través del intercambio de un importe fijo de efectivo o de otro activo financiero por una cantidad fija de sus instrumentos de patrimonio propio. A este efecto, los derechos, opciones o certificados de opciones para compra de acciones (warrants) para adquirir una cantidad fija de los instrumentos de patrimonio propio de la entidad por un importe fijo de cualquier moneda son instrumentos de patrimonio si la entidad ofrece los derechos, opciones o certificados de opciones para compra de acciones (warrants) de forma proporcional a todos los propietarios existentes de la misma clase de sus instrumentos de patrimonio no derivados propios. También, a estos efectos los instrumentos de patrimonio propio del emisor no incluyen instrumentos que reúnan todas las características y cumplan las condiciones descritas en los párrafos 16A y 16B o en los párrafos 16C y 16D, o instrumentos que sean contratos para la recepción o entrega futura de instrumentos de patrimonio propio del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obligación contractual, incluyendo aquélla que surja de un instrumento financiero derivado, que dará o pueda dar lugar a la recepción o entrega futura de instrumentos de patrimonio propio del emisor, no tendrá la consideración de un instrumento de patrimonio si no cumple las condiciones (a) y (b) anteriores. Como excepción, un instrumento que cumpla la definición de un pasivo financiero se clasificará como un instrumento de patrimonio, si tiene todas las características y cumple las condiciones de los párrafos 16A y 16B o de los párrafos 16C y 16D.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con opción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16A Un instrumento financiero con opción de venta incluye una obligación contractual para el emisor de recomprar o reembolsar ese instrumento mediante efectivo u otro activo financiero en el momento de ejercer la opción. Como excepción a la definición de un pasivo financiero, un instrumento que incluya dicha obligación se clasificará como un instrumento de patrimonio si reúne todas las características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Otorga al tenedor el derecho a una participación proporcional de los activos netos de la entidad en caso de liquidación de la misma. Los activos netos de la entidad son los que se mantienen después de deducir todos los demás derechos sobre sus activos. Una participación proporcional se determina mediante: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división de los activos netos de la entidad en el momento de la liquidación en unidades de importe idéntico;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multiplicación de ese importe por el número de unidades en posesión del tenedor de los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instrumento se encuentra en la clase de instrumentos que está subordinada a todas las demás clases de instrumentos. Por estar en dicha clase 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no tiene prioridad sobre otros derechos a los activos de la entidad en el momento de la liquidación,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no necesita convertirse en otro instrumento antes de que esté en la clase de instrumentos que se encuentre subordinado a todas las demás clases de instrumentos.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Todos los instrumentos financieros de la clase de instrumentos que está subordinada a todas las demás clases de instrumentos tienen características idénticas. Por ejemplo, deben incorporar todos opción de venta, y la fórmula u otros medios utilizados para calcular el precio de recompra o reembolso es el mismo para todos los instrumentos de esa clase.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Además de la obligación contractual para el emisor de recomprar o reembolsar el instrumento mediante efectivo u otro activo financiero, el instrumento no incluye ninguna obligación contractual de entregar a otra entidad efectivo u otro activo financiero, o intercambiar activos financieros o pasivos financieros con otra entidad en condiciones que sean potencialmente desfavorables para la entidad, y no es un contrato que sea o pueda ser liquidado utilizando instrumentos de patrimonio propio de la entidad como se establece en el subpárrafo (b) de la definición de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flujos de efectivo totales esperados atribuibles al instrumento a lo largo de su vida se basan sustancialmente en los resultados, en el cambio en los activos netos reconocidos o en el cambio en el valor razonable de los activos netos reconocidos y no reconocidos de la entidad a lo largo de la vida del instrumento (excluyendo cualesquiera efectos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16B Para que un instrumento se clasifique como un instrumento de patrimonio, además de que el instrumento tenga todas las características anteriormente mencionadas, el emisor no debe tener otro instrumento financiero o contrato que tenga: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flujos de efectivo totales basados sustancialmente en el resultado, el cambio en los activos netos reconocidos o el cambio en el valor razonable de los activos netos reconocidos y no reconocidos de la entidad (excluyendo cualesquiera efectos de este instrumento o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efecto de fijar o restringir sustancialmente el rendimiento residual para el tenedor del instrumento con opción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efectos de aplicar esta condición, la entidad no considerará contratos no financieros con un tenedor de un instrumento descrito en el párrafo 16A que tenga condiciones y cláusulas contractuales que sean similares a las de un contrato equivalente que pueda tener lugar entre un tenedor que no tenga el instrumento y la entidad que lo emite. Si la entidad no puede determinar que se cumple esta condición, no clasificará el instrumento con opción de venta como un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o componentes de instrumentos, que imponen a la entidad una obligación de entregar a terceros una participación proporcional de los activos netos de la entidad solo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16C Algunos instrumentos financieros incluyen una obligación contractual para la entidad emisora de entregar a otra entidad una participación proporcional de sus activos netos solo en el momento de la liquidación. La obligación surge bien porque la liquidación ocurrirá con certeza y fuera del control de la entidad (por ejemplo, una entidad de vida limitada) o bien porque es incierto que ocurra pero es una opción del tenedor del instrumento. Como excepción a la definición de un pasivo financiero, un instrumento que incluya dicha obligación se clasificará como un instrumento de patrimonio si reúne todas las características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Otorga al tenedor el derecho a una participación proporcional de los activos netos de la entidad en caso de liquidación de la misma. Los activos netos de la entidad son los que se mantienen después de deducir todos los demás derechos sobre sus activos. Una participación proporcional se determina mediante: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división de los activos netos de la entidad en el momento de la liquidación en unidades de importe idéntico;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multiplicación de ese importe por el número de unidades en posesión del tenedor de los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instrumento se encuentra en la clase de instrumentos que está subordinada a todas las demás clases de instrumentos. Por estar en dicha clase 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no tiene prioridad sobre otros derechos a los activos de la entidad en el momento de la liquidación,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no necesita convertirse en otro instrumento antes de que esté en la clase de instrumentos que se encuentre subordinado a todas las demás clases de instrumentos.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Todos los instrumentos financieros de la clase de instrumentos que está subordinada a todas las demás clases de instrumentos deben tener una obligación contractual idéntica para la entidad que emite de entregar una participación proporcional de sus activos netos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16D Para que un instrumento se clasifique como un instrumento de patrimonio, además de que el instrumento tenga todas las características anteriormente mencionadas, el emisor no debe tener otro instrumento financiero o contrato que tenga: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flujos de efectivo totales basados sustancialmente en el resultado, el cambio en los activos netos reconocidos o el cambio en el valor razonable de los activos netos reconocidos y no reconocidos de la entidad (excluyendo cualesquiera efectos de este instrumento o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efecto de restringir sustancialmente o fijar el rendimiento residual para el tenedor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efectos de aplicar esta condición, la entidad no considerará contratos no financieros con un tenedor de un instrumento descrito en el párrafo 16C que tenga condiciones y cláusulas contractuales que sean similares a las de un contrato equivalente que pueda tener lugar entre un tenedor que no tenga el instrumento y la entidad que lo emite. Si la entidad no puede determinar que esta condición se cumple, no clasificará el instrumento como un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Reclasificación de instrumentos con opción de venta e instrumentos que imponen a la entidad una obligación de entregar a terceros una participación proporcional de los activos netos de la entidad solo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16E Una entidad clasificará un instrumento financiero como un instrumento de patrimonio de acuerdo con los párrafos 16A y 16B o los párrafos 16C y 16D desde la fecha en que el instrumento tenga todas las características y cumpla las condiciones establecidas en esos párrafos. Una entidad reclasificará un instrumento financiero desde la fecha en que el instrumento deje de tener todas las características o cumplir todas las condiciones establecidas en esos párrafos. Por ejemplo, si una entidad reembolsa todos los instrumentos sin opción de venta que ha emitido y todos sus instrumentos con opción de venta que permanecen vigentes tienen todas las características y cumplen las condiciones de los párrafos 16A y 16B, la entidad reclasificará los instrumentos con opción de venta como instrumentos de patrimonio desde la fecha en que reembolse los instrumentos sin opción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16F Una entidad contabilizará la reclasificación de un instrumento de acuerdo con el párrafo 16E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Reclasificará un instrumento de patrimonio como un pasivo financiero desde la fecha en que el instrumento deje de tener todas las características o cumpla las condiciones de los párrafos 16A y 16B o de los párrafos 16C y 16D. El pasivo financiero deberá medirse al valor razonable del instrumento en la fecha de la reclasificación. La entidad reconocerá en patrimonio cualquier diferencia entre el valor en libros del instrumento de patrimonio y el valor razonable del pasivo financiero en la fecha de la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Reclasificará un pasivo financiero como patrimonio desde la fecha en que el instrumento tenga todas las características y cumpla las condiciones establecidas en los párrafos 16A y 16B o en los párrafos 16C y 16D. Un instrumento de patrimonio deberá medirse al valor en libros del pasivo financiero en la fecha de la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Inexistencia de una obligación contractual de entregar efectivo u otro activo financiero [párrafo 16(a)]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 Con la excepción de las circunstancias descritas en los párrafos 16A y 16B o en los párrafos 16C y 16D, un elemento clave para diferenciar un pasivo financiero de un instrumento de patrimonio, es </w:t>
      </w:r>
      <w:r w:rsidRPr="00401DFF">
        <w:rPr>
          <w:rFonts w:ascii="Times New Roman" w:eastAsia="Times New Roman" w:hAnsi="Times New Roman" w:cs="Times New Roman"/>
          <w:i/>
          <w:iCs/>
          <w:sz w:val="24"/>
          <w:szCs w:val="24"/>
          <w:lang w:eastAsia="es-CO"/>
        </w:rPr>
        <w:t>la existencia de una obligación contractual de una de las partes del instrumento financiero (el emisor),</w:t>
      </w:r>
      <w:r w:rsidRPr="00401DFF">
        <w:rPr>
          <w:rFonts w:ascii="Times New Roman" w:eastAsia="Times New Roman" w:hAnsi="Times New Roman" w:cs="Times New Roman"/>
          <w:sz w:val="24"/>
          <w:szCs w:val="24"/>
          <w:lang w:eastAsia="es-CO"/>
        </w:rPr>
        <w:t xml:space="preserve"> de entregar efectivo u otro activo financiero a la otra parte (el tenedor) o intercambiar activos financieros o pasivos financieros con el tenedor en condiciones que sean potencialmente desfavorables para el emisor. Aunque el tenedor de un instrumento de patrimonio puede tener derecho a recibir una parte proporcional de cualquier dividendo u otras distribuciones del patrimonio, el emisor no tiene una obligación contractual de hacer estas distribuciones porque no está obligado a entregar efectivo u otro activo financiero a otra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Será el fondo económico de un instrumento financiero, en vez de su forma legal, el que ha de guiar la clasificación del mismo en el estado de situación financiera de la entidad. El fondo y la forma legal suelen ser coherentes, aunque no siempre lo son. Algunos instrumentos financieros tienen la forma legal de instrumentos de patrimonio pero, en el fondo, son pasivos y otros pueden combinar características asociadas con instrumentos de patrimonio y otras asociadas con pasivos financieros.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acción preferente será un pasivo financiero si el emisor está obligado a reembolsarla por una cantidad fija o determinable, en una fecha futura cierta o determinable, o si concede al tenedor el derecho de requerir al emisor para que reembolse el instrumento, en una fecha concreta o a partir de la misma, y por una cantidad fija o determinable.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Un instrumento financiero que proporcione al tenedor el derecho a devolverlo al emisor, a cambio de efectivo u otro activo financiero (un “instrumento con opción de venta”), es un pasivo financiero, excepto en el caso de los instrumentos clasificados como instrumentos de patrimonio de acuerdo con los párrafos 16A y 16B o los párrafos 16C y 16D. El instrumento financiero es un pasivo financiero incluso cuando el importe de efectivo u otro </w:t>
      </w:r>
      <w:r w:rsidRPr="00401DFF">
        <w:rPr>
          <w:rFonts w:ascii="Times New Roman" w:eastAsia="Times New Roman" w:hAnsi="Times New Roman" w:cs="Times New Roman"/>
          <w:sz w:val="24"/>
          <w:szCs w:val="24"/>
          <w:lang w:eastAsia="es-CO"/>
        </w:rPr>
        <w:lastRenderedPageBreak/>
        <w:t xml:space="preserve">activo financiero se determine sobre la base de un índice u otro elemento que tenga el potencial de aumentar o disminuir. La existencia de una opción que proporcione al tenedor el derecho a devolver el instrumento al emisor a cambio de efectivo u otro activo financiero significa que el instrumento con opción de venta cumple la definición de un pasivo financiero, excepto en el caso de los instrumentos clasificados como instrumentos de patrimonio de acuerdo con los párrafos 16A y 16B o los párrafos 16C y 16D. Por ejemplo, fondos de inversión colectiva a prima variable, fideicomisos de inversión, asociaciones para la inversión y algunas entidades cooperativas, pueden conceder a sus partícipes o miembros el derecho a recibir en cualquier momento el reembolso en efectivo de sus participaciones, dando lugar a que las mismas se clasifiquen como pasivos financieros, excepto en el caso de los instrumentos clasificados como instrumentos de patrimonio de acuerdo con los párrafos 16A y 16B o los párrafos 16C y 16D. Sin embargo, la clasificación como un pasivo financiero no impide el uso, en los estados financieros de una entidad que no posea patrimonio aportado (tal como algunos fondos de inversión colectiva y fideicomisos de inversión, véase el Ejemplo Ilustrativo 7), de descripciones tales como “valor del activo neto atribuible a los partícipes” y “cambios en el valor del activo neto atribuible a los partícipes”; o la utilización de información a revelar adicional para mostrar que la participación total de los miembros comprende partidas tales como reservas que cumplen la definición de patrimonio e instrumentos con opción de venta, que no la cumplen (véase el Ejemplo Ilustrativo 8).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Si una entidad no tiene un derecho incondicional de evitar la entrega de efectivo u otro activo financiero para liquidar una obligación contractual, la obligación cumple la definición de un pasivo financiero, excepto en el caso de los instrumentos clasificados como instrumentos de patrimonio de acuerdo con los párrafos 16A y 16B o los párrafos 16C y 16D.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existencia de una restricción a la capacidad de una entidad para satisfacer una obligación contractual, como la falta de acceso a una moneda extranjera o la necesidad de obtener la aprobación de una autoridad reguladora para el pago, no anulará la obligación contractual de la entidad ni el derecho contractual del tenedor del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obligación contractual que esté condicionada a que la contraparte ejercite su derecho a exigir el reembolso será un pasivo financiero, porque la entidad no tiene el derecho incondicional de evitar la entrega de efectivo o de otro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Un instrumento financiero que no establezca, de forma explícita, una obligación contractual de entregar efectivo u otro activo financiero, puede establecer esa obligación de una forma indirecta, a través de sus plazos y condiciones.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instrumento financiero puede contener una obligación no financiera, que se liquidará si, y sólo si, la entidad deja de realizar distribuciones o si incumple el compromiso de reembolsar el instrumento. Si la entidad sólo puede evitar la transferencia de efectivo o de otro activo financiero mediante la liquidación de la obligación no financiera, el instrumento será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 instrumento financiero será un pasivo financiero si establece que para su liquidación, la entidad entregará: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efectivo u otro activo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sus propias acciones, cuyo valor sea sustancialmente superior al del efectivo o al del otro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Aunque la entidad no tenga una obligación contractual explícita de entregar efectivo u otro activo financiero, el valor de la liquidación alternativa en forma de acciones será de tal cuantía que la entidad la liquidará en efectivo. En todo caso, el tenedor tiene sustancialmente garantizada la recepción de un importe que es, al menos, igual al que obtendría a través de la opción de liquidar en efectivo (véase 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Liquidación mediante los instrumentos de patrimonio propio de la entidad [párrafo 16(b)]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 contrato no es un instrumento de patrimonio por el mero hecho de que pueda ocasionar la recepción o entrega de los instrumentos de patrimonio propios de la entidad. Una entidad puede tener el derecho o la obligación contractual de recibir o entregar una cantidad de sus propias acciones o de otros instrumentos de patrimonio que varíe de tal forma que el valor razonable de los instrumentos de patrimonio propios a entregar o recibir sea igual al importe del derecho o la obligación contractual. Este derecho u obligación contractual puede ser por un importe fijo o su valor puede fluctuar, total o parcialmente, como respuesta a los cambios en una variable distinta del precio de mercado de los instrumentos de patrimonio propios de la entidad (por ejemplo, una tasa de interés, el precio de una materia prima cotizada o el precio de un instrumento financiero). Dos ejemplos son (a) un contrato para entregar instrumentos de patrimonio propios de la entidad que equivalgan a un valor de 100 u.m.</w:t>
      </w:r>
      <w:hyperlink r:id="rId36" w:anchor="bf1fdd8a9bcc73a4391996d8e248f0323c9nf9" w:tgtFrame="_self" w:history="1">
        <w:r w:rsidRPr="00401DFF">
          <w:rPr>
            <w:rFonts w:ascii="Times New Roman" w:eastAsia="Times New Roman" w:hAnsi="Times New Roman" w:cs="Times New Roman"/>
            <w:color w:val="0000FF"/>
            <w:sz w:val="20"/>
            <w:szCs w:val="20"/>
            <w:u w:val="single"/>
            <w:vertAlign w:val="superscript"/>
            <w:lang w:eastAsia="es-CO"/>
          </w:rPr>
          <w:t>(32)</w:t>
        </w:r>
      </w:hyperlink>
      <w:r w:rsidRPr="00401DFF">
        <w:rPr>
          <w:rFonts w:ascii="Times New Roman" w:eastAsia="Times New Roman" w:hAnsi="Times New Roman" w:cs="Times New Roman"/>
          <w:sz w:val="24"/>
          <w:szCs w:val="24"/>
          <w:lang w:eastAsia="es-CO"/>
        </w:rPr>
        <w:t>y (b) un contrato para entregar instrumentos de patrimonio propios de la entidad que equivalgan al precio de 100 onzas de oro. Tal contrato será un pasivo financiero de la entidad, incluso aunque ésta deba o pueda liquidarlo mediante la entrega de sus instrumentos de patrimonio propios. No es un instrumento de patrimonio, porque la entidad utiliza una cantidad variable de sus instrumentos de patrimonio propios para liquidar el contrato. De acuerdo con lo anterior, el contrato no pone de manifiesto una participación residual en los activos de la entidad, una vez deducidos todos sus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Excepto por lo señalado en el párrafo 22A, un contrato que vaya a ser liquidado por la entidad (recibiendo o) entregando una cantidad fija de sus instrumentos de patrimonio propio a cambio de un importe fijo de efectivo o de otro activo financiero, es un instrumento de patrimonio. Por ejemplo, una opción emitida sobre acciones que dé a la contraparte el derecho a adquirir un número determinado de acciones de la entidad por un precio fijo, o por una cantidad fija previamente establecida del principal de un bono, será un instrumento de patrimonio. Los cambios en el valor razonable de un contrato, que puedan aparecer en el momento de la liquidación por causa de variaciones en las tasas de interés de mercado, no impedirán su calificación como instrumento de patrimonio, siempre que no afecten al importe a pagar o a recibir de efectivo o de otros instrumentos </w:t>
      </w:r>
      <w:r w:rsidRPr="00401DFF">
        <w:rPr>
          <w:rFonts w:ascii="Times New Roman" w:eastAsia="Times New Roman" w:hAnsi="Times New Roman" w:cs="Times New Roman"/>
          <w:sz w:val="24"/>
          <w:szCs w:val="24"/>
          <w:lang w:eastAsia="es-CO"/>
        </w:rPr>
        <w:lastRenderedPageBreak/>
        <w:t>financieros, o bien a la cantidad de instrumentos de patrimonio a recibir o entregar. Cualquier contraprestación recibida, (como la prima que se recibe cuando se emite una opción o un certificado de opción sobre las acciones propias de la entidad) se añadirá directamente al patrimonio. Cualquier contraprestación pagada (como la prima pagada por una opción comprada) se deducirá directamente del patrimonio. Los cambios en el valor razonable de un instrumento de patrimonio no se reconocerán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22A Si los instrumentos de patrimonio propio de la entidad a recibir, o a entregar, por la misma en el momento de la liquidación de un contrato son instrumentos financieros con opción de venta con todas las características y cumplen las condiciones descritas en los párrafos 16A y 16B, o instrumentos que imponen sobre la entidad una obligación de entregar a terceros una participación proporcional de los activos netos de la entidad solo en el momento de la liquidación con todas las características y cumplen las condiciones descritas en los párrafos 16C y 16D, el contrato es un activo financiero o un pasivo financiero. Esto incluye un contrato que será liquidado por la entidad recibiendo o entregando una cantidad fija de estos instrumentos a cambio de un importe fijo de efectivo o de otro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Con la excepción de las circunstancias descritas en los párrafos 16A y 16B o de los párrafos 16C y 16D, un contrato que contenga una obligación para una entidad de comprar sus instrumentos de patrimonio propio, a cambio de efectivo o de otro instrumento financiero, dará lugar a un pasivo financiero por el valor presente del importe a reembolsar (por ejemplo, por el valor presente del precio de recompra a plazo, del precio de ejercicio de la opción o de otro importe relacionado con el reembolso). Esto será así incluso si el contrato en sí es un instrumento de patrimonio. Un ejemplo es la obligación de una entidad según un contrato a término de comprar sus instrumentos de patrimonio propios a cambio de efectivo. El pasivo financiero se reconoce inicialmente al valor presente del importe de rescate, y se reclasifica desde patrimonio. Posteriormente, el pasivo financiero se medirá de acuerdo con la NIIF 9. Si el contrato venciera y no se produjese ninguna entrega, el importe en libros del pasivo financiero se reclasificará nuevamente al patrimonio. La obligación contractual de una entidad para comprar sus instrumentos de patrimonio propio, ocasiona un pasivo financiero por el valor presente del importe a reembolsar, incluso si la obligación de compra estuviera condicionada al ejercicio de una opción de reembolso a favor de la contraparte (por ejemplo, una opción de venta emitida por la entidad que da a la otra parte el derecho de vender a la misma, por un precio fijo, sus instrumentos de patrimonio propios).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Un contrato a ser liquidado por la entidad mediante la entrega o recepción de una cantidad fija de sus instrumentos de patrimonio propio, a cambio de un importe variable de efectivo o de otro activo financiero, será un activo o un pasivo financiero. Un ejemplo es un contrato por el que la entidad ha de entregar 100 de sus instrumentos de patrimonio propio, a cambio de un importe de efectivo equivalente al valor de 100 onzas de 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Cláusulas de liquidación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Un instrumento financiero puede obligar a la entidad a entregar efectivo u otro activo financiero, o bien a liquidarlo como si fuera un pasivo financiero, en el caso de que ocurra </w:t>
      </w:r>
      <w:r w:rsidRPr="00401DFF">
        <w:rPr>
          <w:rFonts w:ascii="Times New Roman" w:eastAsia="Times New Roman" w:hAnsi="Times New Roman" w:cs="Times New Roman"/>
          <w:sz w:val="24"/>
          <w:szCs w:val="24"/>
          <w:lang w:eastAsia="es-CO"/>
        </w:rPr>
        <w:lastRenderedPageBreak/>
        <w:t>o no ocurra algún hecho futuro incierto (o en función del resultado de circunstancias inciertas) que estén fuera del control tanto del emisor como del tenedor del instrumento, como, por ejemplo, los cambios en un índice bursátil de acciones, en un índice de precios al consumidor, en una tasa de interés o en determinados requerimientos fiscales, o bien en los niveles futuros que alcancen los ingresos de actividades ordinarias del emisor, su resultado neto o su razón de deuda a patrimonio. El emisor de este instrumento no tiene el derecho incondicional de evitar la entrega de efectivo u otro activo financiero (ni la liquidación del instrumento tal como si fuera un pasivo financiero). Por tanto, será un pasivo financiero para el emisor,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parte de la cláusula de liquidación contingente, que pudiera requerir la liquidación en efectivo o en otro activo financiero (o, en otro caso, de una forma similar a como si fuera un pasivo financiero) no fuera auténtica;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emisor pudiera ser requerido para que liquide la obligación en efectivo o con otro activo financiero (o, en otro caso, de una forma similar a como si fuera un pasivo financiero), sólo en caso de liquidación del emisor;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instrumento reúne todas las características y cumple con las condiciones de los párrafos 16A y 16B.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Opciones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Cuando un instrumento financiero derivado dé a una de las partes el derecho a elegir la forma de liquidación (por ejemplo, cuando el emisor o el tenedor puedan escoger la liquidación mediante un importe neto en efectivo, o bien intercambiando acciones por efectivo), será un activo o un pasivo financiero, a menos que todas las alternativas de liquidación indiquen que se trata de un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Un ejemplo de instrumento financiero derivado con una opción de liquidación que es un pasivo financiero, es una opción sobre acciones en las que el emisor puede decidir liquidar por un importe neto en efectivo o mediante el intercambio de sus acciones propias por efectivo. De forma similar, algunos contratos para la compra o venta de una partida no financiera, a cambio de instrumentos de patrimonio propios de la entidad, están dentro del alcance de esta Norma porque pueden ser liquidados mediante la entrega de la partida no financiera, o bien por un importe neto en efectivo u otro instrumento financiero (véanse los párrafos 8 a 10). Estos contratos serán activos o pasivos financieros y no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financieros compuestos (véanse también los párrafos GA30 a GA35 y los Ejemplos Ilustrativos 9 a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El emisor de un instrumento financiero no derivado evaluará las condiciones de éste para determinar si contiene componentes de pasivo y de patrimonio. Estos componentes se clasificarán por separado como pasivos financieros, activos financieros o instrumentos de patrimonio, de acuerdo con lo establecido en el párrafo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29 Una entidad reconocerá por separado los componentes de un instrumento que (a) genere un pasivo financiero para la entidad y (b) conceda una opción al tenedor del mismo para convertirlo en un instrumento de patrimonio de la entidad. Un ejemplo de instrumento compuesto es un bono o instrumento similar que sea convertible, por parte del tenedor, en una cantidad fija de acciones ordinarias de la entidad. Desde la perspectiva de la entidad, este instrumento tendrá dos componentes: un pasivo financiero (un acuerdo contractual para entregar efectivo u otro activo financiero) y un instrumento de patrimonio (una opción de compra que concede al tenedor, por un determinado periodo, el derecho a convertirlo en un número prefijado de acciones ordinarias de la entidad). El efecto económico de emitir un instrumento como éste es, en esencia, el mismo que se tendría al emitir un instrumento de deuda, con una cláusula de cancelación anticipada y unos certificados de opción para comprar acciones ordinarias; o el mismo que se tendría al emitir un instrumento de deuda con certificados de opción para la compra de acciones que fuesen separables del instrumento principal. De acuerdo con lo anterior, en todos los casos, la entidad presentará los componentes de pasivo y patrimonio por separado, dentro de su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La clasificación de los componentes de pasivo y de patrimonio, en un instrumento convertible, no se revisará como resultado de un cambio en la probabilidad de que la opción de conversión sea ejercida, incluso cuando pueda parecer que el ejercicio de la misma se ha convertido en ventajoso económicamente para algunos de los tenedores. Los poseedores de las opciones no actúan siempre de la manera que pudiera esperarse, lo que puede ser debido, por ejemplo, a que las consecuencias fiscales de la conversión sean diferentes de un tenedor a otro. Además, la probabilidad de conversión cambiará conforme pase el tiempo. La obligación contractual de la entidad para realizar pagos futuros continuará vigente hasta su extinción por conversión, vencimiento del instrumento o alguna otra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La NIIF 9 trata sobre la medición de los activos financieros y pasivos financieros. Los instrumentos de patrimonio ponen de manifiesto una participación residual en los activos de la entidad, una vez deducidos todos sus pasivos. Por tanto, cuando la medición contable inicial de un instrumento financiero compuesto se distribuya entre sus componentes de pasivo y de patrimonio, se asignará al instrumento de patrimonio el importe residual que se obtenga después de deducir, del valor razonable del instrumento en su conjunto, el importe que se haya determinado por separado para el componente de pasivo. El valor de cualquier elemento derivado (por ejemplo una eventual opción de compra), que esté implícito en el instrumento financiero compuesto pero sea distinto del componente de patrimonio (tal como una opción de conversión en acciones), se incluirá dentro del componente de pasivo. La suma de los importes en libros asignados, en el momento del reconocimiento inicial, a los componentes de pasivo y de patrimonio, será siempre igual al valor razonable que se otorgaría al instrumento en su conjunto. No podrán surgir pérdidas o ganancias derivadas del reconocimiento inicial por separado de los componentes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Según el procedimiento descrito en el párrafo 31, el emisor de una obligación convertible en acciones ordinarias determinará, en primer lugar, el importe en libros del componente de pasivo, medido por el valor razonable de un pasivo similar que no lleve asociado un componente de patrimonio (pero que incluya, en su caso, a los eventuales elementos derivados implícitos que no sean de patrimonio). El importe en libros del </w:t>
      </w:r>
      <w:r w:rsidRPr="00401DFF">
        <w:rPr>
          <w:rFonts w:ascii="Times New Roman" w:eastAsia="Times New Roman" w:hAnsi="Times New Roman" w:cs="Times New Roman"/>
          <w:sz w:val="24"/>
          <w:szCs w:val="24"/>
          <w:lang w:eastAsia="es-CO"/>
        </w:rPr>
        <w:lastRenderedPageBreak/>
        <w:t>instrumento de patrimonio, representado por la opción de conversión del instrumento en acciones ordinarias, se determinará deduciendo el valor razonable del pasivo financiero del valor razonable del instrumento financiero compuesto considerado en su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 propias en cartera (véase también el párrafo GA36)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 Si una entidad readquiriese sus instrumentos de patrimonio propios, el importe de las “acciones propias en cartera” se deducirá del patrimonio. No se reconocerá ninguna pérdida o ganancia en el resultado del ejercicio derivada de la compra, venta, emisión o amortización de los instrumentos de patrimonio propios de la entidad. Estas acciones propias podrán ser adquiridas y poseídas por la entidad o por otros miembros del grupo consolidado. La contraprestación pagada o recibida se reconocerá directamente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El importe de las acciones propias poseídas será objeto de revelación separada en el estado de situación financiera o en las notas, de acuerdo con la NIC 1 </w:t>
      </w:r>
      <w:r w:rsidRPr="00401DFF">
        <w:rPr>
          <w:rFonts w:ascii="Times New Roman" w:eastAsia="Times New Roman" w:hAnsi="Times New Roman" w:cs="Times New Roman"/>
          <w:i/>
          <w:iCs/>
          <w:sz w:val="24"/>
          <w:szCs w:val="24"/>
          <w:lang w:eastAsia="es-CO"/>
        </w:rPr>
        <w:t xml:space="preserve">Presentación de Estados Financieros. </w:t>
      </w:r>
      <w:r w:rsidRPr="00401DFF">
        <w:rPr>
          <w:rFonts w:ascii="Times New Roman" w:eastAsia="Times New Roman" w:hAnsi="Times New Roman" w:cs="Times New Roman"/>
          <w:sz w:val="24"/>
          <w:szCs w:val="24"/>
          <w:lang w:eastAsia="es-CO"/>
        </w:rPr>
        <w:t xml:space="preserve">La entidad suministrará, en caso de recompra de sus instrumentos de patrimonio propios a partes relacionadas, la información a revelar prevista en la NIC 24 </w:t>
      </w:r>
      <w:r w:rsidRPr="00401DFF">
        <w:rPr>
          <w:rFonts w:ascii="Times New Roman" w:eastAsia="Times New Roman" w:hAnsi="Times New Roman" w:cs="Times New Roman"/>
          <w:i/>
          <w:iCs/>
          <w:sz w:val="24"/>
          <w:szCs w:val="24"/>
          <w:lang w:eastAsia="es-CO"/>
        </w:rPr>
        <w:t>Información a Revelar sobre Partes Relacionadas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Intereses, dividendos, pérdidas y ganancias (véase también el párrafo GA37)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Los intereses, dividendos, y pérdidas y ganancias relativas a un instrumento financiero o a un componente del mismo, que sea un pasivo financiero, se reconocerán como ingresos o gastos en el resultado del ejercicio. Las distribuciones a los tenedores de un instrumento de patrimonio serán cargadas por la entidad directamente contra el patrimonio, por una cuantía neta de cualquier beneficio fiscal relacionado. Los costos de transacción que correspondan a cualquier partida del patrimonio se tratarán contablemente como una deducción del patrimonio, por un importe neto de cualquier beneficio fiscal relacionado.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La clasificación de un instrumento financiero como un pasivo financiero o un instrumento de patrimonio determinará si los intereses, dividendos, pérdidas o ganancias relacionados con el mismo se reconocerán, como ingresos o gastos en el resultado del ejercicio. Por ello, los pagos de dividendos sobre acciones que se hayan reconocido en su totalidad como pasivos, se reconocerán como gastos de la misma forma que los intereses de una obligación. De forma similar, las pérdidas y ganancias asociadas con el rescate o la refinanciación de los pasivos financieros se reconocerán en el resultado del ejercicio, mientras que los rescates o la refinanciación de los instrumentos de patrimonio se reconocerán como cambios en el patrimonio. Los cambios en el valor razonable de un instrumento de patrimonio no se reconocerán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37 Por lo general, una entidad incurre en diversos tipos de costos cuando emite o adquiere sus instrumentos de patrimonio propio. Esos costos pueden incluir los de registro y otras tasas cobradas por los reguladores o supervisores, los importes pagados a los asesores legales, contables y otros asesores profesionales, los costos de impresión y los timbres relacionados con ella. Los costos de las transacciones de patrimonio se contabilizarán como </w:t>
      </w:r>
      <w:r w:rsidRPr="00401DFF">
        <w:rPr>
          <w:rFonts w:ascii="Times New Roman" w:eastAsia="Times New Roman" w:hAnsi="Times New Roman" w:cs="Times New Roman"/>
          <w:sz w:val="24"/>
          <w:szCs w:val="24"/>
          <w:lang w:eastAsia="es-CO"/>
        </w:rPr>
        <w:lastRenderedPageBreak/>
        <w:t>una detracción del importe del mismo (neto de cualquier beneficio fiscal relacionado), en la medida en que sean costos incrementales directamente atribuibles a la transacción de patrimonio, que se habrían evitado si ésta no se hubiera llevado a cabo. Los costos de una transacción de patrimonio que se haya abandonado, se reconocerán como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Los costos de transacción relativos a la emisión de un instrumento financiero compuesto se distribuirán entre los componentes de pasivo y de patrimonio del instrumento, en proporción a las entradas de efectivo provenientes de ellos. Los costos de transacción relacionados conjuntamente con más de una transacción (por ejemplo, los costos totales derivados de una oferta de venta de acciones y admisión a cotización de otras acciones) se distribuirán entre ellas utilizando una base de reparto que sea racional y coherente con la utilizada para transacciones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 El importe de los costos de transacción que se hayan contabilizado como deducciones del patrimonio en el ejercicio se informará por separado, según la NIC 1. El importe correspondiente a los impuestos a las ganancias reconocidos directamente en el patrimonio, se incluirá en el importe total de los impuestos a las ganancias, corrientes y diferidos, que se acreditan o cargan al patrimonio, de los que debe informarse según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Los dividendos clasificados como gastos pueden presentarse, en los estados del resultado del periodo y otro resultado integral bien con los intereses sobre otros pasivos o como una partida separada. Además de los requerimientos de esta Norma, la información a revelar sobre intereses y dividendos está sujeta a los requerimientos fijados en la NIC 1 y la NIIF 7. En determinadas circunstancias, a causa de las diferencias entre intereses y dividendos con respecto a cuestiones como la deducibilidad fiscal, puede ser deseable revelarlos por separado en los estados del resultado del periodo y otro resultado. La información a revelar sobre los efectos fiscales se determinará de acuerdo con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Las ganancias y pérdidas relacionadas con los cambios en el importe en libros de un pasivo financiero se reconocerán como ingresos o gastos en el resultado del ejercicio, incluso cuando tengan relación con un instrumento que contenga un derecho de participación residual en los activos de una entidad obtenido a cambio de efectivo u otro activo financiero [véase el apartado (b) del párrafo 18]. Según la NIC 1, la entidad presentará cualquier ganancia o pérdida derivada de la nueva medición de tal instrumento, separadamente en el estado del resultado integral, cuando ello sea relevante para explicar el rendimiento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 de un activo financiero y un pasivo financiero (véanse también los párrafos GA38A a GA38F y GA39)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Un activo y un pasivo financiero serán objeto de compensación, de manera que se presente en el estado de situación financiera su importe neto, cuando y sólo cuando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tenga, en el momento actual, el derecho, exigible legalmente, de compensar los importes reconocidos;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tenga la intención de liquidar por el importe neto, o de realizar el activo y liquidar el pasivo simultáneamente.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 la contabilización de una transferencia de un activo financiero que no cumpla los requisitos para su baja en cuentas, la entidad no compensará el activo transferido con el pasivo asociado (véase la NIIF 9, párrafo 3.2.22).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Esta Norma requiere la presentación de los activos financieros y pasivos financieros por su importe neto, cuando al hacerlo se reflejen los flujos de efectivo futuros esperados de la entidad por la liquidación de dos o más instrumentos financieros separados. Cuando una entidad tiene el derecho a recibir o pagar un único importe, y la intención de hacerlo, posee efectivamente un único activo financiero o pasivo financiero. En otras circunstancias, los activos financieros y los pasivos financieros se presentarán por separado unos de otros, de forma congruente sus características como recursos u obligaciones de la entidad. Una entidad revelará la información requerida por los párrafos 13B a 13E de la NIIF 7 para los instrumentos financieros reconocidos que queden dentro del alcance del párrafo 13A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La compensación y presentación por su importe neto de un activo y de un pasivo financieros reconocidos, no equivale a la baja en cuentas del activo o del pasivo financiero. Mientras que la compensación no da lugar al reconocimiento de pérdidas o ganancias, la baja en cuentas de un instrumento financiero no sólo implica la desaparición de la partida previamente reconocida en el estado de situación financiera, sino que también puede dar lugar al reconocimiento de una pérdida o una ganancia.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El derecho de compensación es una prerrogativa legal del deudor, adquirida a través de un contrato u otro medio distinto, para cancelar o eliminar, total o parcialmente, el importe de una cantidad debida al acreedor aplicando contra ese importe otro que el acreedor adeuda. En circunstancias excepcionales, un deudor puede tener un derecho legal para compensar una cantidad que le adeuda un tercero con el importe adeudado al acreedor, siempre que exista un acuerdo entre las tres partes que establezca claramente el derecho del deudor para realizar tal compensación. Puesto que el derecho a compensar es de naturaleza legal, las condiciones en que se apoye pueden variar de una jurisdicción a otra, por lo que han de tomarse en consideración las leyes aplicables a las relaciones entre las partes implicadas.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46 La existencia de un derecho efectivo a compensar un activo financiero y un pasivo financiero, afectará al conjunto de derechos y obligaciones asociados con los activos y los pasivos financieros correspondientes, y podrá afectar al nivel de exposición de la entidad a los riesgos de crédito y de liquidez. No obstante, la existencia de tal derecho, por sí misma, no es una causa suficiente para la compensación. Si se carece de la intención de ejercer el derecho o de liquidar simultáneamente ambas posiciones, no resultarán afectados ni el importe ni el calendario de los futuros flujos de efectivo de la entidad. Cuando la entidad tenga la intención de ejercer el derecho y liquidar simultáneamente ambas posiciones, la presentación del activo y del pasivo en términos netos reflejará más adecuadamente los importes y el calendario de los flujos de efectivo esperados en el futuro, así como los riesgos a que están sujetos tales flujos. La intención, ya sea de una o ambas partes, de </w:t>
      </w:r>
      <w:r w:rsidRPr="00401DFF">
        <w:rPr>
          <w:rFonts w:ascii="Times New Roman" w:eastAsia="Times New Roman" w:hAnsi="Times New Roman" w:cs="Times New Roman"/>
          <w:sz w:val="24"/>
          <w:szCs w:val="24"/>
          <w:lang w:eastAsia="es-CO"/>
        </w:rPr>
        <w:lastRenderedPageBreak/>
        <w:t>efectuar la liquidación en términos netos, sin el correspondiente derecho para hacerlo, no es suficiente para justificar la compensación, puesto que los derechos y las obligaciones asociados con el activo o el pasivo financieros, individualmente considerados, permanecen inalterados.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Las intenciones de la entidad, respecto de la liquidación de activos y pasivos concretos, pueden estar influidas por sus prácticas comerciales habituales, por las exigencias de los mercados financieros o por otras circunstancias que puedan limitar la posibilidad de liquidar los instrumentos por su importe neto o simultáneamente. Cuando la entidad tenga el derecho de compensar, pero no la intención de liquidar en términos netos o de realizar el activo y liquidar el pasivo de forma simultánea, el efecto del derecho sobre la exposición de la entidad al riesgo de crédito se presentará de acuerdo con lo establecido en el párrafo 36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La liquidación simultánea de dos instrumentos financieros puede ocurrir, por ejemplo, a través de la actividad de una cámara de compensación en un mercado financiero organizado, o bien mediante un intercambio con presencia de ambas partes. En tales circunstancias, los flujos de efectivo son, efectivamente, equivalentes a una única cantidad neta, y no existirá exposición al riesgo de crédito o de liquidez. En otras circunstancias, la entidad podrá liquidar dos instrumentos mediante cobros y pagos independientes, resultando así expuesta al riesgo de crédito por el importe total del activo o al riesgo de liquidez por el importe total del pasivo. Tales exposiciones al riesgo pueden ser significativas, aunque tengan una duración relativamente breve. De acuerdo con lo anterior, se considerará que la realización de un activo financiero es simultánea con la liquidación de un pasivo financiero sólo cuando las dos transacciones ocurran en el mismo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Las condiciones establecidas en el párrafo 42 no se cumplen, y por tanto es, por lo general, inadecuada la realización de compensaciones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emplean varios instrumentos financieros diferentes para emular las características de un único instrumento financiero (dando lugar a un “instrumento sintético”);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y los pasivos financieros surgen de instrumentos financieros que tienen, básicamente, la misma exposición al riesgo, (por ejemplo, activos y pasivos dentro de una misma cartera de contratos a término u otros instrumentos derivados) pero involucran a diferentes contrapartes;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activos, fueren financieros o no, se han pignorado en garantía colateral de pasivos financieros sin derecho a reclamación o recurso;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activos financieros han sido asignados por el deudor a un fideicomiso para liberarse de una obligación pero no han sido aceptados por el acreedor en cancelación de la misma (por ejemplo un fondo de amortización);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son obligaciones incurridas como resultado de eventos que han dado lugar a pérdidas, cuyos importes se esperen recuperar de un tercero, como consecuencia de una reclamación hecha en virtud de una póliza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50 Una entidad que haya emprendido varias transacciones con instrumentos financieros con una sola contraparte, puede realizar con ella un “acuerdo maestro de compensación”. Este acuerdo proporciona una única liquidación, por compensación, de todos los instrumentos financieros cubiertos por el mismo, en caso de incumplimiento o de terminación de cualquier contrato. Este tipo de acuerdos es utilizado habitualmente por instituciones financieras para protegerse contra pérdidas, ya sea en caso de insolvencia o en otras situaciones concursales que imposibiliten a la otra parte el cumplimiento de sus obligaciones. Un acuerdo maestro de compensación crea, por lo general, un derecho de compensación que se convierte en exigible y afecta, por tanto, a la realización o cancelación de activos financieros y pasivos financieros individuales, sólo cuando se den determinadas situaciones de insolvencia o en otras circunstancias cuya aparición no se espera en el curso ordinario de las actividades de la entidad. Un acuerdo maestro de compensación no cumple las condiciones para compensar instrumentos a menos que se satisfagan los dos criterios del párrafo 42. Cuando los activos y los pasivos financieros sujetos a un acuerdo maestro de compensación no sean compensados, se informará del efecto que el acuerdo tiene en la exposición de la entidad al riesgo de crédito, de acuerdo con lo establecido en el párrafo 36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51-95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Una entidad aplicará esta Norma para los periodos anuales que comiencen a partir del 1 de enero de 2005. Se permite su aplicación anticipada. Una entidad no aplicará esta Norma en periodos anuales que comiencen antes del 1 de enero de 2005, a menos que aplique también la NIC 39 (emitida en diciembre de 2003), incluyendo las modificaciones emitidas en marzo de 2004.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96A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Liquidación </w:t>
      </w:r>
      <w:r w:rsidRPr="00401DFF">
        <w:rPr>
          <w:rFonts w:ascii="Times New Roman" w:eastAsia="Times New Roman" w:hAnsi="Times New Roman" w:cs="Times New Roman"/>
          <w:sz w:val="24"/>
          <w:szCs w:val="24"/>
          <w:lang w:eastAsia="es-CO"/>
        </w:rPr>
        <w:t>(Modificaciones a las NIC 32 y NIC 1), emitido en febrero de 2008 requería que los instrumentos financieros que reúnan todas las características y cumplan las condiciones incluidas en los párrafos 16A y 16B o en los párrafos 16C y 16D se clasificaran como un instrumento de patrimonio, modificó los párrafos 11, 16, 17 a 19, 22, 23, 25, GA13, GA14 y GA27, e insertó los párrafos 16A a 16F, 22A, 96B, 96C, 97C, GA14A a GA14J y GA29A. Una entidad aplicará esas modificaciones a periodos anuales que comiencen a partir del 1 de enero de 2009. Se permite su aplicación anticipada. Si una entidad aplicase estos cambios en un periodo anterior, revelará este hecho y aplicará, al mismo tiempo, las modificaciones correspondientes de la NIC 1, NIC 39, NIIF 7 y CINIIF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96B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Liquidación </w:t>
      </w:r>
      <w:r w:rsidRPr="00401DFF">
        <w:rPr>
          <w:rFonts w:ascii="Times New Roman" w:eastAsia="Times New Roman" w:hAnsi="Times New Roman" w:cs="Times New Roman"/>
          <w:sz w:val="24"/>
          <w:szCs w:val="24"/>
          <w:lang w:eastAsia="es-CO"/>
        </w:rPr>
        <w:t>introdujo una excepción de alcance limitado; por ello, una entidad no aplicará la excepción por analogía.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96C La clasificación de instrumentos de acuerdo con esta excepción se restringirá a la contabilización de este instrumento de acuerdo con las NIC 1, NIC 32, NIC 39, NIIF 7 y NIIF 9. El instrumento no se considerará un instrumento de patrimonio de acuerdo con otras guías, por ejemplo la NIIF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 Esta Norma se aplicará retroactivamente.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97A La NIC 1 (revisada en 2007) modificó la terminología utilizada en las NIIF. Además modificó el párrafo 40.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97B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(revisada en 2008) eliminó el párrafo 4(c). Una entidad aplicará esa modificación para los periodos anuales que comiencen a partir del 1 de julio de 2009. Cuando una entidad aplique la NIIF 3 (revisada en 2008) a periodos anteriores, la modificación se aplicará también a ellos. Sin embargo, la modificación no se aplicará a contraprestaciones contingentes que surgieron de una combinación de negocios para la que la fecha de adquisición era anterior a la aplicación de la NIIF 3 (revisada en 2008). En su lugar, una entidad contabilizará esta contraprestación de acuerdo con los párrafos 65A a 65E de la NIIF 3 (modificada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97C Al aplicar las modificaciones descritas en el párrafo 96A, se requiere que una entidad separe un instrumento financiero compuesto con una obligación de entregar a terceros una participación proporcional de sus activos netos solo en el momento de la liquidación en sus componentes separados de pasivo y de patrimonio. Si el componente de pasivo ha dejado de existir, una aplicación retroactiva de las modificaciones a la NIC 32 implicaría la separación de dos componentes del patrimonio. El primer componente estaría en las ganancias acumuladas y representará la suma de los intereses totales acumulados (devengados) acreditados en el componente de pasivo. El otro componente representaría el componente original de patrimonio. Por ello, una entidad no necesita separar estos dos componentes si el componente de pasivo ha dejado de existir en la fecha de aplicación de las modificaciones.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97D El párrafo 4 fue modificado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 modificación para los periodos anuales que comiencen a partir del 1 de enero de 2009. Se permite su aplicación anticipada. Si una entidad aplicase las modificaciones en un periodo anterior revelará ese hecho y aplicará en ese periodo anterior las modificaciones del párrafo 3 de la NIIF 7, el párrafo 1 de la NIC 28 y el párrafo 1 de la NIC 31 emitidas en mayo de 2008. Se permite que una entidad aplique las modificaciones de forma prospectiva.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97E Los párrafos 11 y 16 se modificaron mediante </w:t>
      </w:r>
      <w:r w:rsidRPr="00401DFF">
        <w:rPr>
          <w:rFonts w:ascii="Times New Roman" w:eastAsia="Times New Roman" w:hAnsi="Times New Roman" w:cs="Times New Roman"/>
          <w:i/>
          <w:iCs/>
          <w:sz w:val="24"/>
          <w:szCs w:val="24"/>
          <w:lang w:eastAsia="es-CO"/>
        </w:rPr>
        <w:t>Clasificación de las Emisiones de Derechos</w:t>
      </w:r>
      <w:r w:rsidRPr="00401DFF">
        <w:rPr>
          <w:rFonts w:ascii="Times New Roman" w:eastAsia="Times New Roman" w:hAnsi="Times New Roman" w:cs="Times New Roman"/>
          <w:sz w:val="24"/>
          <w:szCs w:val="24"/>
          <w:lang w:eastAsia="es-CO"/>
        </w:rPr>
        <w:t xml:space="preserve"> emitido en octubre de 2009. Una entidad aplicará esa modificación para los periodos anuales que comiencen a partir del 1 de febrero de 2010. Se permite su aplicación anticipada. Si una entidad aplicase la modificación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97F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97G El párrafo 97B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 modificación para los periodos anuales que comiencen a partir del 1 de julio de 2010.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97H La NIIF 9 emitida en octubre de 2010, modificó los párrafos 3, 4, 12, 23, 31, 42, 96C, GA2 y GA30 y eliminó el párrafo 97F.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97I La NIIF 10 y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los párrafos 4(a) y GA29.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97J La NIIF 13, emitida en mayo de 2011 modificó la definición de valor razonable del párrafo 11 y modificó los párrafos 23 y GA31.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97K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40.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97L </w:t>
      </w:r>
      <w:r w:rsidRPr="00401DFF">
        <w:rPr>
          <w:rFonts w:ascii="Times New Roman" w:eastAsia="Times New Roman" w:hAnsi="Times New Roman" w:cs="Times New Roman"/>
          <w:i/>
          <w:iCs/>
          <w:sz w:val="24"/>
          <w:szCs w:val="24"/>
          <w:lang w:eastAsia="es-CO"/>
        </w:rPr>
        <w:t>Compensación de Activos Financieros y Pasivos Financieros</w:t>
      </w:r>
      <w:r w:rsidRPr="00401DFF">
        <w:rPr>
          <w:rFonts w:ascii="Times New Roman" w:eastAsia="Times New Roman" w:hAnsi="Times New Roman" w:cs="Times New Roman"/>
          <w:sz w:val="24"/>
          <w:szCs w:val="24"/>
          <w:lang w:eastAsia="es-CO"/>
        </w:rPr>
        <w:t xml:space="preserve"> (Modificaciones a la NIC 32), emitido en diciembre de 2011, derogó el párrafo GA38 y añadió los párrafos GA38A a GA38F. Una entidad aplicará esas modificaciones a periodos anuales que comiencen a partir del 1 de enero de 2014. Una entidad aplicará esas modificaciones de forma retroactiva. Se permite su aplicación anticipada. Si una entidad aplica esas modificaciones a partir de una fecha anterior, revelará ese hecho y también revelará la información requerida en </w:t>
      </w:r>
      <w:r w:rsidRPr="00401DFF">
        <w:rPr>
          <w:rFonts w:ascii="Times New Roman" w:eastAsia="Times New Roman" w:hAnsi="Times New Roman" w:cs="Times New Roman"/>
          <w:i/>
          <w:iCs/>
          <w:sz w:val="24"/>
          <w:szCs w:val="24"/>
          <w:lang w:eastAsia="es-CO"/>
        </w:rPr>
        <w:t>Información a Revelar-Compensación de Activos Financieros y Pasivos Financieros</w:t>
      </w:r>
      <w:r w:rsidRPr="00401DFF">
        <w:rPr>
          <w:rFonts w:ascii="Times New Roman" w:eastAsia="Times New Roman" w:hAnsi="Times New Roman" w:cs="Times New Roman"/>
          <w:sz w:val="24"/>
          <w:szCs w:val="24"/>
          <w:lang w:eastAsia="es-CO"/>
        </w:rPr>
        <w:t xml:space="preserve"> (Modificaciones a la NIIF 7) emitido en diciembre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 Esta Norma deroga la NIC 32 </w:t>
      </w:r>
      <w:r w:rsidRPr="00401DFF">
        <w:rPr>
          <w:rFonts w:ascii="Times New Roman" w:eastAsia="Times New Roman" w:hAnsi="Times New Roman" w:cs="Times New Roman"/>
          <w:i/>
          <w:iCs/>
          <w:sz w:val="24"/>
          <w:szCs w:val="24"/>
          <w:lang w:eastAsia="es-CO"/>
        </w:rPr>
        <w:t>Instrumentos Financieros: Presentación e Información a Revelar,</w:t>
      </w:r>
      <w:r w:rsidRPr="00401DFF">
        <w:rPr>
          <w:rFonts w:ascii="Times New Roman" w:eastAsia="Times New Roman" w:hAnsi="Times New Roman" w:cs="Times New Roman"/>
          <w:sz w:val="24"/>
          <w:szCs w:val="24"/>
          <w:lang w:eastAsia="es-CO"/>
        </w:rPr>
        <w:t xml:space="preserve"> revisada en 2000</w:t>
      </w:r>
      <w:hyperlink r:id="rId37" w:anchor="bf1878f7ab7de6d46e9b9b578be083e29a6nf9" w:tgtFrame="_self" w:history="1">
        <w:r w:rsidRPr="00401DFF">
          <w:rPr>
            <w:rFonts w:ascii="Times New Roman" w:eastAsia="Times New Roman" w:hAnsi="Times New Roman" w:cs="Times New Roman"/>
            <w:color w:val="0000FF"/>
            <w:sz w:val="20"/>
            <w:szCs w:val="20"/>
            <w:u w:val="single"/>
            <w:vertAlign w:val="superscript"/>
            <w:lang w:eastAsia="es-CO"/>
          </w:rPr>
          <w:t>(33)</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99 Esta Norma sustituye a las siguientes Interpretaciones: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SIC-5 </w:t>
      </w:r>
      <w:r w:rsidRPr="00401DFF">
        <w:rPr>
          <w:rFonts w:ascii="Times New Roman" w:eastAsia="Times New Roman" w:hAnsi="Times New Roman" w:cs="Times New Roman"/>
          <w:i/>
          <w:iCs/>
          <w:sz w:val="24"/>
          <w:szCs w:val="24"/>
          <w:lang w:eastAsia="es-CO"/>
        </w:rPr>
        <w:t>Clasificación de Instrumentos Financieros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Cláusulas de Pago Contingente</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SIC-16 </w:t>
      </w:r>
      <w:r w:rsidRPr="00401DFF">
        <w:rPr>
          <w:rFonts w:ascii="Times New Roman" w:eastAsia="Times New Roman" w:hAnsi="Times New Roman" w:cs="Times New Roman"/>
          <w:i/>
          <w:iCs/>
          <w:sz w:val="24"/>
          <w:szCs w:val="24"/>
          <w:lang w:eastAsia="es-CO"/>
        </w:rPr>
        <w:t>Capital en Acciones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Recompra de Instrumentos de Patrimonio Emitidos por la Empresa (Acciones propias en Cartera)</w:t>
      </w:r>
      <w:r w:rsidRPr="00401DFF">
        <w:rPr>
          <w:rFonts w:ascii="Times New Roman" w:eastAsia="Times New Roman" w:hAnsi="Times New Roman" w:cs="Times New Roman"/>
          <w:sz w:val="24"/>
          <w:szCs w:val="24"/>
          <w:lang w:eastAsia="es-CO"/>
        </w:rPr>
        <w:t>;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SIC-17 </w:t>
      </w:r>
      <w:r w:rsidRPr="00401DFF">
        <w:rPr>
          <w:rFonts w:ascii="Times New Roman" w:eastAsia="Times New Roman" w:hAnsi="Times New Roman" w:cs="Times New Roman"/>
          <w:i/>
          <w:iCs/>
          <w:sz w:val="24"/>
          <w:szCs w:val="24"/>
          <w:lang w:eastAsia="es-CO"/>
        </w:rPr>
        <w:t>Costo de las Transacciones con Instrumentos de Patrimonio Emitidos por la Empresa;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100 Esta Norma supone la retirada del proyecto de Interpretación SIC-D34,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Instrumentos o Derechos Reembolsables a Voluntad del Tenedor</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Guía de Aplicación de la NIC 32: </w:t>
      </w:r>
      <w:r w:rsidRPr="00401DFF">
        <w:rPr>
          <w:rFonts w:ascii="Times New Roman" w:eastAsia="Times New Roman" w:hAnsi="Times New Roman" w:cs="Times New Roman"/>
          <w:b/>
          <w:bCs/>
          <w:i/>
          <w:iCs/>
          <w:sz w:val="24"/>
          <w:szCs w:val="24"/>
          <w:lang w:eastAsia="es-CO"/>
        </w:rPr>
        <w:t>Instrumentos Financieros: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 En esta Guía de Aplicación se explica la aplicación de determinados aspectos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 La Norma no trata del reconocimiento ni de la medición de instrumentos financieros. Los requerimientos sobre el reconocimiento y medición de activos financieros y pasivos financieros están establecidos en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(párrafos 11 a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y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 La moneda (efectivo) es un activo financiero porque representa un medio de pago y, por ello, es la base sobre la que se miden y reconocen todas las transacciones en los estados financieros. Un depósito de efectivo en un banco o entidad financiera similar es un activo financiero porque representa, para el depositante, un derecho contractual para obtener efectivo de la entidad o para girar un cheque u otro instrumento similar contra el saldo del mismo, a favor de un acreedor, en pago de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 Son ejemplos comunes de activos financieros que representan un derecho contractual a recibir efectivo en el futuro, y de los correspondientes pasivos financieros que representan una obligación contractual de entregar efectivo en el futuro,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cuentas por cobrar y por pagar de origen comercial;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pagarés por cobrar y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préstamos por cobrar y por pagar;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obligaciones o bonos por cobrar y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cada caso, el derecho contractual a recibir (o la obligación de pagar) efectivo que una de las partes tiene, se corresponde con la obligación de pago (o el derecho de cobro) de la otra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GA5 Otro tipo de instrumento financiero es aquél donde el beneficio económico a recibir o entregar es un activo financiero distinto del efectivo. Por ejemplo, un pagaré a ser cancelado mediante títulos de deuda pública otorga al tenedor el derecho contractual a </w:t>
      </w:r>
      <w:r w:rsidRPr="00401DFF">
        <w:rPr>
          <w:rFonts w:ascii="Times New Roman" w:eastAsia="Times New Roman" w:hAnsi="Times New Roman" w:cs="Times New Roman"/>
          <w:sz w:val="24"/>
          <w:szCs w:val="24"/>
          <w:lang w:eastAsia="es-CO"/>
        </w:rPr>
        <w:lastRenderedPageBreak/>
        <w:t>recibir, y al emisor la obligación contractual de entregar, títulos de deuda pública, pero no efectivo. Los bonos son activos financieros porque representan, para el gobierno que los ha emitido, una obligación de pagar efectivo. El pagaré es, por tanto, un activo financiero para su tenedor y un pasivo financiero para su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GA6 Los instrumentos de deuda “perpetua” (tales como bonos, obligaciones y pagarés “perpetuos”) normalmente otorgan al tenedor el derecho contractual a recibir pagos en concepto de intereses en fechas fijadas que se extienden indefinidamente en el futuro, pero no le conceden el derecho a recibir el principal, o bien le conceden el reembolso de éste en unas condiciones que lo hacen muy improbable o muy lejano en el tiempo. Por ejemplo, una entidad puede emitir un instrumento financiero que la obligue a realizar pagos anuales a perpetuidad iguales a una tasa de interés establecida en el 8 por ciento, aplicado a un valor nominal o un principal de 1.000 u.m.</w:t>
      </w:r>
      <w:hyperlink r:id="rId38" w:anchor="bf1694dbd235e254f61ac05e0088fcd1df1nf9" w:tgtFrame="_self" w:history="1">
        <w:r w:rsidRPr="00401DFF">
          <w:rPr>
            <w:rFonts w:ascii="Times New Roman" w:eastAsia="Times New Roman" w:hAnsi="Times New Roman" w:cs="Times New Roman"/>
            <w:color w:val="0000FF"/>
            <w:sz w:val="20"/>
            <w:szCs w:val="20"/>
            <w:u w:val="single"/>
            <w:vertAlign w:val="superscript"/>
            <w:lang w:eastAsia="es-CO"/>
          </w:rPr>
          <w:t>(34)</w:t>
        </w:r>
      </w:hyperlink>
      <w:r w:rsidRPr="00401DFF">
        <w:rPr>
          <w:rFonts w:ascii="Times New Roman" w:eastAsia="Times New Roman" w:hAnsi="Times New Roman" w:cs="Times New Roman"/>
          <w:sz w:val="24"/>
          <w:szCs w:val="24"/>
          <w:lang w:eastAsia="es-CO"/>
        </w:rPr>
        <w:t>. Suponiendo que la tasa de interés de mercado, en el momento de la emisión del instrumento, sea ese 8 por ciento, el emisor asume una obligación contractual de realizar una serie de pagos de interés futuro, con un valor razonable (valor presente), en la fecha de reconocimiento inicial, de 1.000 u.m. El tenedor y el emisor del instrumento financiero poseen, respectivamente, un activo y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GA7 Un derecho o una obligación contractual de recibir, entregar o intercambiar instrumentos financieros es, en sí mismo, un instrumento financiero. Una cadena de derechos u obligaciones contractuales cumple la definición de instrumento financiero, siempre que lleve en último término a la recepción o pago de efectivo, o bien a la adquisición o emisión de un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 Tanto la capacidad de ejercer un derecho contractual como la exigencia de satisfacer una obligación contractual, pueden ser absolutas, o bien pueden ser contingentes en función de la ocurrencia de un evento futuro. Por ejemplo, una garantía financiera es un derecho contractual del prestamista a recibir efectivo del garante, que se corresponde con una obligación contractual, por parte del garante, de pagar al prestamista en caso de que el prestatario incumpla su obligación de pago. El derecho contractual y la correspondiente obligación contractual existen por causa de una transacción o evento que ha sucedido en el pasado (asunción de la garantía), incluso aunque la capacidad del prestamista para ejercer su derecho y la exigencia hacia el garante para que cumpla su compromiso sean contingentes, por depender de un futuro acto de incumplimiento por parte del prestatario. Un derecho y una obligación contingentes cumplen, respectivamente, la definición de activo y de pasivo financiero, aunque tales activos y pasivos no siempre se reconozcan en los estados financieros. Algunos derechos y obligaciones contingentes pueden ser contratos de seguros y estar dentro del alcance de la 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GA9 Según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un arrendamiento financiero se considera fundamentalmente un derecho a recibir por parte del arrendador, y una obligación de pagar por parte del arrendatario, una corriente de flujos de efectivo que son, en esencia, la misma combinación de pagos entre principal e intereses que se dan en un acuerdo de préstamo. El arrendador contabilizará esta inversión por el importe por recibir en función del contrato de arrendamiento, y no por el activo que haya arrendado. Un arrendamiento operativo, por otra parte, se considera fundamentalmente un contrato no completado, que compromete al </w:t>
      </w:r>
      <w:r w:rsidRPr="00401DFF">
        <w:rPr>
          <w:rFonts w:ascii="Times New Roman" w:eastAsia="Times New Roman" w:hAnsi="Times New Roman" w:cs="Times New Roman"/>
          <w:sz w:val="24"/>
          <w:szCs w:val="24"/>
          <w:lang w:eastAsia="es-CO"/>
        </w:rPr>
        <w:lastRenderedPageBreak/>
        <w:t xml:space="preserve">arrendador a facilitar el uso de un activo en periodos futuros, a cambio de una contraprestación que es similar a una comisión por el un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servicio. El arrendador, en este caso, continuará contabilizando el propio activo arrendado, y no los importes a recibir en el futuro en virtud del contrato. De acuerdo con lo anterior, un arrendamiento financiero se considera como un instrumento financiero, mientras que un arrendamiento operativo no (excepto por lo que se refiere a pagos concretos actualmente debidos y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 Los activos físicos (como inventarios y propiedades, planta y equipo), los activos arrendados y los activos intangibles (como patentes y marcas registradas) no son activos financieros. El control sobre tales activos tangibles e intangibles crea una oportunidad para la generación de entradas de efectivo u otro activo financiero, pero no da lugar a un derecho presente para la recepción de efectivo u otro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 Ciertos activos (como los gastos pagados por anticipado) cuyo beneficio económico futuro consiste en la recepción de bienes o servicios no dan el derecho a recibir efectivo u otro activo financiero, de modo que tampoco son activos financieros. De forma similar, las partidas tales como los ingresos de actividades ordinarias diferidos y la mayoría de las obligaciones por garantía de productos vendidos no son pasivos financieros, puesto que la salida de beneficios económicos asociada con ellos será la entrega de bienes y servicios y no una obligación contractual de pagar efectivo u otro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GA12 Los activos y pasivos que no tengan origen contractual (tales como el impuesto a las ganancias, que se crea como resultado de un requerimiento legal impuesto por los gobiernos), no son activos financieros o pasivos financieros. La contabilización del impuesto sobre las ganancias se trata en la NIC 12. De forma similar, las obligaciones implícitas, según se las define en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no proceden de contratos y no son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GA13 Ejemplos de instrumentos de patrimonio incluyen acciones ordinarias sin opción de venta, algunos instrumentos con opción de venta (véanse los párrafos 16A y 16B), algunos instrumentos que imponen a la entidad una obligación de entregar a terceros una participación proporcional de los activos netos de la entidad solo en el momento de la liquidación (véanse los párrafos 16C y 16D), algunos tipos de acciones preferentes (véanse los párrafos GA25 y GA26), y certificados de opciones para la compra de acciones u opciones de compra emitidas que permiten al tenedor suscribir o comprar una cantidad fija de acciones ordinarias sin opción de venta de la entidad emisora, a cambio de un importe fijo de efectivo u otro activo financiero. Una obligación que tenga la entidad de emitir o comprar una cantidad fija de sus instrumentos de patrimonio propio, a cambio de un importe fijo de efectivo u otro activo financiero, será también un instrumento de patrimonio de dicha entidad (con excepción de lo señalado en el párrafo 22A). Sin embargo, si dicho contrato contiene una obligación para la entidad de pagar efectivo u otro activo financiero (distinto de un contrato clasificado como patrimonio de acuerdo con los párrafos 16A y 16B o los párrafos 16C y 16D), también dará lugar a un pasivo por el valor presente del importe a reembolsar [véase el párrafo GA27(a)]. El emisor de una acción ordinaria que no incorpore una opción de venta asumirá un pasivo cuando proceda a realizar una </w:t>
      </w:r>
      <w:r w:rsidRPr="00401DFF">
        <w:rPr>
          <w:rFonts w:ascii="Times New Roman" w:eastAsia="Times New Roman" w:hAnsi="Times New Roman" w:cs="Times New Roman"/>
          <w:sz w:val="24"/>
          <w:szCs w:val="24"/>
          <w:lang w:eastAsia="es-CO"/>
        </w:rPr>
        <w:lastRenderedPageBreak/>
        <w:t>distribución, y se convierta en legalmente obligado a pagar a los accionistas. Ésta puede ser la situación que se dé tras el acuerdo de repartir un dividendo, o cuando la entidad esté en liquidación, y se proceda a distribuir entre los accionistas los activos que resten después de haber satisfecho todos los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 Una opción de compra u otro contrato similar adquiridos por una entidad, que le conceda el derecho a recomprar una cantidad fija de sus instrumentos de patrimonio propio, a cambio de entregar un importe fijo de efectivo u otro activo financiero, no es un activo financiero de la entidad (con excepción de lo señalado en el párrafo 22A). Por el contrario, las contraprestaciones pagadas por este contrato se deducirán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clase de instrumentos que está subordinada a todas las demás clases de instrumentos [párrafos 16A(b) y 16C(b)]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GA14A Una de las características de los párrafos 16A y 16C es que el instrumento financiero sea de la clase de instrumentos que está subordinada a todas las demás clases.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GA14B Al determinar si un instrumento está en la clase subordinada, una entidad evaluará los derechos del instrumento en el momento de la liquidación como si se fuera a liquidar en la fecha en que se clasifica el instrumento. Si se produce un cambio en las circunstancias relevantes, una entidad evaluará nuevamente la clasificación. Por ejemplo, si la entidad emite o reembolsa otro instrumento financiero, esto puede afectar si el instrumento en cuestión pertenece o no a la clase de instrumentos que está subordinada al resto.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GA14C Un instrumento que tiene un derecho preferente en el momento de la liquidación de la entidad no es un instrumento con derecho a una participación proporcional en los activos netos de la entidad. Por ejemplo, un instrumento tiene un derecho preferente en el momento de la liquidación si da derecho al tenedor a un dividendo fijo en el momento de la liquidación, además de a una participación en los activos netos de la entidad, cuando otros instrumentos pertenecientes a la clase subordinada con un derecho a una participación proporcional en los activos netos de la entidad no tengan el mismo derecho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GA14D Si una entidad tiene solo una clase de instrumentos financieros, esa clase deberá tratarse como si estuviera subordinada a todas las 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Flujos de efectivo totales esperados atribuibles al instrumento a lo largo de su vida [párrafo 16A(e)]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GA14E Los flujos de efectivo totales esperados del instrumento a lo largo de su vida deberán basarse sustancialmente en el resultado, cambio en los activos netos reconocidos o valor razonable de los activos netos reconocidos y no reconocidos de la entidad a lo largo de la vida de dicho instrumento. El resultado y el cambio en los activos netos reconocidos deberán medirse de acuerdo con las NIIF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Transacciones realizadas por el tenedor de un instrumento distintas de las llevadas a cabo como propietario de la entidad (párrafos 16A y 16C)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GA14F El tenedor de un instrumento financiero con opción de venta o de un instrumento que impone a la entidad una obligación de entregar a terceros una participación proporcional de los activos netos de la entidad solo en el momento de la liquidación puede realizar transacciones con la entidad en un papel distinto al de propietario. Por ejemplo, un tenedor de un instrumento puede ser también un empleado de la entidad. Al evaluar si el instrumento debe clasificarse como patrimonio de acuerdo con el párrafo 16A o el párrafo 16C, solo deberán considerarse los flujos de efectivo y las condiciones y cláusulas contractuales del instrumento que estén relacionados con el tenedor del instrumento como propietario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GA14G Un ejemplo es una sociedad que tenga socios con y sin responsabilidad limitada. Algunos socios sin responsabilidad limitada pueden proporcionar una garantía a la entidad y pueden ser remunerados por facilitar dicha garantía. En estas situaciones, la garantía y los flujos de efectivo asociados guardan relación con los tenedores de instrumentos en su papel de garantes y no de propietarios de la entidad. Por ello, esta garantía y los flujos de efectivo asociados no darían lugar a que los socios sin responsabilidad limitada sean considerados subordinados a los socios con responsabilidad limitada, y no habría de considerarse al evaluar si las cláusulas contractuales de instrumentos con responsabilidad limitada de asociaciones con fines empresariales y los instrumentos sin responsabilidad limitada de asociaciones con fines empresariales fueran idénticos.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GA14H Otro ejemplo es un acuerdo de distribución de resultados que asigna el resultado a los tenedores de instrumentos sobre la base de los servicios prestados o el negocio generado durante el año corriente y anteriores. Estos acuerdos son transacciones con tenedores de instrumentos en un papel distinto al de propietarios y no deben considerarse al evaluar las características enumeradas en el párrafo 16A o el párrafo 16C. Sin embargo, los acuerdos de distribución de resultados que asignen el resultado a tenedores de instrumentos basados en el importe nominal de sus instrumentos en relación con los otros de su clase representan transacciones con los tenedores de instrumentos en su papel de propietarios y deben considerarse al evaluar las características enumeradas en el párrafo 16A o el párrafo 16C.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GA14I Los flujos de efectivo y las condiciones y cláusulas contractuales de una transacción entre el tenedor de instrumentos (en un papel distinto al de propietario) y la entidad que emite deben ser similares a una transacción equivalente que pueda tener lugar entre quien no posee instrumentos y la entidad emisora.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 existe otro instrumento financiero o contrato con flujos de efectivo totales que restrinja o fije sustancialmente el rendimiento residual para el tenedor del instrumento (párrafos 16B y 16D)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GA14J Una condición para clasificar a un instrumento financiero como patrimonio que cumpla de otra forma los criterios del párrafo 16A o del párrafo 16C es que la entidad no tenga otro instrumento financiero o contrato que tenga (a) flujos de efectivo totales basados sustancialmente en el resultado, el cambio en los activos netos reconocidos o el cambio en </w:t>
      </w:r>
      <w:r w:rsidRPr="00401DFF">
        <w:rPr>
          <w:rFonts w:ascii="Times New Roman" w:eastAsia="Times New Roman" w:hAnsi="Times New Roman" w:cs="Times New Roman"/>
          <w:sz w:val="24"/>
          <w:szCs w:val="24"/>
          <w:lang w:eastAsia="es-CO"/>
        </w:rPr>
        <w:lastRenderedPageBreak/>
        <w:t>el valor razonable de los activos netos reconocidos y no reconocidos de la entidad y (b) el efecto de fijar o restringir sustancialmente el rendimiento residual. Los siguientes instrumentos, cuando se realicen operaciones comerciales en condiciones normales con terceros no vinculados, es improbable que impidan que los instrumentos que cumplan de otra forma los criterios del párrafo 16A o del párrafo 16C sean clasificados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Instrumentos con flujos de efectivo totales esencialmente basados en activos específicos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Instrumentos con los flujos de efectivo totales basados en un porcentaje de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Contratos diseñados para remunerar a determinados empleados por servicios prestados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Contratos que requieren el pago de un porcentaje insignificante de beneficios por servicios prestados o bienes suministrados.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financieros 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GA15 Los instrumentos financieros comprenden tanto instrumentos primarios (tales como cuentas por cobrar, por pagar o instrumentos de patrimonio) como instrumentos financieros derivados (tales como opciones financieras, futuros y contratos a término, permutas de tasa de interés y de divisas). Los instrumentos financieros derivados cumplen la definición de instrumento financiero y, por tanto, entran dentro del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GA16 Los instrumentos financieros derivados crean derechos y obligaciones que tienen el efecto de transferir, entre las partes implicadas en el instrumento, uno o varios tipos de riesgos financieros inherentes a un instrumento financiero primario subyacente. En su inicio, los instrumentos financieros derivados conceden a una parte el derecho contractual a intercambiar activos financieros o pasivos financieros con la otra parte, en condiciones que son potencialmente favorables, o crean la obligación contractual de intercambiar activos financieros o pasivos financieros con la otra parte, en condiciones que son potencialmente desfavorables. Generalmente</w:t>
      </w:r>
      <w:hyperlink r:id="rId39" w:anchor="bf119fd542834d245b48f8f92d210e68973nf9" w:tgtFrame="_self" w:history="1">
        <w:r w:rsidRPr="00401DFF">
          <w:rPr>
            <w:rFonts w:ascii="Times New Roman" w:eastAsia="Times New Roman" w:hAnsi="Times New Roman" w:cs="Times New Roman"/>
            <w:color w:val="0000FF"/>
            <w:sz w:val="20"/>
            <w:szCs w:val="20"/>
            <w:u w:val="single"/>
            <w:vertAlign w:val="superscript"/>
            <w:lang w:eastAsia="es-CO"/>
          </w:rPr>
          <w:t>(35)</w:t>
        </w:r>
      </w:hyperlink>
      <w:r w:rsidRPr="00401DFF">
        <w:rPr>
          <w:rFonts w:ascii="Times New Roman" w:eastAsia="Times New Roman" w:hAnsi="Times New Roman" w:cs="Times New Roman"/>
          <w:sz w:val="24"/>
          <w:szCs w:val="24"/>
          <w:lang w:eastAsia="es-CO"/>
        </w:rPr>
        <w:t>, sin embargo, no se produce la transferencia del instrumento financiero primario subyacente al comienzo del contrato, ni tampoco tiene necesariamente que producirse al vencimiento del mismo. Algunos instrumentos incorporan tanto un derecho como una obligación de realizar un intercambio. Puesto que las condiciones del intercambio se establecen en el momento del nacimiento del instrumento derivado, éstas pueden convertirse en favorables o desfavorables a medida que cambien los precios en los mercados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GA17 Una opción de compra o de venta para intercambiar activos financieros o pasivos financieros (esto es, instrumentos distintos de los de patrimonio propios de la entidad) da a su tenedor el derecho a obtener potenciales beneficios económicos futuros, asociados con cambios en el valor razonable del instrumento financiero subyacente en el contrato. Inversamente, el emisor de una opción asume la obligación de renunciar a potenciales </w:t>
      </w:r>
      <w:r w:rsidRPr="00401DFF">
        <w:rPr>
          <w:rFonts w:ascii="Times New Roman" w:eastAsia="Times New Roman" w:hAnsi="Times New Roman" w:cs="Times New Roman"/>
          <w:sz w:val="24"/>
          <w:szCs w:val="24"/>
          <w:lang w:eastAsia="es-CO"/>
        </w:rPr>
        <w:lastRenderedPageBreak/>
        <w:t>beneficios económicos futuros o a cargar con potenciales pérdidas de beneficios económicos asociados con cambios en el valor razonable del instrumento financiero subyacente. El derecho contractual del tenedor y la obligación del emisor cumplen, respectivamente, las definiciones de activo financiero y pasivo financiero. El instrumento financiero subyacente en un contrato de opción puede ser un activo financiero, incluyendo acciones de otras entidades e instrumentos que acumulan (devengan) intereses. Una opción puede obligar al emisor a poner en circulación un instrumento de deuda, en lugar de tener que transferir un activo financiero, pero el instrumento subyacente en la opción podría pasar a formar parte de los activos financieros del tenedor si la opción fuera ejercida. El derecho del tenedor de la opción a intercambiar el activo financiero en condiciones potencialmente favorables, así como la obligación del emisor de intercambiar el activo financiero en condiciones potencialmente desfavorables, son distintos del activo financiero subyacente que se intercambia cuando se ejerce la opción. La naturaleza del derecho del tenedor, así como de la obligación del emisor, no están afectadas por la probabilidad de que la opción sea ejercida.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GA18 Otro ejemplo de instrumento financiero derivado es un contrato a plazo que se liquidará dentro de seis meses, en el que una de las partes (el comprador) promete entregar 1.000.000 de u.m. de efectivo a cambio de 1.000.000 de u.m. de valor nominal de títulos de deuda pública con interés fijo, mientras que la otra parte (el vendedor) promete entregar 1.000.000 de u.m. de importe nominal de títulos de deuda pública a cambio de 1.000.000 de u.m. de efectivo. Durante los seis meses ambas partes tienen un derecho y una obligación contractuales de intercambiar instrumentos financieros. Si el precio de mercado de los títulos de deuda pública subiera por encima de 1.000.000 de u.m., las condiciones serán favorables para el comprador y desfavorables para el vendedor; si el precio de mercado cayera por debajo de 1.000.000 de u.m., se tendría el efecto opuesto. El comprador tendrá un derecho contractual (un activo financiero) similar al derecho que le otorga tener una opción de compra adquirida, y una obligación contractual (un pasivo financiero) similar a la obligación que le supone una opción de compra emitida; el vendedor tiene un derecho contractual (un activo financiero) similar al derecho de una opción de compra adquirida y una obligación contractual (un pasivo financiero) similar a la obligación de una opción compra emitida. Como en el caso de las opciones, esos derechos y obligaciones contractuales constituyen, respectivamente, activos financieros y pasivos financieros que son distintos, y están separados, de los instrumentos financieros subyacentes (los bonos y el efectivo a intercambiar). Las dos partes de un contrato a plazo tienen una obligación que cumplir en el momento acordado, mientras que en un contrato de opción se producen actuaciones si, y sólo si, el tenedor de la opción decide ejercerla.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GA19 Muchos otros tipos de instrumentos derivados incorporan un derecho o una obligación de realizar un intercambio futuro, entre los que se encuentran las permutas financieras de divisas y tasas de interés; los acuerdos sobre tasas de interés mínimas, máximas o una combinación de ambas; los compromisos de préstamo; los programas de emisión de pagarés y el crédito documentario. Un contrato de permuta de tasa de interés puede considerarse como una variante de un contrato a plazo, en el que las partes acuerdan realizar una serie de intercambios de importes en efectivo, uno de los cuales se calculará con referencia a una tasa de interés variable y otro con referencia a una tasa fijo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Los contratos de futuros son otra variante de los contratos a término, diferenciándose </w:t>
      </w:r>
      <w:r w:rsidRPr="00401DFF">
        <w:rPr>
          <w:rFonts w:ascii="Times New Roman" w:eastAsia="Times New Roman" w:hAnsi="Times New Roman" w:cs="Times New Roman"/>
          <w:sz w:val="24"/>
          <w:szCs w:val="24"/>
          <w:lang w:eastAsia="es-CO"/>
        </w:rPr>
        <w:lastRenderedPageBreak/>
        <w:t>principalmente en que los primeros son estandarizados y se negocian en un mercado organizado.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Contratos para comprar o vender partidas no financieras (párrafos 8 a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GA20 Los contratos para comprar o vender partidas no financieras no cumplen la definición de instrumento financiero, puesto que el derecho contractual de una parte a recibir un activo o un servicio no financiero, y la obligación correlativa de la otra, no establecen un derecho o una obligación para ninguna de ellas de recibir, entregar o intercambiar un activo financiero. Por ejemplo, los contratos que contemplan la liquidación sólo mediante la recepción o entrega de una partida no financiera (por ejemplo, un contrato de opción, de futuro o a plazo sobre plata) no son instrumentos financieros. Muchos contratos sobre materias primas cotizadas son de ese tipo. Algunos se han estandarizado en la forma y se negocian en mercados organizados de una manera muy similar a algunos instrumentos financieros derivados. Por ejemplo, un contrato de futuros sobre materias primas cotizadas puede ser comprado o vendido fácilmente a cambio de efectivo, porque se cotiza en un mercado organizado y puede cambiar de manos muchas veces. Sin embargo, las partes que están comprando y vendiendo el contrato están, efectivamente, negociando con la materia prima subyacente. La posibilidad de comprar o vender un contrato sobre materias primas cotizadas a cambio de efectivo, la facilidad con la que puede comprarse o venderse y la posibilidad de negociar una liquidación en efectivo de la obligación de recibir o entregar la materia prima, no alteran el carácter fundamental del contrato de una manera que pueda crear un instrumento financiero. No obstante, algunos contratos para comprar o vender partidas no financieras, que pueden ser liquidados en términos netos o intercambiando instrumentos financieros, o en los cuales la partida no financiera es fácilmente convertible en efectivo, están dentro del alcance de la Norma como si fueran instrumentos financieros (véase el párrafo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GA21 Un contrato que supone la recepción o entrega de activos físicos no dará lugar a un activo financiero para una de las partes, ni a un pasivo financiero para la otra, a menos que los correspondientes pagos se hayan diferido hasta después de la fecha en que los activos tangibles hayan sido transferidos. Tal es el caso de la compra o venta de bienes en las condiciones habituales del crédito comercial.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GA22 Algunos contratos están ligados al precio de materias primas cotizadas, lo que no implica que se liquiden mediante la recepción o entrega física de estas mercancías. En ellos se especifica que la liquidación tendrá lugar mediante pagos de efectivo, que se determinarán de acuerdo con una fórmula fijada en el contrato y no mediante la entrega de importes fijos. Por ejemplo, el importe principal de un bono puede calcularse multiplicando el precio de mercado del petróleo, al vencimiento del mismo, por una cantidad fija de petróleo. De esta forma, el principal estará indexado por referencia al precio de una materia prima cotizada, pero se podrá liquidar exclusivamente en efectivo. Tal contrato constituye un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GA23 La definición de instrumento financiero comprende también a los contratos que den lugar a un activo no financiero o un pasivo no financiero, además del activo financiero o el pasivo financiero. A menudo, tales instrumentos financieros conceden a una de las partes </w:t>
      </w:r>
      <w:r w:rsidRPr="00401DFF">
        <w:rPr>
          <w:rFonts w:ascii="Times New Roman" w:eastAsia="Times New Roman" w:hAnsi="Times New Roman" w:cs="Times New Roman"/>
          <w:sz w:val="24"/>
          <w:szCs w:val="24"/>
          <w:lang w:eastAsia="es-CO"/>
        </w:rPr>
        <w:lastRenderedPageBreak/>
        <w:t>una opción de intercambiar un activo financiero por otro no financiero. Por ejemplo, un bono ligado a la cotización del petróleo puede dar al tenedor el derecho a recibir una serie periódica de pagos de interés fijo y un importe fijo de efectivo al vencimiento, junto con la opción de intercambiar el importe del principal por una cantidad fija de petróleo. La conveniencia para ejercer esta opción variará de tiempo en tiempo, dependiendo de la relación entre el valor razonable del petróleo y la razón de intercambio de efectivo por petróleo (el precio de intercambio) inherente al bono. La intención del tenedor del bono, referente al ejercicio de la opción, no afecta a la sustancia de los activos componentes. El activo financiero del tenedor y el pasivo financiero del emisor hacen del bono un instrumento financiero, con independencia de los otros tipos de activos y pasivos que también se hayan creado.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y patrimonio (párrafos 15 a 27)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Ausencia de obligación contractual de entregar efectivo u otro activo financiero (párrafos 17 a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GA25 Las acciones preferentes pueden emitirse con derechos diversos. Al determinar si una acción preferente es un pasivo financiero o un instrumento de patrimonio, el emisor evaluará los derechos particulares concedidos a la acción para determinar si posee la característica fundamental de un pasivo financiero. Por ejemplo, una acción preferente que contemple su rescate en una fecha específica o a voluntad del tenedor, contiene un pasivo financiero, porque el emisor tiene la obligación de transferir activos financieros al tenedor de la acción. La posible incapacidad del emisor para satisfacer la obligación de rescatar una acción preferente, cuando sea requerido en los términos contractuales para hacerlo, ya sea ocasionada por falta de fondos, por restricciones legales o por tener insuficientes reservas o ganancias, no niega la existencia de la obligación. En el caso de existir una opción a favor del emisor para rescatar las acciones en efectivo, no se cumplirá la definición de pasivo financiero, porque el emisor no tiene una obligación actual de transferir activos financieros a los accionistas. En este caso, el rescate de las acciones queda únicamente a discreción del emisor. Puede aparecer una obligación, no obstante, en el momento en que el emisor de las acciones ejercite su opción, lo que usualmente se hace notificando de manera formal al accionista la intención de rescatar los títulos.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GA26 Cuando las acciones preferentes no sean rescatables, su clasificación adecuada se determinará en función de los demás derechos que ellas incorporen. Dicha clasificación se basará en una evaluación de la esencia de los acuerdos contractuales y en las definiciones de pasivo financiero y de instrumento de patrimonio. Cuando las distribuciones a favor de los tenedores de las acciones preferentes, tengan o no derechos acumulativos, queden a discreción del emisor, las acciones son instrumentos de patrimonio. La clasificación de una acción preferente como pasivo financiero o instrumento de patrimonio, no se verá afectada a causa de,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una historia de distribuciones efectivamente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intención de hacer distribuciones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posible impacto negativo de la ausencia de distribuciones sobre el precio de las acciones ordinarias del emisor (por causa de las restricciones sobre el pago de dividendos a las acciones ordinarias si no se ha pagado primero a las preferentes);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de las reservas del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expectativas que tenga el emisor sobre una pérdida o una ganancia en el período;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posibilidad o imposibilidad del emisor para influir en el resultado del período.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Liquidación con instrumentos de patrimonio propios de la entidad (párrafos 21 a 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GA27 En los siguientes ejemplos se ilustra cómo clasificar diferentes tipos de contratos que una entidad tenga sobre los instrumentos de patrimonio propios: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contrato que vaya a ser liquidado por la entidad mediante la recepción o entrega de una cantidad fija de sus propias acciones, sin contraprestación futura, o intercambiando una cantidad fija de sus propias acciones por un importe fijo de efectivo u otro activo financiero será un instrumento de patrimonio (con excepción de lo señalado en el párrafo 22A). Por consiguiente, cualquier contraprestación recibida o pagada por este contrato se añadirá o deducirá directamente del patrimonio. Un ejemplo es una opción sobre acciones emitidas que proporcione, a la otra parte, un derecho a comprar una cantidad fija de acciones de la entidad a cambio de un importe fijo de efectivo. Sin embargo, si el contrato requiere que la entidad compre (reembolse) sus propias acciones a cambio de efectivo u otro activo financiero en una fecha fija, determinable o fijada o a la vista, la entidad también reconocerá un pasivo financiero por el valor presente del importe de reembolso (con la excepción de instrumentos que reúnan todas las características y cumplan las condiciones de los párrafos 16A y 16B o de los párrafos 16C y 16D). Un ejemplo es la obligación de una entidad según un contrato de futuro de recomprar una cantidad fija de sus propias acciones por un importe fijo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obligación de una entidad de comprar sus propias acciones a cambio de efectivo, dará lugar a un pasivo financiero por el valor presente del importe del reembolso, incluso si el número de acciones que la entidad está obligada a recomprar no es fijo, o si la obligación está condicionada a que la otra parte ejerza un derecho al reembolso (con excepción de lo señalado en los párrafos 16A y 16B o en los párrafos 16C y 16D). Un ejemplo de obligación condicionada es una opción emitida que requiera de la entidad la recompra de sus propias acciones a cambio de efectivo, si la otra parte ejerce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Un contrato que vaya a ser liquidado en efectivo o mediante otro activo financiero, será un activo financiero o un pasivo financiero incluso si el importe del efectivo o del otro activo financiero a recibir o entregar se basa en cambios en el precio de mercado de </w:t>
      </w:r>
      <w:r w:rsidRPr="00401DFF">
        <w:rPr>
          <w:rFonts w:ascii="Times New Roman" w:eastAsia="Times New Roman" w:hAnsi="Times New Roman" w:cs="Times New Roman"/>
          <w:sz w:val="24"/>
          <w:szCs w:val="24"/>
          <w:lang w:eastAsia="es-CO"/>
        </w:rPr>
        <w:lastRenderedPageBreak/>
        <w:t>patrimonio propio de la entidad (con excepción de lo señalado en los párrafos 16A y 16B o en los párrafos 16C y 16D). Un ejemplo de lo anterior es una opción sobre acciones que se vaya a liquidar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contrato a ser liquidado con un número variable de las propias acciones de la entidad, cuyo valor sea igual a un importe fijo o a un importe que se base en los cambios de una variable subyacente (por ejemplo, el precio de una materia prima cotizada) será un activo financiero o un pasivo financiero. Un ejemplo de lo anterior es una opción vendida para la compra de oro que, en caso de ser ejercida, se liquidará en términos netos por la entidad con sus instrumentos de patrimonio propio, mediante la entrega de una cantidad de instrumentos igual al valor del contrato de opción. Tal contrato será un activo financiero o un pasivo financiero, incluso si la variable subyacente fuera el precio de las propias acciones de la entidad y no el precio del oro. De forma similar, es un activo financiero o un pasivo financiero todo contrato que vaya a ser liquidado con un número fijo de las propias acciones de la entidad, siempre que los derechos correspondientes a ellas se hagan variar de forma que el valor de liquidación sea igual a un importe fijo o a un importe basado en los cambios de una variable subyacente.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Cláusulas de liquidación contingente (párrafo 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GA28 En el párrafo 25 se establece que si una parte de una cláusula que establece la liquidación contingente, según la cual se podría requerir la liquidación mediante efectivo u otro activo financiero (o de cualquier otra forma que diera lugar a que el instrumento fuera un pasivo financiero), no fuera genuina, su existencia no afectará a la clasificación del instrumento financiero. Así un contrato que requiera la liquidación en efectivo o mediante un número variable de las propias acciones de la entidad, será un instrumento de patrimonio sólo en el caso de que ocurra un hecho que sea extremadamente excepcional, altamente anormal y muy improbable. De forma similar, la liquidación mediante un número fijo de las propias acciones de la entidad podría estar contractualmente prohibida en circunstancias que estén fuera del control de la misma, pero si tales circunstancias no tuvieran una posibilidad real de ocurrir lo apropiado sería clasificar al instrumento como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Tratamiento en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GA29 En los estados financieros consolidados, una entidad presentará las participaciones no controladoras —es decir, la participación de terceros en el patrimonio y en los resultados de sus subsidiarias— de acuerdo con la NIC 1 y con la NIIF 10. Al clasificar un instrumento financiero (o un componente del mismo) en los estados financieros consolidados, la entidad considerará todos los plazos y condiciones acordados entre los miembros del grupo y los tenedores del instrumento, a fin de determinar si el grupo tomado en su conjunto tiene una obligación de entregar efectivo u otro activo financiero en virtud del instrumento en cuestión, o bien de liquidarlo de una forma que implique su clasificación como pasivo. Cuando una subsidiaria de un grupo emita un instrumento financiero, y la controladora u otra entidad del grupo hayan acordado condiciones adicionales con los tenedores del instrumento (por ejemplo, una garantía) en forma directa, el grupo puede carecer de discreción al decidir sobre las distribuciones o el rescate. Aunque la subsidiaria pueda clasificar de forma apropiada el instrumento en sus estados financieros, sin </w:t>
      </w:r>
      <w:r w:rsidRPr="00401DFF">
        <w:rPr>
          <w:rFonts w:ascii="Times New Roman" w:eastAsia="Times New Roman" w:hAnsi="Times New Roman" w:cs="Times New Roman"/>
          <w:sz w:val="24"/>
          <w:szCs w:val="24"/>
          <w:lang w:eastAsia="es-CO"/>
        </w:rPr>
        <w:lastRenderedPageBreak/>
        <w:t>considerar tales condiciones adicionales, se habrá de tener en cuenta los acuerdos, entre los miembros del grupo y los tenedores del instrumento, a fin de conseguir que los estados financieros consolidados reflejen los contratos y transacciones realizadas por el grupo considerado en su conjunto. En la medida en que exista una obligación o una cláusula de liquidación, el instrumento (o el componente del mismo que esté sujeto a la obligación) se clasificará como un pasivo financiero en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GA29A Algunos tipos de instrumentos que imponen una obligación contractual a la entidad se clasifican como instrumentos financieros de acuerdo con los párrafos 16A y 16B o los párrafos 16C y 16D). La clasificación de acuerdo con esos párrafos es una excepción a los principios que en otro caso se aplican en esta Norma para la clasificación de un instrumento. Esta excepción no es extensiva a la clasificación de participaciones no controladoras en los estados financieros consolidados. Por ello, los instrumentos clasificados como instrumentos de patrimonio de acuerdo los párrafos 16A y 16B o los párrafos 16C y 16D en los estados financieros individuales o separados que son participaciones no controladoras se clasifican como pasivos en los estados financieros consolidados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financieros compuestos (párrafos 28 a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GA30 El párrafo 28 es de aplicación únicamente a los emisores de instrumentos financieros compuestos no derivados. El párrafo 28 no se ocupa de los instrumentos financieros compuestos desde la perspectiva de los tenedores. La NIIF 9 trata la clasificación y medición de los activos financieros que son instrumentos financieros compuestos desde la perspectiva del tenedor.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GA31 Una forma común de instrumento financiero compuesto es un instrumento de deuda que lleve implícita una opción de conversión, como por ejemplo un bono convertible en acciones ordinarias del emisor, y sin ninguna otra característica de derivado implícito. En el párrafo 28 se requiere que el emisor de tal instrumento financiero presente, en el estado de situación financiera, el componente de pasivo separado del de patrimonio de la manera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obligación del emisor de realizar los pagos programados de intereses y del principal es un pasivo financiero que existirá mientras el instrumento no sea convertido. A efectos del reconocimiento inicial, el valor razonable del componente de pasivo es el valor presente de la corriente, determinada contractualmente, de flujos de efectivo futuros, descontados a la tasa de interés que el mercado aplique en ese momento para instrumentos de un estatus crediticio similar y que suministren sustancialmente los mismos flujos de efectivo, en los mismos términos, pero sin la opción de conversión.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instrumento de patrimonio es una opción implícita para convertir el pasivo en patrimonio del emisor. Esta opción tiene valor en el reconocimiento inicial incluso cuando esté fuera de dinero.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GA32 Al convertir el instrumento convertible en el momento del vencimiento, la entidad dará de baja el componente de pasivo y lo reconocerá como patrimonio. El componente </w:t>
      </w:r>
      <w:r w:rsidRPr="00401DFF">
        <w:rPr>
          <w:rFonts w:ascii="Times New Roman" w:eastAsia="Times New Roman" w:hAnsi="Times New Roman" w:cs="Times New Roman"/>
          <w:sz w:val="24"/>
          <w:szCs w:val="24"/>
          <w:lang w:eastAsia="es-CO"/>
        </w:rPr>
        <w:lastRenderedPageBreak/>
        <w:t>original de patrimonio permanecerá como tal (aunque sea transferido de una partida de patrimonio a otra). La conversión al vencimiento no produce ninguna ganancia o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GA33 Cuando una entidad cancele un instrumento convertible antes del vencimiento, mediante un rescate anticipado o una recompra, en los que se mantengan inalterados los privilegios de conversión, la entidad distribuirá la contrapartida entregada y los costos de transacción del rescate o la recompra entre los componentes de pasivo y de patrimonio del instrumento a la fecha de la transacción. El método utilizado, para distribuir el importe de la contrapartida entregada y los costos de transacción entre los componentes separados, será congruente con el que haya sido usado para la distribución original a los componentes separados de los importes recibidos por la entidad al emitir el instrumento convertible, de acuerdo con los párrafos 28 a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GA34 Una vez hecha la distribución de la contrapartida recibida, la ganancia o pérdida resultante se tratará de acuerdo con los principios contables aplicables al componente correspondiente, de acuerdo con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 la ganancia o pérdida relacionada con el componente de pasivo se reconocerá como resultado del ejercicio;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 la contrapartida relacionada con el componente de patrimonio se reconocerá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GA35 Una entidad puede modificar las condiciones de un instrumento convertible para inducir una conversión anticipada, podría, por ejemplo, ofrecer una relación más favorable de conversión o pagar una contrapartida adicional en el caso de que la conversión se produzca antes de una fecha dada. La diferencia, en la fecha de modificación de las condiciones, entre el valor razonable de la contrapartida que el tenedor vaya a recibir por la conversión del instrumento con las nuevas condiciones y el valor razonable de la contrapartida que hubiera recibido según las condiciones originales, se reconocerá como pérdida en el resultado del ejercicio.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 propias en cartera (párrafos 33 y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GA36 Con independencia de la razón por la que se haya procedido a readquirirlos, los instrumentos de patrimonio propios de la entidad no podrán ser reconocidos como activos financieros. El párrafo 33 exige que una entidad que readquiera sus instrumentos de patrimonio propio, los deduzca del patrimonio. No obstante, cuando la entidad posea sus instrumentos de patrimonio propios en nombre de terceros (por ejemplo, una entidad financiera tiene sus propias acciones por cuenta de un cliente), existe una relación de agencia y por consiguiente, estas tenencias no se incluirán en el estado de situación financiera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Intereses, dividendos, pérdidas y ganancias (párrafos 35 a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GA37 El siguiente ejemplo ilustra la aplicación del párrafo 35 a un instrumento financiero compuesto. Supongamos que una acción preferente, sin derechos acumulativos sobre dividendos, es obligatoriamente rescatable en efectivo dentro de cinco años, pero que se pagan dividendos a discreción de la entidad en el periodo anterior a la fecha de rescate. Tal instrumento es un instrumento financiero compuesto, cuyo componente de pasivo es el valor presente del importe del rescate. Los intereses que se vayan acumulando en el tiempo al revertir el descuento, se reconocerán en resultados y se clasificarán como gastos por intereses. Los eventuales dividendos pagados se relacionarán con el componente de patrimonio y, de acuerdo con ello, se reconocerán como distribuciones de resultados. Se aplicaría un tratamiento similar si el rescate no fuera obligatorio sino a opción del tenedor, o si la acción fuera obligatoriamente convertible en un número variable de acciones ordinarias, calculadas de forma que supusieran un importe fijo o un importe basado en los cambios de una variable subyacente (por ejemplo una materia prima cotizada). No obstante, si los dividendos no pagados se añadiesen al importe fijado para el rescate, el instrumento en su conjunto sería un pasivo. En tal caso, los dividendos se clasificarían como gastos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 de un activo financiero con un pasivo financiero (párrafos 42 a 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Criterio de que una entidad “actualmente tiene un derecho exigible legalmente a compensar los importes reconocidos” [párrafo 42(a)]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GA38A Un derecho de compensación puede estar actualmente disponible o ser contingente a un suceso futuro (por ejemplo, el derecho puede surgir o ejercerse solo en el momento en que ocurra algún suceso futuro, tal como el incumplimiento, insolvencia o quiebra de una de las contrapartes). Incluso si el derecho de compensación no es contingente a un suceso futuro, solo puede ser exigible legalmente en el curso normal del negocio, o en el caso de incumplimiento, o de insolvencia o quiebra, de una o de todas de las contrapartes.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GA38B Para satisfacer el criterio del párrafo 42(a), una entidad debe tener actualmente un derecho exigible legalmente de compensación. Esto quiere decir que el derecho de 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debe ser contingente a un suceso futuro;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deber ser exigible legalmente en todas las circunstancias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curso normal del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caso de incumplimiento;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caso de insolvencia o quiebra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 la entidad y de todas las contrapartes.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GA38C La naturaleza y alcance de los derechos de compensación, incluyendo cualesquiera condiciones asociadas a su ejercicio y si se conservarían en el caso de incumplimiento o insolvencia o quiebra, pueden variar de una jurisdicción a otra. Por consiguiente, no puede suponerse que el derecho de compensación está automáticamente disponible al margen del curso normal del negocio. Por ejemplo, la legislación sobre quiebra o insolvencia de una jurisdicción puede prohibir, o restringir, el derecho de compensación en el caso de quiebra o insolvencia en algunas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GA38D Para asegurar si el derecho de compensación es exigible en el curso normal del negocio, en un caso de incumplimiento, y en el de insolvencia o quiebra, de la entidad y de todas las contrapartes [como se especifica en el párrafo GA38B(b)], se necesitan considerar las leyes aplicables a las relaciones entre las partes (por ejemplo, disposiciones contractuales, las leyes que rigen el contrato, o la legislación sobre el incumplimiento, insolvencia o quiebra aplicables a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Criterio de que una entidad “tenga la intención de liquidar por el importe neto, o de realizar el activo y liquidar el pasivo simultáneamente” [párrafo 42(b)]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GA38E Para satisfacer el criterio del párrafo 42(b) una entidad debe tener la intención de liquidar por el importe neto, o de realizar el activo y liquidar el pasivo simultáneamente. Aunque la entidad puede tener un derecho a liquidar por el neto, todavía puede realizar el activo y liquidar el pasivo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GA38F Si una entidad puede liquidar los importes de forma tal que el resultado es, de hecho, equivalente a la liquidación neta, la entidad cumplirá el criterio de la liquidación neta del párrafo 42(b). Esto tendrá lugar si, y solo si, el mecanismo de liquidación bruta tiene características que eliminan o dan lugar a un riesgo de crédito y de liquidez insignificante, y que tramitarán las cuentas por cobrar y cuentas por pagar en un único proceso o ciclo de liquidación. Por ejemplo, un sistema de liquidación bruta que tiene todas las características siguientes cumpliría el criterio de liquidación neta del párrafo 42(b):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remiten para su tramitación en el mismo instante activos financieros y pasivos financieros que cumplen las condiciones de 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vez se han remitido para su tramitación los activos financieros y pasivos financieros, las partes se comprometen a satisfacer la obligación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no existe posibilidad de cambiar los flujos de efectivo que surgen de los activos y pasivos una vez se han remitido para su tramitación (a menos que fracase la tramitación-véase el (d)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los activos y pasivos que están asegurados colateralmente con títulos valores se liquidarán mediante una transferencia de títulos valores o un sistema similar (por ejemplo, entrega </w:t>
      </w:r>
      <w:r w:rsidRPr="00401DFF">
        <w:rPr>
          <w:rFonts w:ascii="Times New Roman" w:eastAsia="Times New Roman" w:hAnsi="Times New Roman" w:cs="Times New Roman"/>
          <w:i/>
          <w:iCs/>
          <w:sz w:val="24"/>
          <w:szCs w:val="24"/>
          <w:lang w:eastAsia="es-CO"/>
        </w:rPr>
        <w:t>versus</w:t>
      </w:r>
      <w:r w:rsidRPr="00401DFF">
        <w:rPr>
          <w:rFonts w:ascii="Times New Roman" w:eastAsia="Times New Roman" w:hAnsi="Times New Roman" w:cs="Times New Roman"/>
          <w:sz w:val="24"/>
          <w:szCs w:val="24"/>
          <w:lang w:eastAsia="es-CO"/>
        </w:rPr>
        <w:t xml:space="preserve"> pago), de forma que si la transferencia de títulos valores no tiene lugar, la tramitación de las cuentas por cobras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o cuentas por pagar, relacionadas sobre las que son garantía colateral los títulos valores tampoco se realizará (y viceversa);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cualesquiera transacciones que no se realicen, como se describe en (d), se tramitarán nuevamente hasta que se liquiden;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liquidación se efectúa a través de la misma institución de liquidación (por ejemplo, un banco de liquidación, un banco central o un depositario central de títulos valores);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está vigente una línea de crédito intradía que proporcionará importes de sobregiro suficientes para permitir la tramitación de los pagos en la fecha de la liquidación para cada una de las partes, y es prácticamente seguro que la línea de crédito intradía cumplirá si se recurre a ella.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GA39 En la Norma no se contempla un tratamiento especial para los llamados “instrumentos sintéticos”, que son grupos de instrumentos financieros separados adquiridos y mantenidos para emular las características de otro instrumento. Por ejemplo, una deuda a largo plazo con interés variable, combinada con una permuta de tasas de interés en la que se reciban pagos variables y se hagan pagos fijos, sintetiza una deuda a largo plazo con interés fijo. Cada uno de los instrumentos financieros individuales, que en conjunto constituyen el “instrumento sintético”, representa un derecho o una obligación contractual con sus propios plazos y condiciones, y cada uno puede ser cedido o liquidado por separado. Cada instrumento financiero está expuesto a sus propios riesgos, que pueden diferir de los riesgos que conciernen a los otros instrumentos financieros. De acuerdo con lo anterior, cuando un instrumento financiero de los que componen el “instrumento sintético” es un activo y otro es un pasivo, no serán compensados ni presentados en términos netos en el estado de situación financiera de la entidad, salvo que cumplan las condiciones establecidas para la compensación en el párrafo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y pasivos financieros contabilizados al valor razonable con cambios en resultados (apartado (f) del párrafo 94)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GA40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En esta Norma,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En agosto de 2005 el IASB trasladó toda la información a revelar relativa a instrumentos financieros a la NIIF 7 </w:t>
      </w:r>
      <w:r w:rsidRPr="00401DFF">
        <w:rPr>
          <w:rFonts w:ascii="Times New Roman" w:eastAsia="Times New Roman" w:hAnsi="Times New Roman" w:cs="Times New Roman"/>
          <w:i/>
          <w:iCs/>
          <w:sz w:val="24"/>
          <w:szCs w:val="24"/>
          <w:lang w:eastAsia="es-CO"/>
        </w:rPr>
        <w:t>Instrumentos Financieros: Información a Revelar</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En esta guía, los importes monetarios se denominan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Esto es verdad para la mayoría, pero no para todos los derivados. Por ejemplo, en algunas permutas financieras de pagos en distintas divisas con distintos tipos de interés, se intercambia el principal al comienzo de la transacción (y se vuelve a intercambiar al término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establecer los principios para la determinación y presentación de la cifra de ganancias por acción de las entidades, cuyo efecto será el de mejorar la comparación de los rendimientos entre diferentes entidades en el mismo periodo, así como entre diferentes periodos para la misma entidad. Aunque el indicador de las ganancias por acción tiene limitaciones a causa de las diferentes políticas contables que pueden utilizarse para determinar las “ganancias”, la utilización de un denominador calculado de forma uniforme mejora la información financiera ofrecida. El punto central de esta Norma es el establecimiento del denominador en el cálculo de las 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deberá aplicarse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estados financieros separados o individuales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cuyas acciones ordinarias o acciones ordinarias potenciales se negocien en un mercado público (ya sea una bolsa de valores nacional o extranjera, o un mercado no organizado, incluyendo los mercados locales y regionales),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que registre, o esté en proceso de registrar, sus estados financieros en una comisión de valores u otra organización reguladora, con el fin de emitir algún tipo de instrumento en un mercado público;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estados financieros consolidados de un grupo con una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cuyas acciones ordinarias o acciones ordinarias potenciales se negocien en un mercado público (ya sea una bolsa de valores nacional o extranjera, o un mercado no organizado, incluyendo los mercados locales y regionales),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que registre, o esté en proceso de registrar, sus estados financieros en una comisión de valores u otra organización reguladora, con el fin de emitir algún tipo de instrumento en un mercado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Cualquier entidad que presente la cifra de ganancias por acción, la calculará y presentará de acuerdo con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 En el caso de que una entidad presente estados financieros separados y estados financieros consolidados de acuerdo con la NIIF 10 </w:t>
      </w:r>
      <w:r w:rsidRPr="00401DFF">
        <w:rPr>
          <w:rFonts w:ascii="Times New Roman" w:eastAsia="Times New Roman" w:hAnsi="Times New Roman" w:cs="Times New Roman"/>
          <w:b/>
          <w:bCs/>
          <w:i/>
          <w:iCs/>
          <w:sz w:val="24"/>
          <w:szCs w:val="24"/>
          <w:lang w:eastAsia="es-CO"/>
        </w:rPr>
        <w:t xml:space="preserve">Estados Financieros Consolidados </w:t>
      </w:r>
      <w:r w:rsidRPr="00401DFF">
        <w:rPr>
          <w:rFonts w:ascii="Times New Roman" w:eastAsia="Times New Roman" w:hAnsi="Times New Roman" w:cs="Times New Roman"/>
          <w:b/>
          <w:bCs/>
          <w:sz w:val="24"/>
          <w:szCs w:val="24"/>
          <w:lang w:eastAsia="es-CO"/>
        </w:rPr>
        <w:t>y la NIC 27</w:t>
      </w:r>
      <w:r w:rsidRPr="00401DFF">
        <w:rPr>
          <w:rFonts w:ascii="Times New Roman" w:eastAsia="Times New Roman" w:hAnsi="Times New Roman" w:cs="Times New Roman"/>
          <w:b/>
          <w:bCs/>
          <w:i/>
          <w:iCs/>
          <w:sz w:val="24"/>
          <w:szCs w:val="24"/>
          <w:lang w:eastAsia="es-CO"/>
        </w:rPr>
        <w:t xml:space="preserve"> Estados Financieros Separados</w:t>
      </w:r>
      <w:r w:rsidRPr="00401DFF">
        <w:rPr>
          <w:rFonts w:ascii="Times New Roman" w:eastAsia="Times New Roman" w:hAnsi="Times New Roman" w:cs="Times New Roman"/>
          <w:b/>
          <w:bCs/>
          <w:sz w:val="24"/>
          <w:szCs w:val="24"/>
          <w:lang w:eastAsia="es-CO"/>
        </w:rPr>
        <w:t xml:space="preserve"> respectivamente, la información a revelar requerida por esta Norma sólo necesita presentarse con referencia a la información consolidada. Una entidad que elija revelar las ganancias por acción basadas en sus </w:t>
      </w:r>
      <w:r w:rsidRPr="00401DFF">
        <w:rPr>
          <w:rFonts w:ascii="Times New Roman" w:eastAsia="Times New Roman" w:hAnsi="Times New Roman" w:cs="Times New Roman"/>
          <w:b/>
          <w:bCs/>
          <w:sz w:val="24"/>
          <w:szCs w:val="24"/>
          <w:lang w:eastAsia="es-CO"/>
        </w:rPr>
        <w:lastRenderedPageBreak/>
        <w:t>estados financieros separados sólo presentará dicha información de las ganancias por acción es su estado del resultado integral. Una entidad no presentará dicha información sobre ganancias por acción en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4A Si una entidad presenta las partidas del resultado del periodo en un estado separado, según se describe en el párrafo 10A de la NIC 1 </w:t>
      </w:r>
      <w:r w:rsidRPr="00401DFF">
        <w:rPr>
          <w:rFonts w:ascii="Times New Roman" w:eastAsia="Times New Roman" w:hAnsi="Times New Roman" w:cs="Times New Roman"/>
          <w:b/>
          <w:bCs/>
          <w:i/>
          <w:iCs/>
          <w:sz w:val="24"/>
          <w:szCs w:val="24"/>
          <w:lang w:eastAsia="es-CO"/>
        </w:rPr>
        <w:t xml:space="preserve">Presentación de Estados Financieros </w:t>
      </w:r>
      <w:r w:rsidRPr="00401DFF">
        <w:rPr>
          <w:rFonts w:ascii="Times New Roman" w:eastAsia="Times New Roman" w:hAnsi="Times New Roman" w:cs="Times New Roman"/>
          <w:b/>
          <w:bCs/>
          <w:sz w:val="24"/>
          <w:szCs w:val="24"/>
          <w:lang w:eastAsia="es-CO"/>
        </w:rPr>
        <w:t>(revisada en 2011), presentará las ganancias por acción solo en ese estado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Antidilución</w:t>
      </w:r>
      <w:r w:rsidRPr="00401DFF">
        <w:rPr>
          <w:rFonts w:ascii="Times New Roman" w:eastAsia="Times New Roman" w:hAnsi="Times New Roman" w:cs="Times New Roman"/>
          <w:b/>
          <w:bCs/>
          <w:sz w:val="24"/>
          <w:szCs w:val="24"/>
          <w:lang w:eastAsia="es-CO"/>
        </w:rPr>
        <w:t xml:space="preserve"> es el aumento en las ganancias por acción o la reducción en las pérdidas por acción al asumir que los instrumentos convertibles se van a convertir, que las opciones o certificados para compra de acciones (warrants) van a ser ejercitados o que se emitirán acciones ordinarias, si se cumplen las condiciones previstas.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Acuerdo condicionado de emisión de acciones</w:t>
      </w:r>
      <w:r w:rsidRPr="00401DFF">
        <w:rPr>
          <w:rFonts w:ascii="Times New Roman" w:eastAsia="Times New Roman" w:hAnsi="Times New Roman" w:cs="Times New Roman"/>
          <w:b/>
          <w:bCs/>
          <w:sz w:val="24"/>
          <w:szCs w:val="24"/>
          <w:lang w:eastAsia="es-CO"/>
        </w:rPr>
        <w:t xml:space="preserve"> es un acuerdo para emitir acciones que depende del cumplimiento de ciertas condiciones predeterminadas.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Acciones ordinarias de emisión condicionada</w:t>
      </w:r>
      <w:r w:rsidRPr="00401DFF">
        <w:rPr>
          <w:rFonts w:ascii="Times New Roman" w:eastAsia="Times New Roman" w:hAnsi="Times New Roman" w:cs="Times New Roman"/>
          <w:b/>
          <w:bCs/>
          <w:sz w:val="24"/>
          <w:szCs w:val="24"/>
          <w:lang w:eastAsia="es-CO"/>
        </w:rPr>
        <w:t xml:space="preserve"> son acciones ordinarias que se emiten a cambio de un desembolso en efectivo pequeño o nulo o de otra aportación, siempre y cuando se satisfagan las condiciones predeterminadas en un acuerdo condicionado de emisión de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Dilución</w:t>
      </w:r>
      <w:r w:rsidRPr="00401DFF">
        <w:rPr>
          <w:rFonts w:ascii="Times New Roman" w:eastAsia="Times New Roman" w:hAnsi="Times New Roman" w:cs="Times New Roman"/>
          <w:b/>
          <w:bCs/>
          <w:sz w:val="24"/>
          <w:szCs w:val="24"/>
          <w:lang w:eastAsia="es-CO"/>
        </w:rPr>
        <w:t xml:space="preserve"> es la reducción en las ganancias por acción o el aumento en las pérdidas por acción que resulta de asumir que los instrumentos convertibles se van a convertir, que las opciones o certificados para compra de acciones (warrants) van a ser ejercitados o que se emitirán acciones ordinarias, si se cumplen las condiciones previstas.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Opciones, certificados para compra de acciones (warrants) y sus equivalentes</w:t>
      </w:r>
      <w:r w:rsidRPr="00401DFF">
        <w:rPr>
          <w:rFonts w:ascii="Times New Roman" w:eastAsia="Times New Roman" w:hAnsi="Times New Roman" w:cs="Times New Roman"/>
          <w:b/>
          <w:bCs/>
          <w:sz w:val="24"/>
          <w:szCs w:val="24"/>
          <w:lang w:eastAsia="es-CO"/>
        </w:rPr>
        <w:t xml:space="preserve"> son instrumentos financieros que otorgan a su tenedor el derecho a adquirir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Acción ordinaria </w:t>
      </w:r>
      <w:r w:rsidRPr="00401DFF">
        <w:rPr>
          <w:rFonts w:ascii="Times New Roman" w:eastAsia="Times New Roman" w:hAnsi="Times New Roman" w:cs="Times New Roman"/>
          <w:b/>
          <w:bCs/>
          <w:sz w:val="24"/>
          <w:szCs w:val="24"/>
          <w:lang w:eastAsia="es-CO"/>
        </w:rPr>
        <w:t>es un instrumento de patrimonio que está subordinado a todas las demás clases de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Acción ordinaria potencial</w:t>
      </w:r>
      <w:r w:rsidRPr="00401DFF">
        <w:rPr>
          <w:rFonts w:ascii="Times New Roman" w:eastAsia="Times New Roman" w:hAnsi="Times New Roman" w:cs="Times New Roman"/>
          <w:b/>
          <w:bCs/>
          <w:sz w:val="24"/>
          <w:szCs w:val="24"/>
          <w:lang w:eastAsia="es-CO"/>
        </w:rPr>
        <w:t xml:space="preserve"> es un instrumento financiero u otro contrato que pueda dar derecho a su tenedor a recibir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Opciones de venta</w:t>
      </w:r>
      <w:r w:rsidRPr="00401DFF">
        <w:rPr>
          <w:rFonts w:ascii="Times New Roman" w:eastAsia="Times New Roman" w:hAnsi="Times New Roman" w:cs="Times New Roman"/>
          <w:b/>
          <w:bCs/>
          <w:sz w:val="24"/>
          <w:szCs w:val="24"/>
          <w:lang w:eastAsia="es-CO"/>
        </w:rPr>
        <w:t xml:space="preserve"> sobre acciones ordinarias son contratos que otorgan a su poseedor el derecho a vender acciones ordinarias por un precio determinado durante un periodo fijado.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Las acciones ordinarias participarán en la ganancia del periodo sólo después de que lo hayan hecho otros tipos de acciones tales como las acciones preferentes. Una entidad puede tener más de una clase de acciones ordinarias. Las acciones ordinarias de la misma clase tendrán el mismo derecho a recibir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Son ejemplos de acciones ordinarias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instrumentos de pasivo o de patrimonio, incluyendo acciones preferentes, que sean convertibles en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opciones y certificados de opciones para compra de acciones (</w:t>
      </w:r>
      <w:r w:rsidRPr="00401DFF">
        <w:rPr>
          <w:rFonts w:ascii="Times New Roman" w:eastAsia="Times New Roman" w:hAnsi="Times New Roman" w:cs="Times New Roman"/>
          <w:i/>
          <w:iCs/>
          <w:sz w:val="24"/>
          <w:szCs w:val="24"/>
          <w:lang w:eastAsia="es-CO"/>
        </w:rPr>
        <w:t>warrants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acciones a emitir en caso de que se cumplan las condiciones de los acuerdos contractuales, tales como la compra de un negocio o de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Los términos definidos en la NIC 32 </w:t>
      </w:r>
      <w:r w:rsidRPr="00401DFF">
        <w:rPr>
          <w:rFonts w:ascii="Times New Roman" w:eastAsia="Times New Roman" w:hAnsi="Times New Roman" w:cs="Times New Roman"/>
          <w:i/>
          <w:iCs/>
          <w:sz w:val="24"/>
          <w:szCs w:val="24"/>
          <w:lang w:eastAsia="es-CO"/>
        </w:rPr>
        <w:t xml:space="preserve">Instrumentos Financieros: Presentación </w:t>
      </w:r>
      <w:r w:rsidRPr="00401DFF">
        <w:rPr>
          <w:rFonts w:ascii="Times New Roman" w:eastAsia="Times New Roman" w:hAnsi="Times New Roman" w:cs="Times New Roman"/>
          <w:sz w:val="24"/>
          <w:szCs w:val="24"/>
          <w:lang w:eastAsia="es-CO"/>
        </w:rPr>
        <w:t xml:space="preserve">se utilizan en esta Norma con el significado recogido en el párrafo 11 de la NIC 32, a menos que se indique otra cosa. La NIC 32 define instrumento financiero, activo financiero, pasivo financiero e instrumento de patrimonio, y proporciona guías para aplicar tales definiciones.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define el valor razonable y establece los requerimientos para aplicar esa definición.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por acción básicas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Una entidad calculará el importe de las ganancias por acción básicas correspondientes al resultado del periodo atribuible a los tenedores de instrumentos ordinarios de patrimonio de la controladora y, si el importe se ha presentado en los estados financieros, al resultado del periodo de las operaciones continuadas atribuibles a dichos tenedores de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Las ganancias por acción básicas se calcularán dividiendo el resultado del periodo atribuible a los tenedores de instrumentos ordinarios de patrimonio de la controladora (el numerador) entre el promedio ponderado de acciones ordinarias en circulación (el denominador)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Las ganancias por acción básicas tienen por objetivo proporcionar una medida de la participación de cada acción ordinaria de la controladora en el rendimiento que dicha entidad ha tenido en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Para calcular las ganancias por acción básicas, los importes atribuibles a los tenedores de instrumentos ordinarios de patrimonio de la controladora con respecto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el resultado del periodo de las actividades continuadas atribuible a la controladora;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resultado del periodo atribuible a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serán los importes recogidos en (a) y (b) ajustados por los importes después de impuestos de los dividendos preferentes, las diferencias que resulten de la cancelación de acciones preferentes y otros efectos similares provocados por las acciones preferentes clasificadas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Todas las partidas de ingresos y gastos atribuibles a los tenedores de instrumentos ordinarios de patrimonio de la controladora que se reconozcan en un periodo, incluyendo el gasto por impuestos y los dividendos sobre acciones preferentes clasificadas como pasivos, se incluirán en la determinación del resultado del periodo atribuible a los tenedores de instrumentos ordinarios de patrimonio de la controladora (véase la NIC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El importe después de impuestos de los dividendos preferentes que se restan del resultado del periodo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después de impuestos de cualquier dividendo preferente de acciones preferentes no acumulativas reconocido en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después de impuestos de los dividendos preferentes de acciones preferentes acumulativas correspondientes al periodo, tanto si los dividendos han sido acordados como si no lo han sido. El importe de los dividendos preferentes del periodo no incluirá el importe de cualquier dividendo preferido de acciones preferentes acumulativas pagado o acordado durante el periodo pero que corresponda a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Las acciones preferentes que proporcionan un dividendo inicial reducido para compensar a la entidad por la colocación de las acciones preferentes con un descuento, o un dividendo por encima del de mercado en periodos posteriores con el objetivo de compensar a los inversionistas es por la compra de acciones preferentes con prima, se denominan habitualmente acciones preferentes de tipo creciente. Cualquier emisión original con descuento o prima sobre acciones preferentes de tipo creciente se amortizará contra las ganancias acumuladas utilizando el método del interés efectivo, y se tratará como un dividendo preferido a efectos del cálculo de las 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Las acciones preferentes pueden ser recompradas a sus tenedores mediante una oferta pública de compra de acciones. El exceso del valor razonable de la cantidad pagada a los accionistas preferentes sobre el importe en libros de las acciones preferentes, representa un rendimiento para los tenedores de las acciones preferentes y un cargo a las ganancias acumuladas de la entidad. Esta cantidad se deduce al calcular el resultado del periodo atribuible a los tenedores de instrumentos ordinarios de patrimonio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17 La conversión anticipada de acciones preferentes convertibles podría ser inducida por la entidad a través de canjes más ventajosos que los términos de la conversión original, o </w:t>
      </w:r>
      <w:r w:rsidRPr="00401DFF">
        <w:rPr>
          <w:rFonts w:ascii="Times New Roman" w:eastAsia="Times New Roman" w:hAnsi="Times New Roman" w:cs="Times New Roman"/>
          <w:sz w:val="24"/>
          <w:szCs w:val="24"/>
          <w:lang w:eastAsia="es-CO"/>
        </w:rPr>
        <w:lastRenderedPageBreak/>
        <w:t>mediante el pago de importes adicionales. El exceso del valor razonable de las acciones ordinarias u otro importe pagado sobre el valor razonable de las acciones ordinarias susceptibles de emisión de acuerdo con las condiciones iniciales de conversión, es un rendimiento obtenido por los accionistas preferentes, y se deduce para el cálculo del resultado del periodo atribuible a los tenedores de instrumentos ordinarios de patrimonio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Cualquier exceso del importe en libros de las acciones preferentes sobre el valor razonable del importe pagado para su cancelación, se añade para el cálculo del resultado del periodo atribuible a los tenedores de instrumentos ordinarios de patrimonio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Para calcular las ganancias por acción básicas, el número de acciones ordinarias será el promedio ponderado de las acciones ordinarias en circulación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A través de la aplicación del promedio ponderado de las acciones ordinarias en circulación durante el periodo, se reflejará la posibilidad de que la cifra de capital atribuida a los accionistas haya variado a lo largo del mismo, como consecuencia de que, en algún momento, el número de acciones en circulación haya sido superior o inferior. El promedio ponderado de las acciones ordinarias en circulación durante el periodo será el número de acciones ordinarias en circulación al principio del periodo, ajustado por el número de acciones ordinarias retiradas o emitidas en el transcurso del mismo, ponderado por un factor que tenga en cuenta el tiempo que las acciones hayan estado retiradas o emitidas. Este factor temporal será el número de días que las acciones hayan estado en circulación, calculado como proporción del número total de días del periodo, si bien en determinadas circunstancias puede resultar adecuado utilizar una aproximación razonable del promedio ponderado.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Las acciones, normalmente, se incluirán en el promedio ponderado desde el momento en que la aportación sea efectivamente exigible (que generalmente coincidirá con la fecha de su emisión),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acciones ordinarias con desembolso en efectivo, se incluirán cuando el efectivo sea exigible;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acciones ordinarias emitidas por la reinversión voluntaria de dividendos procedentes de acciones ordinarias o preferentes, se incluirán en el momento del acuerdo de reinversión de dichos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acciones ordinarias emitidas como resultado de la conversión de un instrumento de pasivo en acciones ordinarias, se incluirán desde el momento en que cese la acumulación (o el devengo) del interés asociado a la deuda;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las acciones ordinarias emitidas a cambio del interés o del principal de otros instrumentos financieros, se incluirán desde el momento en que cese la acumulación (o el devengo) del interés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acciones ordinarias emitidas para la cancelación de una deuda de la entidad, se incluirán desde la fecha de cancelación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las acciones ordinarias emitidas como contrapartida en la adquisición de un activo distinto del efectivo, se incluirán desde el momento en que se contabilice la adquisición;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las acciones ordinarias emitidas a cambio de la prestación de servicios a la entidad, se incluirán a medida que dichos servicios sean prestados.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fecha de la inclusión de las acciones ordinarias se determinará en función de los plazos y condiciones específicas de su emisión. Además, se tendrán en cuenta las condiciones sustanciales de cualquier contrato asociado a la emisión.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Las acciones ordinarias emitidas como parte de la contraprestación transferida en una combinación de negocios se incluirán en el número promedio ponderado de acciones desde la fecha de la adquisición. Esto se debe a que la adquirente incorpora en su estado del resultado integral los resultados de la adquirida desde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Se incluirán en el cálculo de las ganancias por acción básicas las acciones ordinarias que vayan a ser emitidas para la conversión de un instrumento obligatoriamente convertible, desde la fecha en la que el contrato sea suscrito.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Las acciones de emisión condicionada se tratarán como acciones en circulación y se incluirán en el cálculo de las ganancias por acción básicas sólo desde la fecha en la que se cumplan todas las condiciones necesarias (es decir, que los eventos hayan tenido lugar). Las acciones cuya emisión dependa sólo del paso del tiempo no serán acciones de emisión condicionada, porque el transcurso del tiempo constituye una certeza. Las acciones ordinarias en circulación que tienen reembolso condicionado (es decir sujetas a rescate) no se tratarán como en circulación y se excluirán del cálculo de las ganancias por acción básicas hasta la fecha en que las acciones dejen de estar sujetas a rescate.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El promedio ponderado de acciones ordinarias en circulación durante el periodo y durante todos los periodos para los que se informa, se ajustará por los hechos, distintos de la conversión de acciones ordinarias potenciales, que hayan modificado el número de acciones ordinarias en circulación sin llevar aparejado un cambio en los recursos.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Las acciones ordinarias podrán ser emitidas, o el número de acciones ordinarias en circulación podrá reducirse, sin que simultáneamente tenga lugar un cambio en los recursos. Algunos ejemplos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una capitalización de ganancias o una emisión gratuita (conocida en algunos países como dividendo en forma de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bonificación en cualquier otra emisión, por ejemplo una rebaja en el precio de emisión de derechos de suscripción para los accionistas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desdoblamiento de acciones;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desdoblamiento inverso de acciones (agrupación de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En una capitalización de beneficios o una emisión gratuita, así como en un desdoblamiento de acciones, se ofrecen acciones ordinarias a los accionistas actuales sin exigir contraprestación alguna. Por tanto, el número de acciones ordinarias en circulación aumentará sin que haya un incremento en los recursos. El número de acciones ordinarias en circulación, antes de la operación en cuestión, se ajustará por el cambio proporcional en el número de acciones ordinarias en circulación, como si la citada operación hubiera ocurrido al principio del primer periodo sobre el que se presente información financiera. Por ejemplo, en una emisión gratuita en la proporción de dos nuevas por cada acción antigua, el número de acciones ordinarias en circulación antes de la emisión se multiplicará por tres para obtener el nuevo número total de acciones ordinarias, o por dos para obtener el número adicional de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Una agrupación de acciones ordinarias generalmente disminuirá el número de acciones ordinarias en circulación, sin que lleve aparejada una reducción de los recursos. Sin embargo, cuando el efecto global sea una recompra de acciones a su valor razonable, la reducción en el número de acciones ordinarias en circulación será el resultado de la correspondiente reducción de recursos. Un ejemplo es una agrupación de acciones asociada con un dividendo especial. El promedio ponderado de acciones ordinarias en circulación, en el periodo en el que la transacción conjunta tenga lugar, se ajustará por la reducción en el número de acciones ordinarias desde la fecha en la que el dividendo especial sea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La entidad calculará los importes de las ganancias por acción diluidas para el resultado del periodo atribuible a los tenedores de instrumentos ordinarios de patrimonio de la controladora y, en su caso, el resultado del periodo de las actividades continuadas atribuible a dichos tenedores de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Para calcular las ganancias por acción diluidas, la entidad ajustará el resultado del periodo atribuible a los tenedores de instrumentos ordinarios de patrimonio de la controladora, y el promedio ponderado del número de acciones en circulación por todos los efectos dilusivos inherentes a las acciones ordinarias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El objetivo de las ganancias por acción diluidas es el mismo que el de las ganancias por acción básicas —dar una medida de la participación de cada acción ordinaria en el </w:t>
      </w:r>
      <w:r w:rsidRPr="00401DFF">
        <w:rPr>
          <w:rFonts w:ascii="Times New Roman" w:eastAsia="Times New Roman" w:hAnsi="Times New Roman" w:cs="Times New Roman"/>
          <w:sz w:val="24"/>
          <w:szCs w:val="24"/>
          <w:lang w:eastAsia="es-CO"/>
        </w:rPr>
        <w:lastRenderedPageBreak/>
        <w:t>desempeño de la entidad—, pero teniendo en cuenta los efectos dilusivos inherentes a las acciones ordinarias potenciales en circulación durante el periodo. Como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resultado del periodo atribuible a los tenedores de instrumentos ordinarios de patrimonio, se incrementará por el importe de los dividendos e intereses, después de impuestos, reconocidos en el periodo respecto a las acciones ordinarias potenciales con efectos dilusivos, y se ajustará por cualquier otro cambio en los ingresos y gastos que pudiera resultar de la conversión de las acciones ordinarias potenciales con efectos dilusivos;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promedio ponderado del número de acciones ordinarias en circulación se incrementará con el promedio ponderado del número de acciones ordinarias adicionales que habrían estado en circulación si se hubieran convertido todas las acciones ordinarias potenciales con efectos dilusivos.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 Para calcular las ganancias por acción diluidas, la entidad ajustará el resultado del periodo atribuible a los tenedores de instrumentos ordinarios de patrimonio de la controladora, calculado de acuerdo con el párrafo 12, por el efecto, neto de impuestos,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los dividendos, u otras partidas asociadas a las acciones ordinarias potenciales con efectos dilusivos, que se haya deducido para obtener el resultado del periodo atribuible a los tenedores de instrumentos ordinarios de patrimonio de la controladora, calculado de acuerdo con el párrafo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cualquier derecho reconocido en el periodo asociado con las acciones ordinarias potenciales con efectos dilusivos;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cualquier otro cambio en los ingresos o gastos del periodo que pudieran resultar de la conversión de las acciones ordinarias potenciales con efectos dilusivos.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Después de que las acciones ordinarias potenciales se conviertan en acciones ordinarias, las partidas identificadas en el párrafo 33(a) a (c) no volverán a aparecer. En cambio, las nuevas acciones ordinarias tendrán el derecho a participar en el resultado del periodo atribuible a los tenedores de instrumentos ordinarios de patrimonio de la controladora. Por tanto, el resultado del periodo atribuible a los tenedores de instrumentos ordinarios de patrimonio de la controladora, calculado de acuerdo con el párrafo 12, se ajustará por las partidas identificadas en el párrafo 33(a) a (c) y por el efecto impositivo asociado. Los gastos relacionados con las acciones ordinarias potenciales incluirán los costos de transacción y los descuentos contabilizados de acuerdo con el método del interés efectivo (véase el párrafo 9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según la revisión de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35 La conversión de acciones ordinarias potenciales puede inducir cambios en los ingresos o en los gastos. Por ejemplo, la reducción del gasto por intereses asociados con acciones ordinarias potenciales, y el consiguiente aumento en la ganancia o disminución en la pérdida, podría dar lugar a un incremento en los gastos asociados al plan de participación no discrecional de los empleados en las ganancias. Para calcular las ganancias por acción diluidas, el resultado del periodo atribuible a los tenedores de instrumentos ordinarios de patrimonio de la controladora, se ajustará por cualquiera de estos cambios en los ingresos 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Para calcular las ganancias por acción diluidas, el número de acciones ordinarias será el promedio ponderado de acciones ordinarias calculado según los párrafos 19 y 26, más el promedio ponderado de acciones ordinarias que resultarían emitidas en caso de convertir todas las acciones ordinarias potenciales con efectos dilusivos en acciones ordinarias. Las acciones ordinarias potenciales con efectos dilusivos se entenderá que han sido convertidas en acciones ordinarias al comienzo del periodo o, si fuera posterior, en la fecha de emisión de las acciones ordinarias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Las acciones ordinarias potenciales con efectos dilusivos se determinarán de forma independiente para cada periodo sobre el que se informe. El número de acciones ordinarias potenciales con efectos dilusivos, incluidas en el intervalo del periodo transcurrido hasta la fecha, no es igual al promedio ponderado de las acciones ordinarias potenciales con efectos dilusivos incluidas en el cómputo de cada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Las acciones ordinarias potenciales se ponderarán por el tiempo que estén en circulación. Las acciones ordinarias potenciales que sean canceladas o cuyo periodo se haya dejado prescribir durante el periodo, se incluirán en el cálculo de las ganancias por acción diluidas sólo por la parte del periodo en el que estuvieron en circulación. Las acciones ordinarias potenciales que se conviertan en acciones ordinarias durante el periodo, se incluirán en el cálculo de las ganancias por acción diluidas desde el comienzo del periodo hasta la fecha de conversión; desde la fecha de conversión, las acciones ordinarias resultantes se incluirán en el cálculo de las ganancias por acción tanto básicas como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El número de acciones ordinarias, que se emitirían por la conversión de acciones ordinarias potenciales con efectos dilusivos, se determinará en función de las condiciones de las acciones ordinarias potenciales. Cuando exista más de una base de conversión, en el cálculo se utilizará la relación de canje o precio de periodo más ventajoso para el poseedor de las acciones ordinarias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40 Una subsidiaria, negocio conjunto o asociada podría emitir para terceros distintos de la controladora o inversores con control conjunto de la participada o influencia significativa sobre ésta, acciones ordinarias potenciales que sean convertibles en acciones ordinarias de la subsidiaria, del negocio conjunto o de la asociada, o en acciones ordinarias de la controladora o inversores con control conjunto de la participada o influencia significativa sobre ésta (la entidad que informa). Si estas acciones ordinarias potenciales de la </w:t>
      </w:r>
      <w:r w:rsidRPr="00401DFF">
        <w:rPr>
          <w:rFonts w:ascii="Times New Roman" w:eastAsia="Times New Roman" w:hAnsi="Times New Roman" w:cs="Times New Roman"/>
          <w:sz w:val="24"/>
          <w:szCs w:val="24"/>
          <w:lang w:eastAsia="es-CO"/>
        </w:rPr>
        <w:lastRenderedPageBreak/>
        <w:t>subsidiaria, del negocio conjunto o de la asociada tuvieran un efecto dilusivo sobre las ganancias por acción básicas de la entidad que presenta los estados financieros, se incluirán en el cálculo de las 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 ordinarias potenciales con efectos dilusivos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 Las acciones ordinarias potenciales se tratarán como dilusivas cuando, y sólo cuando, su conversión en acciones ordinarias podría reducir las ganancias por acción o incrementar las pérdidas por acción de las actividades que continúan.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entidad utilizará el resultado del periodo por actividades que continúan, atribuible a la controladora como la cifra de control para determinar si las acciones ordinarias potenciales son dilusivas o antidilusivas. El resultado del periodo de las actividades que continúan atribuibles a la controladora se ajustará de acuerdo con el párrafo 12, y excluirá las partidas asociadas a las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Las acciones ordinarias potenciales serán antidilusivas cuando su conversión en acciones ordinarias podría dar lugar a un incremento en las ganancias por acción o una disminución de las pérdidas por acción de las actividades que continúan. El cálculo de las ganancias por acción diluidas no supone la conversión, el ejercicio, u otra emisión de acciones ordinarias potenciales que pudieran tener un efecto antidilusivo en las 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Para determinar si las acciones ordinarias potenciales son dilusivas o antidilusivas, cada emisión o cada serie de acciones ordinarias potenciales se considerará independiente del resto. El orden en el que se consideren las acciones ordinarias potenciales puede afectar a su calificación como dilusivas o no. Por ello, para maximizar la dilución de las ganancias por acción básicas, cada emisión o serie de acciones ordinarias potenciales se considerará por orden, desde la más dilusiva a la menos dilusiva, esto es, las acciones ordinarias potenciales con efectos dilusivos con la menor “ganancia por acción adicional” se incluirán en el cálculo de las ganancias por acción con efectos dilusivos antes que las que tengan una mayor ganancia por acción adicional. Las opciones y certificados para compra de acciones (warrants) generalmente se incluirán primero, puesto que no afectan al numerador en el cálculo.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Opciones, certificados de opciones para compra de acciones (warrants) y sus equivalentes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 Para calcular las ganancias por acción diluidas, la entidad supondrá que se ejercitan las opciones y certificados para compra de acciones (warrants) con efectos dilusivos de la entidad. Se considerará que los supuestos importes recibidos de estos instrumentos, al proceder a la emisión de acciones ordinarias, son iguales al precio promedio de mercado de las mismas durante el periodo. La diferencia entre el número de acciones ordinarias emitidas y el número de acciones ordinarias, que habrían sido emitidas al precio promedio de mercado de las acciones ordinarias durante el periodo, se tratará como una emisión de acciones ordinarias a título gratuito.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46 Las opciones y los certificados para compra de acciones (warrants) tienen efectos dilusivos cuando de ellos se deriva la emisión de acciones ordinarias por un importe menor que el precio promedio de mercado de las acciones ordinarias durante el periodo. El importe de la dilución es el precio promedio de mercado de las acciones ordinarias durante el periodo menos el precio de emisión. Por ello, para calcular las ganancias por acción diluidas, las acciones ordinarias potenciales se tratarán como si estuvieran integradas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contrato para emitir un determinado número de acciones ordinarias a su precio promedio de mercado durante el periodo. Dichas acciones ordinarias se presume que están valoradas razonablemente y no tienen efectos dilusivos ni antidilusivos. Se ignorarán en el cálculo de las 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contrato para emitir las restantes acciones ordinarias a título gratuito. Dichas acciones ordinarias no generan ningún ingreso y no tienen efecto alguno en el resultado del periodo atribuible a las acciones ordinarias en circulación. Por tanto, dichas acciones tienen efectos dilusivos y se añadirán al número de acciones ordinarias en circulación para calcular las 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Las opciones y los certificados para compra de acciones (warrants) tendrán efectos dilusivos sólo cuando el precio promedio de mercado de las acciones ordinarias, durante el periodo, exceda del precio de ejercicio de las opciones o de los certificados para compra de acciones (es decir, tienen precio de ejercicio favorable o valor intrínseco positivo). Las ganancias por acción presentadas en periodos previos no se ajustarán retroactivamente para reflejar los cambios en el precio de las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47A Para las opciones sobre acciones y otros acuerdos de pagos basados en acciones a los que se aplica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xml:space="preserve"> el precio de emisión al que se refiere el párrafo 46, así como el precio de ejercicio al que se refiere el párrafo 47, incluirán el valor razonable (medidos de acuerdo con la NIIF 2) de los bienes o servicios que serán suministrados a la entidad en el futuro, en virtud del acuerdo de opciones sobre acciones u otro acuerdo de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Para calcular las ganancias por acción diluidas, se tratarán como opciones a las concedidas a los empleados para compra de acciones, con plazos fijos o determinables y también a las acciones ordinarias que son revocables por estar sujetas a condiciones aún no cumplidas. Se las tratará como si estuviesen en circulación a la fecha en que se conceden. Las opciones concedidas a los empleados para compra de acciones que se basan en ciertos requisitos de desempeño se tratarán como acciones de emisión condicionada, porque su emisión está condicionada al transcurso del tiempo y a que se cumplan las condiciones especificadas.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Instrumentos convertibles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El efecto dilusivo de los instrumentos convertibles se reflejará en las ganancias por acción diluidas de acuerdo con los párrafos 33 y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50 Las acciones preferentes convertibles tendrán efectos antidilusivos cuando el importe de los dividendos sobre dichas acciones, declarados en el periodo en curso o acumulados para el mismo, por acción ordinaria que se obtendría de la conversión, sobrepase las ganancias por acción básicas. De la misma forma, la deuda convertible tendrá efectos antidilusivos cuando el interés (neto de impuestos y otros cambios en los ingresos o los gastos) por acción ordinaria que se obtendría en la conversión sea superior a las ganancias por acción básicas.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La depreciación o conversión inducida de acciones preferentes convertibles, podría afectar sólo a una parte de las acciones preferentes convertibles previamente en circulación. En estos casos, cualquier desembolso adicional al que se refiere el párrafo 17, se atribuirá a aquellas acciones que sean amortizadas o convertidas para determinar si las restantes acciones preferentes en circulación tienen efectos dilusivos. Las acciones amortizadas o convertidas se consideran independientemente de aquellas otras que no sean amortizadas o convertidas.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Acciones de emisión condicionada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Para calcular las ganancias por acción básicas, las acciones ordinarias de emisión condicionada se tratarán como si estuviesen en circulación, y se incluirán en el cálculo de las ganancias por acción diluidas si se cumplen las condiciones (es decir, si los hechos han tenido lugar). Las acciones de emisión condicionada se incluirán desde el comienzo del periodo (o desde la fecha del acuerdo de emisión condicionada, si fuera posterior). Si las condiciones no se cumplieran, el número de acciones de emisión condicionada, incluidas en el cálculo de las ganancias por acción diluidas, se basará en el número de acciones que se emitirían si el final del periodo coincidiera con el final del periodo para el cumplimiento de las condiciones. No está permitida la reexpresión en el caso de que no se hayan cumplido las condiciones, una vez que haya transcurrido el periodo establecido para la emisión condicionada.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Si la condición para la emisión de acciones condicionada es alcanzar o mantener un determinado importe de ganancias en el periodo, y dicho importe se ha alcanzado al cierre del periodo sobre el que se informa, pero debe mantenerse durante algún periodo de tiempo adicional, las acciones ordinarias adicionales se tratarán como si estuviesen en circulación para calcular las ganancias por acción diluidas, siempre que el efecto sea dilusivo. En ese caso, el cálculo de las ganancias por acción diluidas se basará en el número de acciones ordinarias que habrían sido emitidas si el importe de las ganancias, al cierre del periodo sobre el que se informa, fuera el importe de las ganancias al final del periodo establecido para el cumplimiento de la condición. Como las ganancias pueden cambiar en un periodo futuro, el cálculo de las ganancias por acción básicas no incluirá dichas acciones ordinarias de emisión condicionada hasta el final del periodo establecido para el cumplimiento de la condición, puesto que hasta entonces no se habrán cumplido todas las condiciones necesarias.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54 El número de acciones ordinarias de emisión condicionada puede depender del precio futuro de mercado de las acciones ordinarias. En ese caso, si el efecto es dilusivo, el cálculo de las ganancias por acción diluidas se basará en el número de acciones ordinarias que </w:t>
      </w:r>
      <w:r w:rsidRPr="00401DFF">
        <w:rPr>
          <w:rFonts w:ascii="Times New Roman" w:eastAsia="Times New Roman" w:hAnsi="Times New Roman" w:cs="Times New Roman"/>
          <w:sz w:val="24"/>
          <w:szCs w:val="24"/>
          <w:lang w:eastAsia="es-CO"/>
        </w:rPr>
        <w:lastRenderedPageBreak/>
        <w:t>serían emitidas si el precio de mercado, al cierre del periodo sobre el que se informa, fuese el precio de mercado al final del plazo previsto para el cumplimiento de la condición. Si la condición se basase en un promedio de precios de mercado a lo largo de un periodo de tiempo que se extiende más allá del final del periodo sobre el que se informa, se utilizará el promedio del plazo ya transcurrido. Como el precio de mercado puede cambiar en periodos futuros, el cálculo de las ganancias por acción básicas no incluirá esas acciones ordinarias de emisión condicionada hasta el final del periodo previsto para el cumplimiento de la condición, puesto que hasta entonces no se habrán cumplido todas las condiciones necesarias.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El número de acciones ordinarias de emisión condicionada podría depender de ganancias futuras y de precios futuros de las acciones ordinarias. En ese caso, el número de acciones ordinarias incluido en el cálculo de las ganancias por acción diluidas se basará en ambas condiciones (es decir, las ganancias hasta la fecha y el precio de mercado actual al cierre del periodo sobre el que se informa). Las acciones ordinarias de emisión condicionada no se incluirán en el cálculo de las ganancias por acción diluidas a menos que se cumplan ambas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En otros casos, el número de acciones ordinarias de emisión condicionada dependerá de una condición distinta de las ganancias o del precio de mercado (por ejemplo, la apertura de un determinado número de comercios al por menor). En esos casos, suponiendo que la situación actual de la condición se mantendrá hasta el final del plazo previsto para el cumplimiento de la condición, las acciones ordinarias de emisión condicionada se incluirán en el cálculo de las ganancias por acción diluidas de acuerdo con la situación existente al cierre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Las acciones ordinarias potenciales de emisión condicionada (distintas de las cubiertas por los acuerdos condicionados de emisión de acciones, tales como instrumentos convertibles de emisión condicionada) se incluirán en el cálculo de las ganancias por acción diluidas del siguiente modo: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determinará si puede suponer que las acciones ordinarias potenciales serán emitidas, de acuerdo con las condiciones previstas para su emisión, con arreglo a lo previsto en los párrafos 52 a 56 para las acciones ordinarias condicionadas;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esas acciones ordinarias potenciales deben reflejarse en las ganancias por acción diluidas, la entidad determinará su repercusión en el cálculo de las ganancias por acción diluidas siguiendo lo previsto en los párrafos 45 a 48 para las opciones y los certificados para compra de acciones (warrants), lo previsto para los instrumentos convertibles en los párrafos 49 a 51, lo previsto en los párrafos 58 a 61 para contratos que puedan ser cancelados en acciones o mediante efectivo, u otros tratamientos previstos que sean apropiados para cada caso en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Sin embargo, no se presumirá el ejercicio o la conversión, para el cálculo de las ganancias por acción diluidas, a menos que también se asuma el ejercicio o la conversión de acciones ordinarias potenciales en circulación similares que no sean de emisión condicionada.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Contratos que pueden ser liquidados en acciones ordinarias o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58 Cuando una entidad haya suscrito un contrato que pueda ser liquidado en acciones ordinarias o en efectivo, a elección de la entidad, ésta presumirá que el contrato será liquidado en acciones ordinarias, y las acciones ordinarias potenciales resultantes se incluirán en las ganancias por acción diluidas siempre que tengan efecto dilusivo.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Cuando dicho contrato se presente para su contabilización como un activo o un pasivo, o tenga un componente de patrimonio y un componente de pasivo, la entidad ajustará el numerador por los cambios en el resultado del periodo que se habrían generado durante el periodo si el contrato se hubiera clasificado íntegramente como un instrumento de patrimonio. Este ajuste es similar a los ajustes exigidos en el párrafo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60 A efectos del cálculo de las ganancias por acción diluidas, para los contratos que puedan liquidarse, a elección del tenedor, en acciones ordinarias o en efectivo, se empleará la forma de liquidación que tenga un mayor efecto dilusivo de las 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Un ejemplo de un contrato que puede ser liquidado en acciones ordinarias o en efectivo es un instrumento de pasivo que, al vencimiento, otorgue a la entidad un derecho irrevocable a liquidar el importe principal en efectivo o con sus propias acciones ordinarias. Otro ejemplo es una opción de venta emitida que da al poseedor la opción de liquidarla en acciones ordinarias o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Opciones compradas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Los contratos, como las opciones adquiridas de compra y las opciones adquiridas de venta (es decir, opciones mantenidas por la entidad sobre sus propias acciones ordinarias) no se incluirán en el cálculo de las ganancias por acción diluidas porque su inclusión tendría efectos antidilusivos. La opción de venta sólo sería ejercitada si el precio de ejercicio fuera mayor que el precio de mercado y, de la misma forma, la opción de compra sólo sería ejercitada si el precio de ejercicio fuera menor que el precio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Opciones de venta emitidas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Los contratos que exigen que la entidad recompre sus propias acciones, tales como opciones de venta emitidas y contratos de compra a término, se reflejarán en el cálculo de las ganancias por acción diluidas siempre que tengan efectos dilusivos. Si estos contratos tienen un valor intrínseco positivo a lo largo del periodo (es decir, el precio de ejercicio o de liquidación ha sido superior al precio promedio de mercado para ese periodo), el potencial efecto dilusivo sobre las ganancias por acción se calculará del siguiente modo: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 supondrá que al comienzo del periodo se emitirán suficientes acciones ordinarias (al precio promedio de mercado durante el periodo) para alcanzar los importes necesarios para satisfacer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se supondrá que los importes obtenidos de la emisión se emplearán para satisfacer el contrato (es decir, para recomprar acciones ordinarias);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acciones ordinarias adicionales (la diferencia entre el número de acciones ordinarias supuestamente emitidas y el número de acciones ordinarias recibidas del cumplimiento del contrato) se incluirán en el cálculo de las 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Ajustes retroactivos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64 Si el número de acciones ordinarias o de acciones potenciales ordinarias en circulación se incrementase como consecuencia de una capitalización de ganancias, una emisión gratuita o un desdoblamiento de acciones, o disminuyese como consecuencia de una agrupación de acciones, el cálculo de las ganancias por acción básicas y diluidas para todos los periodos presentados deberá ajustarse retroactivamente. Si estos cambios se produjeran después de la fecha del periodo sobre el que se informa pero antes de la formulación de los estados financieros, los cálculos por acción correspondientes a todos los periodos para los que se presente información deberán basarse en el nuevo número de acciones. Deberá revelarse el hecho de que los cálculos por acción reflejan tales cambios en el número de acciones. Además, las ganancias por acción básicas y diluidas de todos los periodos sobre los que se presente información, deberán ajustarse por los efectos de errores y ajustes derivados de cambios en las políticas contables, contabilizadas retroactivamente.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La entidad no reexpresará las ganancias por acción diluidas de los periodos anteriores a aquellos de los que se informa como consecuencia de cambios en las estimaciones empleadas en el cálculo de las ganancias por acción, ni como consecuencia de la conversión de acciones ordinarias potenciales en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66 La entidad presentará en el estado del resultado integral, las ganancias por acción, básicas y diluidas, para el resultado del periodo proveniente de las actividades que continúan atribuible a los tenedores de instrumentos ordinarios de patrimonio de la controladora, así como para el resultado del periodo atribuible a los tenedores de instrumentos ordinarios de patrimonio de la controladora durante el periodo, para cada clase de acciones ordinarias que tenga diferentes derechos sobre el reparto de las ganancias del periodo. La entidad presentará las cifras de ganancias por acción, básicas o diluidas, con el mismo detalle para todos los periodos sobre los que presente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Las ganancias por acción se presentarán para cada periodo para el que se presente un estado del resultado integral. Si las ganancias por acción diluidas se presentan al menos para un periodo, se presentarán para todos los periodos sobre los que se informe, incluso si coinciden con el importe de las ganancias por acción básicas. Si las ganancias por acción básica y diluida son iguales, la doble presentación puede llevarse a cabo en una sola línea del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67A Si una entidad presenta las partidas del resultado del periodo en un estado separado, según se describe en el párrafo 10A de la NIC 1 (revisada en 2011), presentará las ganancias por acción básicas y diluidas, tal como se requiere en los párrafos 66 y 67, en ese estado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68 La entidad que presente información acerca de una operación discontinuada, revelará los importes por acción básicos y diluidos correspondientes a dicha actividad, ya sea en el estado del resultado integral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68A Si una entidad presenta las partidas del resultado en un estado separado, según se describe en el párrafo 10A de la NIC 1 (revisada en 2011), presentará las ganancias por acción básicas y diluidas por la operación discontinuada, tal como se requiere en el párrafo 68, en ese estado separado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69 La entidad presentará las ganancias por acción básicas y diluidas, aún en el caso de que los importes fueran negativos (es decir, que se trate de pérdidas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70 La entidad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importes empleados como numeradores en el cálculo de las ganancias por acción básicas y diluidas, y una conciliación de dichos importes con el resultado del periodo atribuible a la controladora durante el periodo. La conciliación incluirá el efecto individual de cada clase de instrumentos que afecte a las 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promedio ponderado del número de acciones ordinarias utilizadas en el denominador para el cálculo de las ganancias por acción básicas y diluidas, y una conciliación de los denominadores entre sí. La conciliación incluirá el efecto individual de cada clase de instrumentos que afecte a las 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instrumentos (incluyendo las acciones de emisión condicionada) que podrían potencialmente diluir las ganancias por acción básicas en el futuro, pero que no han sido incluidos en el cálculo de las ganancias por acción diluidas porque tienen efectos antidilusivos en el periodo o periodos sobre los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Una descripción de las transacciones con acciones ordinarias o con acciones ordinarias potenciales, distintas de las registradas de acuerdo con el párrafo 64, que tienen lugar después del periodo sobre el que se informa y que habrían modificado significativamente el número de acciones ordinarias o acciones ordinarias potenciales en circulación al final del periodo si esas transacciones hubieran tenido lugar antes del cierre del periodo sobre el que se presenta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Entre los ejemplos de las transacciones referidas en el apartado (d) del párrafo 70 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emisión de acciones con desembolso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emisión de acciones cuando las aportaciones sirven para amortizar deuda o acciones preferentes en circulación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rescate de acciones ordinarias en circulación;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conversión o el ejercicio de acciones ordinarias potenciales que se encuentren en circulación al final del periodo sobre el que se informa en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la emisión de opciones, certificados para compra de acciones </w:t>
      </w:r>
      <w:r w:rsidRPr="00401DFF">
        <w:rPr>
          <w:rFonts w:ascii="Times New Roman" w:eastAsia="Times New Roman" w:hAnsi="Times New Roman" w:cs="Times New Roman"/>
          <w:i/>
          <w:iCs/>
          <w:sz w:val="24"/>
          <w:szCs w:val="24"/>
          <w:lang w:eastAsia="es-CO"/>
        </w:rPr>
        <w:t>(warrants),</w:t>
      </w:r>
      <w:r w:rsidRPr="00401DFF">
        <w:rPr>
          <w:rFonts w:ascii="Times New Roman" w:eastAsia="Times New Roman" w:hAnsi="Times New Roman" w:cs="Times New Roman"/>
          <w:sz w:val="24"/>
          <w:szCs w:val="24"/>
          <w:lang w:eastAsia="es-CO"/>
        </w:rPr>
        <w:t xml:space="preserve"> o instrumentos convertibles;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el cumplimiento de condiciones que resultaría en la emisión de acciones de emisión condicionada.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importes de las ganancias por acción no se ajustarán por dichas transacciones ocurridas después del periodo sobre el que se informa, puesto que éstas no afectan al importe del capital utilizado para obtener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72 Los instrumentos financieros y otros contratos que dan lugar a acciones ordinarias potenciales, pueden incluir plazos y condiciones que afectan a la medición de las ganancias por acción básica y diluida. Estos plazos y condiciones pueden determinar si las acciones ordinarias potenciales tienen efectos dilusivos y, en ese caso, el efecto inducido sobre el promedio ponderado de acciones en circulación, así como en los ajustes consiguientes en el resultado del periodo atribuible a los tenedores de instrumentos ordinarios de patrimonio. Si no se exige otra información adicional (véase la NIIF 7 </w:t>
      </w:r>
      <w:r w:rsidRPr="00401DFF">
        <w:rPr>
          <w:rFonts w:ascii="Times New Roman" w:eastAsia="Times New Roman" w:hAnsi="Times New Roman" w:cs="Times New Roman"/>
          <w:i/>
          <w:iCs/>
          <w:sz w:val="24"/>
          <w:szCs w:val="24"/>
          <w:lang w:eastAsia="es-CO"/>
        </w:rPr>
        <w:t>Instrumentos Financieros: Información a Revelar),</w:t>
      </w:r>
      <w:r w:rsidRPr="00401DFF">
        <w:rPr>
          <w:rFonts w:ascii="Times New Roman" w:eastAsia="Times New Roman" w:hAnsi="Times New Roman" w:cs="Times New Roman"/>
          <w:sz w:val="24"/>
          <w:szCs w:val="24"/>
          <w:lang w:eastAsia="es-CO"/>
        </w:rPr>
        <w:t xml:space="preserve"> es aconsejable que se indiquen los plazos y condiciones de dichos instrumentos financieros y otros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73 Si la entidad revelase, además de las ganancias por acción básicas y diluidas, importes por acción utilizando algún componente del estado del resultado integral distinto del requerido por esta Norma, dichos importes se calcularán utilizando el promedio ponderado de acciones ordinarias determinado de acuerdo con esta Norma. Los importes básico y diluido por acción asociados a dicho componente se revelarán con los mismos detalles, y se presentarán en las notas. La entidad indicará las bases utilizadas para el cálculo del numerador o numeradores, indicando si los importes por acción son antes o después de impuestos. Si se utilizara un componente del estado del resultado integral que no se corresponda con una partida concreta de este estado del resultado integral, se facilitará una conciliación entre el componente utilizado y la partida concreta del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73A El párrafo 73 se aplicará también a una entidad que revele, además de las ganancias por acción básicas y diluidas, los importes por acción utilizando una partida presentada en el resultado del periodo distinta de la requerida por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Una entidad aplicará esta Norma para los periodos anuales que comiencen a partir del 1 de enero de 2005. Se aconseja su aplicación anticipada. Si alguna entidad aplicase esta Norma para un periodo que comenzase antes del 1 de enero de 2005, indicará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74A La NIC 1 (revisada en 2007) modificó la terminología utilizada en las NIIF. Además añadió los párrafos 4A, 67A, 68A y 73A.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74B Las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el párrafo 4, 40 y A11.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74C La NIIF 13, emitida en mayo de 2011, modificó el párrafo 8, 47A y A2.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74D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los párrafos 4A, 67A, 68A y 73A.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75 Esta Norma deroga la NIC 33 </w:t>
      </w:r>
      <w:r w:rsidRPr="00401DFF">
        <w:rPr>
          <w:rFonts w:ascii="Times New Roman" w:eastAsia="Times New Roman" w:hAnsi="Times New Roman" w:cs="Times New Roman"/>
          <w:i/>
          <w:iCs/>
          <w:sz w:val="24"/>
          <w:szCs w:val="24"/>
          <w:lang w:eastAsia="es-CO"/>
        </w:rPr>
        <w:t xml:space="preserve">Ganancias por Acción </w:t>
      </w:r>
      <w:r w:rsidRPr="00401DFF">
        <w:rPr>
          <w:rFonts w:ascii="Times New Roman" w:eastAsia="Times New Roman" w:hAnsi="Times New Roman" w:cs="Times New Roman"/>
          <w:sz w:val="24"/>
          <w:szCs w:val="24"/>
          <w:lang w:eastAsia="es-CO"/>
        </w:rPr>
        <w:t>(emitida en 1997).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76 Esta Norma deroga la SIC-24 </w:t>
      </w:r>
      <w:r w:rsidRPr="00401DFF">
        <w:rPr>
          <w:rFonts w:ascii="Times New Roman" w:eastAsia="Times New Roman" w:hAnsi="Times New Roman" w:cs="Times New Roman"/>
          <w:i/>
          <w:iCs/>
          <w:sz w:val="24"/>
          <w:szCs w:val="24"/>
          <w:lang w:eastAsia="es-CO"/>
        </w:rPr>
        <w:t>Ganancias por Acción</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Instrumentos Financieros y Otros Contratos que Pueden ser Cancelados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Resultado del periodo atribuible a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 Para calcular las ganancias por acción basadas en los estados financieros consolidados, el resultado del periodo atribuible a la controladora se referirá al resultado del periodo de la entidad consolidada después de ser ajustado por las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Emisión de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A2 La emisión de acciones ordinarias en la fecha del ejercicio o de la conversión de acciones ordinarias potenciales no da lugar, habitualmente, a ninguna bonificación. Ello es </w:t>
      </w:r>
      <w:r w:rsidRPr="00401DFF">
        <w:rPr>
          <w:rFonts w:ascii="Times New Roman" w:eastAsia="Times New Roman" w:hAnsi="Times New Roman" w:cs="Times New Roman"/>
          <w:sz w:val="24"/>
          <w:szCs w:val="24"/>
          <w:lang w:eastAsia="es-CO"/>
        </w:rPr>
        <w:lastRenderedPageBreak/>
        <w:t>debido a que las acciones ordinarias potenciales habitualmente se emiten por su valor total, dando lugar a un cambio proporcional en los recursos disponibles para la entidad. En la emisión de derechos, en cambio, el precio de ejercicio es a menudo menor que el valor razonable de las acciones. Por tanto, como se estableció en el apartado (b) del párrafo 27, esos derechos de emisión incluyen una bonificación. Si se ofrece una emisión de derechos a todos los accionistas actuales, el número de acciones ordinarias que deberá emplearse en el cálculo de las ganancias por acción básica y diluida, para todos los periodos previos a la emisión de derechos, será el número de acciones ordinarias en circulación antes de la emisión, multiplicadas por el siguiente factor:</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928"/>
      </w:tblGrid>
      <w:tr w:rsidR="00401DFF" w:rsidRPr="00401DFF" w:rsidTr="00401DFF">
        <w:trPr>
          <w:tblCellSpacing w:w="15" w:type="dxa"/>
          <w:jc w:val="center"/>
        </w:trPr>
        <w:tc>
          <w:tcPr>
            <w:tcW w:w="898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u w:val="single"/>
                <w:lang w:eastAsia="es-CO"/>
              </w:rPr>
              <w:t xml:space="preserve">Valor razonable por acción inmediatamente antes del ejercicio de los derechos </w:t>
            </w:r>
          </w:p>
        </w:tc>
      </w:tr>
      <w:tr w:rsidR="00401DFF" w:rsidRPr="00401DFF" w:rsidTr="00401DFF">
        <w:trPr>
          <w:tblCellSpacing w:w="15" w:type="dxa"/>
          <w:jc w:val="center"/>
        </w:trPr>
        <w:tc>
          <w:tcPr>
            <w:tcW w:w="898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razonable teórico ex-derechos por acción</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valor razonable teórico ex-derechos por acción se calcula sumando el valor razonable de las acciones inmediatamente antes del ejercicio de los derechos, al importe del ejercicio de los derechos, y dividiéndolo entre el número de acciones en circulación después del ejercicio de los derechos. Cuando los derechos se negocien públicamente de forma separada de las acciones antes de la fecha de ejercicio, el valor razonable se medirá al cierre del último día en el que las acciones cotizan conjuntamente con los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Número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A3 Para ilustrar la aplicación del concepto de “cifra de control” descrito en los párrafos 42 y 43, supongamos que la entidad tiene una ganancia de las actividades que continúan atribuible a la controladora de 4.800 u.m.</w:t>
      </w:r>
      <w:hyperlink r:id="rId40" w:anchor="bf1e1330ff80aab4c72984d2cc5e184adb2nf9" w:tgtFrame="_self" w:history="1">
        <w:r w:rsidRPr="00401DFF">
          <w:rPr>
            <w:rFonts w:ascii="Times New Roman" w:eastAsia="Times New Roman" w:hAnsi="Times New Roman" w:cs="Times New Roman"/>
            <w:color w:val="0000FF"/>
            <w:sz w:val="20"/>
            <w:szCs w:val="20"/>
            <w:u w:val="single"/>
            <w:vertAlign w:val="superscript"/>
            <w:lang w:eastAsia="es-CO"/>
          </w:rPr>
          <w:t>(36)</w:t>
        </w:r>
      </w:hyperlink>
      <w:r w:rsidRPr="00401DFF">
        <w:rPr>
          <w:rFonts w:ascii="Times New Roman" w:eastAsia="Times New Roman" w:hAnsi="Times New Roman" w:cs="Times New Roman"/>
          <w:sz w:val="24"/>
          <w:szCs w:val="24"/>
          <w:lang w:eastAsia="es-CO"/>
        </w:rPr>
        <w:t>, una pérdida de actividades en interrupción definitiva o discontinuadas, atribuible a la controladora de (7.200) u.m., una pérdida atribuible a la controladora de (2.400) u.m., así como 2.000 acciones ordinarias y 400 acciones ordinarias potenciales en circulación. Las ganancias por acción básicas de la entidad serán de 2,40 u.m. por las actividades que continúan, (3,60 u.m.) por las operaciones discontinuadas y (1,20 u.m.) por la pérdida del periodo. Las 400 acciones ordinarias potenciales se incluirán en el cálculo de las ganancias por acción diluidas en tanto que las ganancias por acción resultantes de 2,00 u.m. por las actividades que continúan tienen efectos dilusivos, suponiendo que las 400 acciones ordinarias potenciales no hayan tenido impacto en el resultado del periodo. Como la ganancia de las actividades que continúan atribuible a la controladora es la cifra de control, la entidad también incluirá esas 400 acciones ordinarias potenciales en el cálculo de los otros importes de las ganancias por acción, aunque los importes resultantes de las ganancias por acción tengan efectos antidilusivos con respecto a los importes que les correspondan de ganancias por acción básicas, lo que quiere decir que la pérdida por acción será menor en la versión diluida [(3,00 u.m.) por acción por la pérdida del periodo debida a las operaciones discontinuadas y (1,00 u.m.) por acción por la pérdida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Precio promedio de mercado de las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A4 Para calcular las ganancias por acción diluidas, el precio promedio de mercado al que se supone que se emitirán las acciones ordinarias se calculará sobre la base del precio </w:t>
      </w:r>
      <w:r w:rsidRPr="00401DFF">
        <w:rPr>
          <w:rFonts w:ascii="Times New Roman" w:eastAsia="Times New Roman" w:hAnsi="Times New Roman" w:cs="Times New Roman"/>
          <w:sz w:val="24"/>
          <w:szCs w:val="24"/>
          <w:lang w:eastAsia="es-CO"/>
        </w:rPr>
        <w:lastRenderedPageBreak/>
        <w:t>promedio de mercado de las acciones ordinarias durante el periodo. Teóricamente, cada transacción de mercado sobre acciones ordinarias de la entidad podría incluirse en la determinación del precio promedio de mercado. Desde un punto de vista práctico, sin embargo, un simple promedio de precios semanales o mensuales es normalmente suficiente.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A5 Generalmente, los precios de cierre de mercado son los adecuados para calcular los precios promedio. Sin embargo, cuando los precios fluctúen ampliamente, un promedio de los precios más altos y más bajos suministrará un precio más representativo. El método empleado para calcular el precio promedio de mercado deberá usarse uniformemente, a menos que deje de ser representativo a consecuencia de un cambio en las condiciones. Por ejemplo, una entidad que emplee precios de cierre de mercado para calcular el precio promedio de mercado de varios años con precios relativamente estables, podría cambiar a un promedio de los precios más altos y más bajos si los precios comenzasen a fluctuar significativamente, de forma que los precios de cierre de mercado no ofreciesen un precio promedio representativo.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Opciones, certificados de opciones para compra de acciones (warrants) y sus equivalentes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A6 A efectos de adquirir instrumentos convertibles, se supone que las opciones y los certificados de opciones para suscribir títulos (warrants) se van a ejercitar cuando los precios promedio tanto del instrumento convertible como de la acción ordinaria que se adquiere a través de la conversión, son mayores que el precio de ejercicio de las opciones o los certificados de opciones para compra de acciones (warrants). Sin embargo, no se asumirá este ejercicio a menos que también se suponga la conversión de instrumentos convertibles similares, si es que existen.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A7 Las opciones o los certificados de opciones para suscribir títulos (warrants) podrían permitir o requerir el ofrecimiento de deuda, o de otros instrumentos de la entidad (o su controladora o una subsidiaria), como pago por la totalidad o por una parte del precio de ejercicio. En el cálculo de las ganancias por acción diluidas, esas opciones o certificados de opciones para compra de acciones (warrants) tendrán efectos dilusivos si (a) el precio promedio de mercado de las acciones ordinarias asociadas excede durante el periodo el precio de ejercicio o (b) el precio de venta del instrumento que se va a ofrecer es menor que aquél al que puede ser ofrecido el instrumento, según el contrato de opción o el certificado para compra de acciones (warrant), y el descuento resultante establece un precio efectivo de ejercicio inferior al precio de mercado de las acciones ordinarias que se obtendrían al ejercitar las opciones y los warrants. Para calcular las ganancias por acción diluidas, esas opciones o certificados de opciones para compra de acciones (warrants) se suponen ejercitadas y la deuda u otros instrumentos se supone que se han ofrecido. Si el ofrecimiento de efectivo es más ventajoso para el poseedor de la opción o el warrant y el contrato permitiese ofrecer efectivo, se presumirá esto último. Los intereses (netos de impuestos) de cualquier deuda cuyo ofrecimiento se haya supuesto, se añadirán como un ajuste en el numerador.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A8 El mismo tratamiento se dará a las acciones preferentes que tengan condiciones similares o a otros instrumentos que tengan opciones de conversión, en las que se permita al inversionista pagar en efectivo para tener una tasa de conversión más favorable.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A9 Los plazos implícitos en ciertas opciones o certificados para compra de acciones (warrants), podrían exigir que las aportaciones recibidas por el ejercicio de dichos instrumentos se empleasen para amortizar deuda u otros instrumentos de la entidad (o de su controladora, o de una subsidiaria). En el cálculo de las ganancias por acción diluidas, esas opciones o certificados se supone que han sido ejercitados, y que los desembolsos obtenidos se han empleado en la adquisición de deuda a su precio promedio de mercado, en lugar de comprar acciones ordinarias. Sin embargo, el exceso de las aportaciones recibidas por el supuesto ejercicio de los títulos sobre el importe empleado en la supuesta adquisición de deuda se considerará (suponiendo que se empleado en recomprar acciones ordinarias) para el cálculo de las ganancias por acción diluidas. Los intereses (netos de impuestos) de cualquier deuda cuya compra se haya supuesto, se restan como ajustes en el numerador.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Opciones de venta emitidas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A10 Para ilustrar la aplicación del párrafo 63, puede suponerse que la entidad tiene en circulación 120 opciones de venta emitidas sobre sus acciones ordinarias con un precio de ejercicio de 35 u.m. El precio promedio de mercado de sus acciones ordinarias durante el periodo es de 28 u.m. Para calcular las ganancias por acción diluidas, la entidad supondrá que ha emitido 150 acciones a 28 u.m. por acción al comienzo del periodo, para cumplir sus obligaciones de venta por 4.200 u.m. La diferencia entre las 150 acciones ordinarias emitidas y las 120 acciones ordinarias recibidas del cumplimiento de la opción de venta (30 acciones ordinarias adicionales) se añadirá al denominador en el cálculo de las ganancias por acción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de subsidiarias, negocios conjuntos o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A11 Las acciones ordinarias potenciales de una subsidiaria, negocio conjunto o asociada convertibles en acciones ordinarias de la subsidiaria, del negocio conjunto o asociada, o en acciones ordinarias de la controladora o inversores con control conjunto de la participada o influencia significativa sobre ésta, (la entidad que informa) se incluirán en el cálculo de las ganancias por acción diluidas como se indica a continuación: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instrumentos emitidos por una subsidiaria, negocio conjunto o asociada que permitan a sus tenedores obtener acciones ordinarias de la subsidiaria, el negocio conjunto o la entidad asociada se incluirán en el cálculo de las ganancias por acción diluidas de la subsidiaria, el negocio conjunto o la entidad asociada. Esas ganancias por acción se incluirán en los cálculos de las ganancias por acción de la entidad que presenta los estados financieros basadas en la tenencia por parte de la entidad que informa, de los instrumentos de la subsidiaria, del negocio conjunto o de la entidad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instrumentos de una subsidiaria, negocio conjunto o asociada que sean convertibles en acciones ordinarias de la entidad que presenta los estados financieros, se considerarán en las acciones ordinarias potenciales de la entidad que presenta información a efectos del </w:t>
      </w:r>
      <w:r w:rsidRPr="00401DFF">
        <w:rPr>
          <w:rFonts w:ascii="Times New Roman" w:eastAsia="Times New Roman" w:hAnsi="Times New Roman" w:cs="Times New Roman"/>
          <w:sz w:val="24"/>
          <w:szCs w:val="24"/>
          <w:lang w:eastAsia="es-CO"/>
        </w:rPr>
        <w:lastRenderedPageBreak/>
        <w:t>cálculo de las ganancias por acción diluidas. Asimismo, las opciones o certificados para compra de acciones (warrants) emitidos por una subsidiaria, negocio conjunto o entidad asociada para adquirir acciones ordinarias de la entidad que presenta los estados financieros, se considerarán entre las acciones ordinarias potenciales de la entidad que presenta los estados financieros, a efectos del cálculo de las ganancias por acción diluidas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A12 Para determinar el efecto que tienen en la ganancia por acción los instrumentos convertibles en acciones ordinarias de una subsidiaria, un negocio conjunto o una entidad asociada, emitidos por la entidad que informa, se supondrá que los instrumentos se convertirán, y se ajustará el numerador (resultado del periodo atribuible a los tenedores de instrumentos ordinarios de patrimonio de la controladora), en la medida necesaria, de acuerdo con el párrafo 33. Adicionalmente a dichos ajustes, el numerador se ajustará por cualquier cambio en el resultado del periodo registrado por la entidad que informa (tales como ingresos por dividendos o ingresos por el método de la participación) que sea atribuible al incremento en el número de acciones ordinarias en circulación de la subsidiaria, de un negocio conjunto o entidad asociada como resultado de la supuesta conversión. El denominador del cálculo de las ganancias por acción diluidas no se verá afectado en tanto que el número de acciones ordinarias en circulación de la entidad que presenta los estados financieros no cambiaría por causa de la supuesta conversión.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de participación en el patrimonio y doble clase de acciones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A13 El patrimonio de algunas entidades incluye: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Instrumentos que dan derecho a participar en los dividendos junto con las acciones ordinarias según una fórmula previamente establecida (por ejemplo, dos por uno), en ocasiones con un límite superior en la cuantía de la participación (por ejemplo, hasta alcanzar, sin sobrepasarlo, un determinado importe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clase de acciones ordinarias con una tasa de dividendos diferente de la que corresponde a otra clase de acciones ordinarias, pero sin derechos prioritarios ni mayores.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A14 Al calcular las ganancias por acción diluidas, se supondrá efectuada la conversión para aquellos instrumentos descritos en el párrafo A13 que sean convertibles en acciones ordinarias, siempre que la citada conversión tuviera efectos dilusivos. Para los instrumentos que no sean convertibles en una clase de acciones ordinarias, el resultado del periodo se repartirá, entre las diferentes clases de acciones e instrumentos de patrimonio, de acuerdo con sus respectivos derechos a recibir dividendos u otros derechos de participación en las ganancias no distribuidas. Para calcular las ganancias por acción básicas y diluidas: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resultado del periodo atribuible a los tenedores de instrumentos ordinarios de patrimonio de la controladora se ajustará (esto es, se incrementará la pérdida o se reducirá la ganancia) por el importe de los dividendos acordados en el periodo para cada clase de acciones y por el importe contractual de los dividendos (o interés de las obligaciones participativas) que deba ser satisfecho en el periodo (por ejemplo, dividendos acumulativos no satisfechos).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resto del resultado del periodo se repartirá entre las acciones ordinarias y los instrumentos de patrimonio en la medida en que cada instrumento participe en las ganancias, como si todo el resultado del periodo hubiera sido distribuido. El resultado total del periodo asignado a cada clase de instrumento de patrimonio se determinará sumando el importe atribuido por dividendos y el importe atribuido por los demás derechos de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determinar las ganancias por acción de cada instrumento de patrimonio, se dividirá el importe total del resultado del periodo atribuido al mismo entre el número de instrumentos en circulación a los que son atribuibles las anteriores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calcular las ganancias por acción diluidas, se incluirán en las acciones ordinarias en circulación todas las acciones ordinarias cuya emisión se haya supuesto.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 parcialmente desembolsadas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A15 Cuando las acciones ordinarias emitidas se encuentren parcialmente desembolsadas, se tratarán en el cálculo de las ganancias por acción básicas como una fracción de una acción ordinaria, en tanto que confieran el derecho a participar en los dividendos durante el periodo en proporción a los derechos de una acción ordinaria totalmente desembolsada.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A16 En la medida en que las acciones parcialmente desembolsadas no confieran el derecho a participar en los dividendos durante el periodo, serán tratadas como equivalentes a opciones o a certificados para compra de acciones (warrants) al proceder al cálculo de las ganancias por acción diluidas. Se supondrá que el importe no desembolsado representará el importe empleado para adquirir acciones ordinarias. El número de acciones incluidas en las ganancias por acción diluidas será la diferencia entre el número de acciones suscritas y el número de acciones que supuestamente se adquirirían.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En esta guía, los importes monetarios se denominan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Financiera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esta Norma es establecer el contenido mínimo de la información financiera intermedia, así como prescribir los criterios para el reconocimiento y la medición que deben ser seguidos en los estados financieros intermedios, ya se presenten de forma completa o condensada. La información financiera intermedia, si se presenta en el momento oportuno y contiene datos fiables, mejora la capacidad que los inversionistas, prestamistas y otros usuarios tienen para entender la capacidad de la entidad para generar beneficios y flujos de efectivo, así como su fortaleza financiera y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 En esta Norma no se establece qué entidades deben ser obligadas a publicar estados financieros intermedios, ni tampoco la frecuencia con la que deben hacerlo ni cuánto tiempo debe transcurrir desde el final del periodo intermedio hasta la aparición de la información intermedia. No obstante, los gobiernos, las comisiones de valores, las bolsas de valores y los organismos profesionales contables requieren frecuentemente, a las entidades cuyos valores cotizan en mercados de acceso público, a presentar información financiera intermedia. Esta Norma es de aplicación tanto si la entidad es obligada a publicar este tipo de información, como si ella misma decide publicar información financiera intermedia siguiendo las Normas Internacionales de Información Financiera (NIIF). El Comité de Normas Internacionales de Contabilidad</w:t>
      </w:r>
      <w:hyperlink r:id="rId41" w:anchor="bf11ce00619bf034f21a4be1ca0c9096a49nf9" w:tgtFrame="_self" w:history="1">
        <w:r w:rsidRPr="00401DFF">
          <w:rPr>
            <w:rFonts w:ascii="Times New Roman" w:eastAsia="Times New Roman" w:hAnsi="Times New Roman" w:cs="Times New Roman"/>
            <w:color w:val="0000FF"/>
            <w:sz w:val="20"/>
            <w:szCs w:val="20"/>
            <w:u w:val="single"/>
            <w:vertAlign w:val="superscript"/>
            <w:lang w:eastAsia="es-CO"/>
          </w:rPr>
          <w:t>(37)</w:t>
        </w:r>
      </w:hyperlink>
      <w:r w:rsidRPr="00401DFF">
        <w:rPr>
          <w:rFonts w:ascii="Times New Roman" w:eastAsia="Times New Roman" w:hAnsi="Times New Roman" w:cs="Times New Roman"/>
          <w:sz w:val="24"/>
          <w:szCs w:val="24"/>
          <w:lang w:eastAsia="es-CO"/>
        </w:rPr>
        <w:t xml:space="preserve"> aconseja a las entidades, cuyos títulos cotizan en los mercados, para que suministren estados financieros intermedios que cumplan con los criterios de reconocimiento, medición y presentación establecidos en esa Norma. Más específicamente, se aconseja a las entidades con valores cotizados en bolsa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publiquen, al menos, estados financieros intermedios referidos al primer semestre de cada uno de sus periodos contables anuales;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pongan sus estados financieros intermedios a disposición de los usuarios en un plazo no mayor de 60 días tras la finalización del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 evaluación del cumplimiento y conformidad con las NIIF se hará, por separado, para cada conjunto de información financiera, ya sean anual o intermedia. El hecho de que una entidad no haya publicado información intermedia durante un periodo contable en particular, o de que haya publicado informes financieros intermedios que no cumplan con esta Norma, no impide que sus estados financieros anuales cumplan con las NIIF, si se han confeccionado siguiendo las mismas.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Para calificar a los estados financieros intermedios de una entidad como conformes con las NIIF, deben cumplir con todos los requerimientos establecidos en esta Norma. Al respecto, el párrafo 19 requiere la revelación de determinadas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Periodo intermedio</w:t>
      </w:r>
      <w:r w:rsidRPr="00401DFF">
        <w:rPr>
          <w:rFonts w:ascii="Times New Roman" w:eastAsia="Times New Roman" w:hAnsi="Times New Roman" w:cs="Times New Roman"/>
          <w:b/>
          <w:bCs/>
          <w:sz w:val="24"/>
          <w:szCs w:val="24"/>
          <w:lang w:eastAsia="es-CO"/>
        </w:rPr>
        <w:t xml:space="preserve"> es todo periodo contable menor que un periodo anual completo.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Por </w:t>
      </w:r>
      <w:r w:rsidRPr="00401DFF">
        <w:rPr>
          <w:rFonts w:ascii="Times New Roman" w:eastAsia="Times New Roman" w:hAnsi="Times New Roman" w:cs="Times New Roman"/>
          <w:b/>
          <w:bCs/>
          <w:i/>
          <w:iCs/>
          <w:sz w:val="24"/>
          <w:szCs w:val="24"/>
          <w:lang w:eastAsia="es-CO"/>
        </w:rPr>
        <w:t>información financiera intermedia</w:t>
      </w:r>
      <w:r w:rsidRPr="00401DFF">
        <w:rPr>
          <w:rFonts w:ascii="Times New Roman" w:eastAsia="Times New Roman" w:hAnsi="Times New Roman" w:cs="Times New Roman"/>
          <w:b/>
          <w:bCs/>
          <w:sz w:val="24"/>
          <w:szCs w:val="24"/>
          <w:lang w:eastAsia="es-CO"/>
        </w:rPr>
        <w:t xml:space="preserve"> se entiende toda información financiera que contenga, o bien un juego completo de estados financieros [como se describe en la NIC 1 </w:t>
      </w:r>
      <w:r w:rsidRPr="00401DFF">
        <w:rPr>
          <w:rFonts w:ascii="Times New Roman" w:eastAsia="Times New Roman" w:hAnsi="Times New Roman" w:cs="Times New Roman"/>
          <w:b/>
          <w:bCs/>
          <w:i/>
          <w:iCs/>
          <w:sz w:val="24"/>
          <w:szCs w:val="24"/>
          <w:lang w:eastAsia="es-CO"/>
        </w:rPr>
        <w:t xml:space="preserve">Presentación de Estados Financieros </w:t>
      </w:r>
      <w:r w:rsidRPr="00401DFF">
        <w:rPr>
          <w:rFonts w:ascii="Times New Roman" w:eastAsia="Times New Roman" w:hAnsi="Times New Roman" w:cs="Times New Roman"/>
          <w:b/>
          <w:bCs/>
          <w:sz w:val="24"/>
          <w:szCs w:val="24"/>
          <w:lang w:eastAsia="es-CO"/>
        </w:rPr>
        <w:t>(revisada en 2007)]</w:t>
      </w:r>
      <w:r w:rsidRPr="00401DFF">
        <w:rPr>
          <w:rFonts w:ascii="Times New Roman" w:eastAsia="Times New Roman" w:hAnsi="Times New Roman" w:cs="Times New Roman"/>
          <w:b/>
          <w:bCs/>
          <w:i/>
          <w:iCs/>
          <w:sz w:val="24"/>
          <w:szCs w:val="24"/>
          <w:lang w:eastAsia="es-CO"/>
        </w:rPr>
        <w:t>,</w:t>
      </w:r>
      <w:r w:rsidRPr="00401DFF">
        <w:rPr>
          <w:rFonts w:ascii="Times New Roman" w:eastAsia="Times New Roman" w:hAnsi="Times New Roman" w:cs="Times New Roman"/>
          <w:b/>
          <w:bCs/>
          <w:sz w:val="24"/>
          <w:szCs w:val="24"/>
          <w:lang w:eastAsia="es-CO"/>
        </w:rPr>
        <w:t xml:space="preserve"> o bien un juego de estados financieros condensados (como se describe en esta Norma), para un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Contenido de la información financiera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 La NIC 1 (revisada en 2007) define un juego completo de estados financieros, como comprensivo de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estado de situación financiera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estado del resultado integral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estado de cambios en el patrimonio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estado de flujos de efectivo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notas, que incluyan un resumen de las políticas contables más significativas y otra información explicativa;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un estado de situación financiera al principio del primer periodo comparativo, cuando una entidad aplique una política contable retroactivamente o realice una reexpresión retroactiva de partidas en sus estados financieros, o cuando reclasifique partidas en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En beneficio de la oportunidad y del costo de la información, así como para evitar la repetición de datos anteriormente publicados, la entidad puede estar obligada a, o decidir por sí misma, la publicación de menos información en los periodos intermedios, que la suministrada en sus estados financieros anuales. En esta Norma se delimita el contenido mínimo de la información financiera intermedia, que incluye estados financieros condensados y notas explicativas seleccionadas. La información financiera intermedia se elabora con la intención de poner al día el último conjunto de estados financieros anuales completos. Por consiguiente, se pone énfasis en las nuevas actividades, sucesos y circunstancias, y por tanto no se duplica la información publicada previamente.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No hay ningún párrafo en esta Norma que prohíba o desaconseje a las entidades publicar dentro de la información intermedia, en lugar de los estados condensados y las notas seleccionadas, un conjunto de estados financieros completos (como los descritos en la NIC 1). Tampoco se prohíbe ni se desaconseja en esta Norma la inclusión, en los estados financieros condensados, de información adicional a las partidas mínimas o a las notas seleccionadas exigidas en esta Norma. Las guías sobre reconocimiento y medición proporcionadas en esta Norma son de aplicación también a los estados financieros completos del periodo intermedio, y tales estados pueden contener todas las informaciones a revelar exigidas por la Norma (en particular la información correspondiente a las notas seleccionadas que se contienen en el párrafo 16), así como las que se requieren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mínimos de la información financiera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La información financiera intermedia contendrá, como mínimo, los siguientes componentes: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un estado de situación financiera condensado;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estado condensado o estados condensados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 estado de cambios en el patrimonio condensado;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 estado de flujos de efectivo condensado;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notas explicativas seleccionadas.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8A Si una entidad presenta las partidas del resultado en un estado separado, según se describe en el párrafo 10A de la NIC 1 (modificada en 2011), presentará información intermedia condensada de ese estado.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Forma y contenido de los estados financieros intermedios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Si la entidad publica un conjunto de estados financieros completos en su información financiera intermedia, la forma y contenido de tales estados deben cumplir las exigencias establecidas en la NIC 1, para un conjunto de estados financieros completos.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Si la entidad publica un conjunto de estados financieros condensados en su información financiera intermedia, tales estados condensado deberán contener, como mínimo, cada una de los grandes grupos de partidas y subtotales que hayan sido incluidos en los estados financieros anuales más recientes, así como las notas explicativas seleccionadas que se exigen en esta Norma. Deben incluirse partidas o notas adicionales siempre que su omisión pueda llevar a que los estados financieros intermedios sean mal interpretados.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w:t>
      </w:r>
      <w:r w:rsidRPr="00401DFF">
        <w:rPr>
          <w:rFonts w:ascii="Times New Roman" w:eastAsia="Times New Roman" w:hAnsi="Times New Roman" w:cs="Times New Roman"/>
          <w:sz w:val="24"/>
          <w:szCs w:val="24"/>
          <w:lang w:eastAsia="es-CO"/>
        </w:rPr>
        <w:t xml:space="preserve">Cuando la entidad se encuentre dentro del alcance de la NIC 33 </w:t>
      </w:r>
      <w:r w:rsidRPr="00401DFF">
        <w:rPr>
          <w:rFonts w:ascii="Times New Roman" w:eastAsia="Times New Roman" w:hAnsi="Times New Roman" w:cs="Times New Roman"/>
          <w:i/>
          <w:iCs/>
          <w:sz w:val="24"/>
          <w:szCs w:val="24"/>
          <w:lang w:eastAsia="es-CO"/>
        </w:rPr>
        <w:t>Ganancias por Acción,</w:t>
      </w:r>
      <w:r w:rsidRPr="00401DFF">
        <w:rPr>
          <w:rFonts w:ascii="Times New Roman" w:eastAsia="Times New Roman" w:hAnsi="Times New Roman" w:cs="Times New Roman"/>
          <w:sz w:val="24"/>
          <w:szCs w:val="24"/>
          <w:lang w:eastAsia="es-CO"/>
        </w:rPr>
        <w:t xml:space="preserve"> presentará las ganancias por acción básicas y diluidas para ese periodo en el estado que presente los componentes del resultado para un periodo intermedio</w:t>
      </w:r>
      <w:hyperlink r:id="rId42" w:anchor="bf12041304d5a494074a2b99f3bc751f30enf9" w:tgtFrame="_self" w:history="1">
        <w:r w:rsidRPr="00401DFF">
          <w:rPr>
            <w:rFonts w:ascii="Times New Roman" w:eastAsia="Times New Roman" w:hAnsi="Times New Roman" w:cs="Times New Roman"/>
            <w:color w:val="0000FF"/>
            <w:sz w:val="20"/>
            <w:szCs w:val="20"/>
            <w:u w:val="single"/>
            <w:vertAlign w:val="superscript"/>
            <w:lang w:eastAsia="es-CO"/>
          </w:rPr>
          <w:t>(38)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11A Si una entidad presenta las partidas del resultado en un estado separado, según se describe en el párrafo 10A de la NIC 1 (modificada en 2011), presentará las ganancias por acción básica y diluida en ese estado.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La NIC 1 (revisada en 2007) proporciona una guía sobre la estructura de los estados financieros. La Guía de Implementación de la NIC 1 contiene ejemplos sobre la forma en que se pueden presentar el estado de situación financiera, el estado del resultado integral y el estado de cambios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14 La información financiera intermedia será consolidada si los estados financieros más recientes de la entidad también se prepararon de forma consolidada. Los estados financieros separados de la controladora no son coherentes ni comparables con los estados financieros consolidados más recientes del grupo. Si la información financiera anual de la entidad incluye, junto con los estados financieros consolidados, los estados separados de la controladora, esta Norma no requiere ni prohíbe que se incluyan también los estados separados de la controladora en la información intermedia elaborada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Hechos significativos y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Una entidad incluirá en su información financiera intermedia una explicación de los sucesos y transacciones, producidos desde el final del último periodo anual sobre el que se informa, que sean significativos para comprender los cambios en la situación financiera y el rendimiento de la entidad. La información revelada en relación con esos sucesos y transacciones actualizará la información correspondiente presentada en el informe financiero anual más reciente.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15A Un usuario de la información financiera intermedia de la entidad tendrá también acceso al informe financiero anual más reciente de ésta. Por tanto, es innecesario que las notas de la información financiera intermedia proporcionen actualizaciones relativamente poco significativas de la información que se proporcionó en las notas del informe financiero anual más reciente.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15B Lo siguiente es una lista de sucesos y transacciones para los cuales se requería información a revelar si fueran significativos: la lista no es exhaustiva.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rebaja del importe en libros de los inventarios hasta su valor neto realizable, así como la reversión de dicha corrección;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reconocimiento de una pérdida por deterioro del valor de activos financieros, propiedades, planta y equipo, activos intangibles o de otros activos, así como la reversión de dicha pérdida por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reversión de cualquier provisión por costos de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adquisiciones y disposiciones de elementos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compromisos de compra de elementos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cancelaciones de pagos por litigios;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las correcciones de errores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cambios en las circunstancias económicas o de negocio que afectan al valor razonable de los activos financieros y pasivos financieros de la entidad, tanto si esos activos o pasivos están reconocidos al valor razonable como si lo están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cualquier incumplimiento u otra infracción de un acuerdo de préstamo que no haya sido corregida al final del periodo sobre el que se informa, o antes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las transacciones con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(k) transferencias entre niveles de la jerarquía del valor razonable utilizada para medir el valor razonable de los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 cambios en la clasificación de los activos financieros como resultado de un cambio en el propósito o uso de esos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 cambios en los pasivos contingentes o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15C Las NIIF individuales proporcionan guías con respecto a los requerimientos de información a revelar para muchas de las cuestiones enumeradas en el párrafo 15B. Cuando un suceso o transacción sea significativo para la comprensión de los cambios en la situación financiera o rendimiento de la entidad desde el último periodo anual sobre el que se informa, su presentación de información financiera intermedia debería proporcionar una explicación y actualización de la información relevante incluida en los estados financieros del último periodo anual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16-18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16A Además de revelar los sucesos y transacciones significativos de acuerdo con los párrafos 15 a 15C, una entidad deberá incluir en las notas de la información financiera intermedia, la información que se detalla a continuación, siempre que no haya sido revelada en alguna otra parte de los estados financieros intermedios. Esta información debe ser normalmente ofrecida desde el comienzo del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declaración de que se han seguido las mismas políticas y métodos contables de cálculo en los estados financieros intermedios que en los estados financieros anuales más recientes o, si algunas de esas políticas o algunos métodos hubiesen cambiado, una descripción de la naturaleza y efecto del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Comentarios explicativos acerca de la estacionalidad o carácter cíclico de las transacciones del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naturaleza e importe de las partidas, ya afecten a los activos, pasivos, patrimonio, ganancia neta o flujos de efectivo, que sean no usuales por su naturaleza, importe o incidencia.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naturaleza e importe de cambios en estimaciones de importes presentados en periodos intermedios anteriores al ejercicio financiero corriente o cambios en estimaciones de importes presentados en ejercicios financieros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 Emisiones, recompras y reembolsos de títulos representativos de la deuda o del capital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Dividendos pagados (ya sea en términos agregados o por acción), separando los correspondientes a las acciones ordinarias y a otros tipos de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(g) La siguiente información sobre segmentos (se exige revelar información intermedia segmentada sólo si la NIIF 8 </w:t>
      </w:r>
      <w:r w:rsidRPr="00401DFF">
        <w:rPr>
          <w:rFonts w:ascii="Times New Roman" w:eastAsia="Times New Roman" w:hAnsi="Times New Roman" w:cs="Times New Roman"/>
          <w:b/>
          <w:bCs/>
          <w:i/>
          <w:iCs/>
          <w:sz w:val="24"/>
          <w:szCs w:val="24"/>
          <w:lang w:eastAsia="es-CO"/>
        </w:rPr>
        <w:t>Segmentos de Operación,</w:t>
      </w:r>
      <w:r w:rsidRPr="00401DFF">
        <w:rPr>
          <w:rFonts w:ascii="Times New Roman" w:eastAsia="Times New Roman" w:hAnsi="Times New Roman" w:cs="Times New Roman"/>
          <w:b/>
          <w:bCs/>
          <w:sz w:val="24"/>
          <w:szCs w:val="24"/>
          <w:lang w:eastAsia="es-CO"/>
        </w:rPr>
        <w:t xml:space="preserve"> obliga a la entidad a revelar información segmentada en sus estados financieros anuales):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Los ingresos de actividades ordinarias procedentes de clientes externos, si se incluyen en la medida de las pérdidas o ganancias de los segmentos revisada por la máxima autoridad en la toma de decisiones de operación o se facilitan a la misma de otra forma con regularidad.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Los ingresos de actividades ordinarias inter segmentos, si se incluyen en la medición de las pérdidas o ganancias de los segmentos revisada por la máxima autoridad en la toma de decisiones de operación o se facilitan a la misma de otra forma con regularidad.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Una medición de las pérdidas o ganancias de los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El total de activos que hayan registrado una variación significativa con respecto al importe revelado en los últimos estados financieros anuales.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Una descripción de las diferencias, con respecto a los últimos estados financieros anuales, en el criterio de segmentación o de medición de las pérdidas o ganancias de los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la conciliación del total del valor de las pérdidas o ganancias de los segmentos sobre los que deba informar con las pérdidas o ganancias de la entidad antes de tener en cuenta el gasto (ingreso) por impuestos y las actividades discontinuadas; no obstante, si una entidad asignase a segmentos sobre los que deba informar conceptos tales como el gasto (ingreso) por impuestos, podrá conciliar el total de la medida de las pérdidas o ganancias de los segmentos con las pérdidas o ganancias después de tener en cuenta tales conceptos; Las partidas significativas de conciliación se identificarán y describirán por separado en dicha conciliación.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Sucesos después del periodo intermedio que no se han reflejado en los estados financieros para dicho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 el efecto de los cambios en la composición de la entidad durante el periodo intermedio, incluyendo combinaciones de negocios, la obtención o la pérdida del control de subsidiarias e inversiones a largo plazo, reestructuraciones y operaciones discontinuadas. En el caso de las combinaciones de negocios, la entidad revelará la información requerida por la NIIF 3 </w:t>
      </w:r>
      <w:r w:rsidRPr="00401DFF">
        <w:rPr>
          <w:rFonts w:ascii="Times New Roman" w:eastAsia="Times New Roman" w:hAnsi="Times New Roman" w:cs="Times New Roman"/>
          <w:b/>
          <w:bCs/>
          <w:i/>
          <w:iCs/>
          <w:sz w:val="24"/>
          <w:szCs w:val="24"/>
          <w:lang w:eastAsia="es-CO"/>
        </w:rPr>
        <w:t>Combinaciones de Negocios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(j) para instrumentos financieros, la información a revelar sobre el valor razonable requerida por los párrafos 91 a 93(h), 94 a 96, 98 y 99 de la NIIF 13 </w:t>
      </w:r>
      <w:r w:rsidRPr="00401DFF">
        <w:rPr>
          <w:rFonts w:ascii="Times New Roman" w:eastAsia="Times New Roman" w:hAnsi="Times New Roman" w:cs="Times New Roman"/>
          <w:b/>
          <w:bCs/>
          <w:i/>
          <w:iCs/>
          <w:sz w:val="24"/>
          <w:szCs w:val="24"/>
          <w:lang w:eastAsia="es-CO"/>
        </w:rPr>
        <w:t xml:space="preserve">Medición del Valor Razonable </w:t>
      </w:r>
      <w:r w:rsidRPr="00401DFF">
        <w:rPr>
          <w:rFonts w:ascii="Times New Roman" w:eastAsia="Times New Roman" w:hAnsi="Times New Roman" w:cs="Times New Roman"/>
          <w:b/>
          <w:bCs/>
          <w:sz w:val="24"/>
          <w:szCs w:val="24"/>
          <w:lang w:eastAsia="es-CO"/>
        </w:rPr>
        <w:t xml:space="preserve">y los párrafos 25, 26 y 28 a 30 de la NIIF 7 </w:t>
      </w:r>
      <w:r w:rsidRPr="00401DFF">
        <w:rPr>
          <w:rFonts w:ascii="Times New Roman" w:eastAsia="Times New Roman" w:hAnsi="Times New Roman" w:cs="Times New Roman"/>
          <w:b/>
          <w:bCs/>
          <w:i/>
          <w:iCs/>
          <w:sz w:val="24"/>
          <w:szCs w:val="24"/>
          <w:lang w:eastAsia="es-CO"/>
        </w:rPr>
        <w:t>Instrumentos Financieros: Información a Revelar</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el cumplimiento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Si un informe financiero intermedio de una entidad cumple con esta Norma, este hecho deberá ser informado. Un informe financiero intermedio no deberá describirse como que cumple con las NIIF a menos que cumpla con todos los requerimientos de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Periodos para los que se requiere la presentación de estados financieros intermedios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La información intermedia incluirá estados financieros intermedios (ya sean condensados o completos) para los periodos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Estado de situación financiera al final del periodo intermedio corriente y un estado comparativo de la situación financiera al final del periodo contable inmediatamente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Estado del resultado del periodo y otro resultado integral para el periodo intermedio presente y el acumulado para el periodo contable corriente hasta la fecha, junto con estados comparativos del resultado del periodo y otro resultado integral para los periodos intermedios correspondientes (presente y anual acumulado hasta la fecha) del periodo contable anual precedente inmediato. Según permite la NIC 1 (modificada en 2011), una información intermedia puede presentar para cada periodo un estado o estados del resultado del periodo y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 estado de los cambios en el patrimonio, acumulado para todo el periodo contable hasta la fecha, junto con un estado comparativo del mismo periodo de tiempo referido al periodo contable anual precedente.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 estado de flujos de efectivo acumulado para todo el periodo contable hasta la fecha, junto con un estado comparativo del mismo periodo de tiempo referido al periodo contable anual precedente.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Para una entidad cuyas actividades sean fuertemente estacionales, puede ser útil presentar información financiera relativa a los doce meses que terminan al final del periodo intermedio, así como información comparativa de los doce meses anteriores a éstos. Por consiguiente, se aconseja a las entidades con actividades fuertemente estacionales considerar la publicación de estos datos, además de la información obligatoria según el párrafo precedente.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22 La Parte A de los ejemplos que acompañan a esta Norma ilustra los periodos requeridos a presentar por una entidad que informa con periodicidad semestral, y otra que la presenta trimestralmente.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Materialidad o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Al tomar la decisión relativa a cómo reconocer, medir, clasificar o revelar información sobre una determinada partida en los estados financieros intermedios, la importancia relativa debe ser evaluada en relación a los datos financieros del periodo intermedio en cuestión. Al realizar evaluaciones sobre importancia relativa, debe tenerse en cuenta que las mediciones intermedias pueden estar basadas en estimaciones en mayor medida que las mediciones correspondientes a los datos del periodo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La NIC 1 y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xml:space="preserve"> definen una partida como material o de importancia relativa cuando su omisión o inexactitud puede influir en las decisiones económicas tomadas por los usuarios a partir de los estados financieros. En la NIC 1 se requiere revelar información por separado de las partidas materiales, entre las que se incluyen, a título de ejemplo, las operaciones en discontinuación; mientras que en la NIC 8 requiere revelar información de los errores, así como de los cambios en las estimaciones y en las políticas contables. Ninguna de las dos Normas contiene guías cuantitativas relativas a la materialidad o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Aunque siempre es necesario realizar juicios al evaluar la materialidad, en esta Norma se fundamentan las decisiones de reconocimiento y revelación a partir de los datos del propio periodo intermedio, por razones de comprensión de las cifras relativas al mismo. Así, por ejemplo, las partidas no usuales, los cambios en políticas contables o en estimaciones y los errores se reconocerán y revelarán según su importancia relativa, en relación con las cifras del periodo intermedio, para evitar las inferencias erróneas que se derivarían de la falta de revelación de tales partidas. El objetivo de esta excepción es asegurar que en el informe intermedio se incluyen todos los datos relevantes para comprender la situación y el rendimiento financieros de la entidad durante el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en los estados financieros anuales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Si la estimación correspondiente a una partida, presentada en un periodo intermedio anterior, resulta modificada de forma significativa durante el periodo intermedio final del periodo contable anual, pero no se ha publicado información financiera intermedia separada para ese periodo final, la naturaleza e importe de tal cambio en las estimaciones debe ser objeto de información específica, utilizando para ello una nota de las que correspondan a los estados financieros para el periodo contable completo.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27 En la NIC 8 se requiere revelar la naturaleza y (si es practicable) el importe del cambio en las estimaciones que tengan un efecto significativo en el periodo corriente o que se espera que tengan efectos materiales en periodos posteriores. El apartado (d) del párrafo </w:t>
      </w:r>
      <w:r w:rsidRPr="00401DFF">
        <w:rPr>
          <w:rFonts w:ascii="Times New Roman" w:eastAsia="Times New Roman" w:hAnsi="Times New Roman" w:cs="Times New Roman"/>
          <w:sz w:val="24"/>
          <w:szCs w:val="24"/>
          <w:lang w:eastAsia="es-CO"/>
        </w:rPr>
        <w:lastRenderedPageBreak/>
        <w:t>16A de esta Norma requiere una revelación similar en cada informe financiero intermedio. Entre los posibles ejemplos se incluyen los cambios en el último periodo intermedio que se refieran a las rebajas de valor de los inventarios, a las reestructuraciones o a las pérdidas por deterioro que fueron presentadas en un periodo intermedio anterior, dentro del mismo periodo anual. La información requerida en el párrafo anterior es coherente con la obligación de la NIC 8, pero tiene un alcance menor —limitado exclusivamente a los cambios en las estimaciones. La entidad no estará obligada a revelar información adicional referente a periodos contables intermedios dentro de sus estados financieros anuales.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Políticas contables iguales a las utilizadas en la información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La entidad debe aplicar, en los estados financieros intermedios, las mismas políticas contables que aplica en sus estados financieros anuales, salvo por lo que se refiere a los cambios en las políticas contables llevados a cabo tras la fecha de cierre de los estados financieros anuales más recientes, que tendrán su reflejo en los próximos que presente. No obstante, la frecuencia con que la entidad presente información (anual, semestral o trimestralmente) no debe afectar a la medición de las cifras contables anuales. Para conseguir tal objetivo, las mediciones realizadas de cara a la información intermedia deben abarcar todo el intervalo transcurrido desde principio del periodo anual hasta la fecha final del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El hecho de exigir que la entidad aplique las mismas políticas contables en los estados financieros intermedios y en los anuales, puede llevar a la conclusión aparente de que las mediciones intermedias se realizan como si cada periodo intermedio permaneciera aislado, como si se tratara de un periodo contable independiente. Sin embargo, al asegurar que la frecuencia de la información procedente de la entidad no afectará a la medición de sus cifras anuales, el párrafo 28 está efectuando el reconocimiento de que el periodo intermedio es parte de un periodo contable anual más largo. Las mediciones desde el último cierre anual hasta la fecha del periodo intermedio, pueden implicar la revisión de los importes de ciertas partidas, según se presentaron en periodos intermedios anteriores dentro del mismo periodo anual. No obstante, las políticas para el reconocimiento de activos, pasivos, ingresos y gastos en los periodos intermedios, son los mismos que las utilizadas en los estados financieros anuales.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Como ilustraciones, consecuencia de lo anterior, se pueden mencionar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políticas para el reconocimiento y medición de las pérdidas por depreciación de inventarios, por reestructuraciones o por deterioro en el valor de otros activos, en el periodo intermedio, son los mismos que la entidad seguiría si preparase únicamente estados financieros anuales. No obstante, si tales partidas de gastos se reconocieran y midieran en un periodo intermedio, y los cambios en las estimaciones se reconocieran en otro posterior dentro del mismo periodo anual, la estimación original sería corregida en el periodo posterior, ya fuera cargando al estado de resultados el gasto o la pérdida adicional, o en caso contrario revirtiendo el exceso en la rebaja de valor o la provisión previamente reconocida;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 costo que no cumpliera la definición de activo al final de un determinado periodo contable intermedio, no tendría por qué ser diferido, colocándolo en el estado de situación financiera a la espera, bien de información futura que aportara mayor evidencia sobre el cumplimiento de las condiciones correspondientes, bien de cargarlo contra las ganancias de periodos intermedios subsiguientes del mismo periodo contable anual;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gasto por el impuesto a las ganancias se reconocerá, en cada uno de los periodos intermedios, sobre la base de la mejor estimación del promedio ponderado de la tasa impositiva que se espere para el periodo contable anual. Los importes calculados para el gasto por el impuesto, en este periodo intermedio, pueden necesitar ajustes en periodos posteriores siempre que las estimaciones de la tasa anual hayan cambiado para entonces.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Dentro del </w:t>
      </w:r>
      <w:r w:rsidRPr="00401DFF">
        <w:rPr>
          <w:rFonts w:ascii="Times New Roman" w:eastAsia="Times New Roman" w:hAnsi="Times New Roman" w:cs="Times New Roman"/>
          <w:i/>
          <w:iCs/>
          <w:sz w:val="24"/>
          <w:szCs w:val="24"/>
          <w:lang w:eastAsia="es-CO"/>
        </w:rPr>
        <w:t>Marco Conceptual para la Preparación y Presentación de Estados Financieros</w:t>
      </w:r>
      <w:r w:rsidRPr="00401DFF">
        <w:rPr>
          <w:rFonts w:ascii="Times New Roman" w:eastAsia="Times New Roman" w:hAnsi="Times New Roman" w:cs="Times New Roman"/>
          <w:sz w:val="24"/>
          <w:szCs w:val="24"/>
          <w:lang w:eastAsia="es-CO"/>
        </w:rPr>
        <w:t xml:space="preserve"> (el </w:t>
      </w:r>
      <w:r w:rsidRPr="00401DFF">
        <w:rPr>
          <w:rFonts w:ascii="Times New Roman" w:eastAsia="Times New Roman" w:hAnsi="Times New Roman" w:cs="Times New Roman"/>
          <w:i/>
          <w:iCs/>
          <w:sz w:val="24"/>
          <w:szCs w:val="24"/>
          <w:lang w:eastAsia="es-CO"/>
        </w:rPr>
        <w:t>Marco Conceptual)</w:t>
      </w:r>
      <w:hyperlink r:id="rId43" w:anchor="bf1897c7fd3400d42bd901cf84358cd4775nf9" w:tgtFrame="_self" w:history="1">
        <w:r w:rsidRPr="00401DFF">
          <w:rPr>
            <w:rFonts w:ascii="Times New Roman" w:eastAsia="Times New Roman" w:hAnsi="Times New Roman" w:cs="Times New Roman"/>
            <w:color w:val="0000FF"/>
            <w:sz w:val="20"/>
            <w:szCs w:val="20"/>
            <w:u w:val="single"/>
            <w:vertAlign w:val="superscript"/>
            <w:lang w:eastAsia="es-CO"/>
          </w:rPr>
          <w:t>(39)</w:t>
        </w:r>
      </w:hyperlink>
      <w:r w:rsidRPr="00401DFF">
        <w:rPr>
          <w:rFonts w:ascii="Times New Roman" w:eastAsia="Times New Roman" w:hAnsi="Times New Roman" w:cs="Times New Roman"/>
          <w:sz w:val="24"/>
          <w:szCs w:val="24"/>
          <w:lang w:eastAsia="es-CO"/>
        </w:rPr>
        <w:t>, reconocimiento es el “proceso de incorporación, en el balance o en el estado de resultados, de una partida que cumpla la definición del elemento correspondiente, satisfaciendo además los criterios para su reconocimiento”. Las definiciones de activo, pasivo, ingresos y gastos son fundamentales para proceder al reconocimiento en las fechas de cierre de los periodos anual e intermedio sobre los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Para el caso de los activos, son de aplicación, en la fecha de la información intermedia y en la anual, las mismas pruebas referidas a las ganancias económicas futuras. Los costos que, por su naturaleza, no cumplirían las condiciones para ser activos en la fecha de los estados financieros anuales, tampoco las cumplirán en la fecha de cierre del periodo intermedio. De forma similar, un pasivo al final del periodo intermedio debe representar una obligación existente en ese momento, exactamente igual que sucedería si se tratase de la fecha de cierre del periodo anual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Una característica esencial de los ingresos (ingresos de actividades ordinarias) y los gastos es que las correspondientes entradas o salidas de activos o pasivos, según los casos, ya han tenido lugar. Si tales flujos de entrada o salida se han producido efectivamente, se procede a reconocer el ingreso de actividades ordinarias o el gasto relacionado, y en caso contrario no se reconocen. En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se afirma que “Se reconoce un gasto en el estado de resultados cuando ha surgido un decremento en las ganancias económicas futuras, relacionado con un decremento en los activos o un incremento en las obligaciones, y además el gasto puede medirse con fiabilidad... [Este]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no permite el reconocimiento de partidas, en el balance, que no cumplan la definición de activo o de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Al medir los activos, pasivos, ingresos, gastos y flujos de efectivo para incluirlos en sus estados financieros, la entidad que sólo presenta información financiera anualmente habrá de tomar en cuenta la información disponible a lo largo del periodo contable. Sus mediciones se harán, en efecto, desde el principio del periodo hasta la fecha en que presenta la información, aunque ésta sea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35 Una entidad que presente información financiera con periodicidad semestral, utilizará la información disponible a la fecha de la mitad del periodo contable, o bien algo más tarde, </w:t>
      </w:r>
      <w:r w:rsidRPr="00401DFF">
        <w:rPr>
          <w:rFonts w:ascii="Times New Roman" w:eastAsia="Times New Roman" w:hAnsi="Times New Roman" w:cs="Times New Roman"/>
          <w:sz w:val="24"/>
          <w:szCs w:val="24"/>
          <w:lang w:eastAsia="es-CO"/>
        </w:rPr>
        <w:lastRenderedPageBreak/>
        <w:t>para realizar las mediciones de las partidas de sus estados semestrales, y la información disponible en la fecha de los estados financieros anuales, o algo más tarde, para realizar las mediciones de las partidas correspondientes al año completo. Estas mediciones relativas al año completo reflejarán los eventuales cambios en las estimaciones realizadas en las cifras del primer semestre. Los importes reflejados en la información intermedia semestral no serán objeto de ningún ajuste de carácter retroactivo. Los párrafos 16A(d) y 26 requieren, no obstante, que la entidad revele información sobre la naturaleza e importe de cualquier cambio significativo en las estimaciones previamente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La entidad que presente información financiera con frecuencia mayor que la semestral, evaluará los ingresos y gastos desde el principio del periodo anual hasta el final del correspondiente periodo intermedio, utilizando la información que esté disponible en el momento de elaborar los estados financieros. Los importes de los ingresos y los gastos, que se presenten en cada periodo intermedio, reflejarán también todos los cambios en las estimaciones de las partidas que han sido presentadas en periodos intermedios anteriores dentro del mismo periodo anual. Los importes reflejados en la información intermedia de periodos anteriores no serán objeto de ningún ajuste de carácter retroactivo. Los párrafos 16A(d) y 26 requieren, no obstante, que la entidad revele información sobre la naturaleza e importe de cualquier cambio significativo en las estimaciones previamente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Ingresos de actividades ordinarias recibidos de forma estacional, cíclica u ocasionalmente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37 Los ingresos de actividades ordinarias que se reciben estacional, cíclica u ocasionalmente dentro de un periodo anual, no deben ser anticipados o diferidos a una fecha intermedia, si tal anticipación o aplazamiento no serían apropiados al final del periodo contable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Entre los ejemplos de situaciones como las descritas anteriormente pueden citarse los dividendos, las regalías y las subvenciones oficiales. Además de lo anterior, ocurre que ciertas entidades obtienen, sistemáticamente, más ingresos de actividades ordinarias en unos periodos intermedios que en otros, dentro del mismo periodo anual, como sucede por ejemplo con los ingresos de actividades ordinarias estacionales de los vendedores al por menor. Tales ingresos de actividades ordinarias se han de reconocer sólo cuando hayan ocurrido efectivamente.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incurridos de manera no uniforme a lo largo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Los costos en los que no se incurre de forma uniforme a lo largo del periodo serán objeto de anticipación o aplazamiento en los estados financieros intermedios si, y sólo si, fuera también apropiado anticipar o diferir tales tipos de costos al final del periodo contable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los criterios de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40 La Parte B de los ejemplos ilustrativos que acompañan a esta Norma proporciona ejemplos de aplicación de los principios de medición y reconocimiento generales establecidos en los párrafos 28 a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 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 Los procedimientos de medición, que deben seguirse en los estados financieros intermedios, han de estar diseñados para asegurar que la información resultante sea fiable, y que se revela en ellos, de forma apropiada, toda la información financiera significativa que sea relevante para la comprensión de la situación financiera o la rentabilidad de la entidad. Aunque las mediciones realizadas tanto en los estados financieros anuales como en los intermedios se basan, frecuentemente, en estimaciones razonables, la preparación de la información financiera intermedia requerirá, por lo general, un uso mayor de métodos de estimación que la información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Parte C de los ejemplos ilustrativos que acompañan a esta Norma proporciona ejemplos del uso de estimaciones en periodos intermedios.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Ajustes a las cifras presentadas en periodos intermedios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Cualquier cambio en una política contable, distinto de aquéllos cuyo régimen transitorio haya sido especificado por una nueva NIIF, se reflejará mediante uno de los dos siguientes procedimientos: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reexpresando los estados financieros de los periodos contables intermedios anteriores del mismo periodo contable anual, así como los correspondientes a periodos contables intermedios comparables de cualesquiera periodos anuales anteriores, de acuerdo con la NIC 8;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fuera impracticable determinar el efecto acumulativo, al comienzo del periodo anual, de la aplicación de una nueva política contable a todos los periodos anteriores, mediante el ajuste de los estados financieros de periodos intermedios anteriores dentro del mismo periodo anual, y de los periodos intermedios comparables que correspondan a periodos anuales anteriores, con el fin de aplicar la nueva política contable de forma prospectiva desde la fecha más remota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Uno de los objetivos del principio establecido en el párrafo anterior consiste en asegurar que se aplique una sola política contable a cada categoría de transacciones, a lo largo del mismo periodo anual. Según la NIC 8, todo cambio en una política contable se refleja mediante aplicación retroactiva, reexpresando las cifras contables de los periodos anteriores hasta la fecha más remota en que sea posible hacerlo. No obstante, si fuera impracticable determinar el importe acumulado del ajuste relativo a los periodos anteriores, la NIC 8 dispone que la nueva política sea aplicada de forma prospectiva, desde la fecha más remota posible. El efecto del principio establecido en el párrafo 43 consiste en requerir a que, dentro del mismo periodo contable anual, cualquier cambio en una política contable sea aplicado o bien retroactivamente o, si esto fuera impracticable, de forma prospectiva y, como muy tarde, desde el comienzo del periodo anual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45 Permitir que los cambios en las políticas contables fueran reflejados en la fecha de cierre de un periodo intermedio, dentro del periodo anual, permitiría aplicar dos políticas contables diferentes para reflejar un tipo particular de transacciones producidas dentro del mismo periodo contable. Como resultado de este posible tratamiento, se tendrían dificultades por hacer repartos entre periodos intermedios, se obscurecerían los resultados de la operación y se complicaría el análisis y la comprensión de la información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Esta Norma Internacional de Contabilidad tendrá vigencia para los estados financieros que cubran periodos que comiencen a partir del 1 de enero de 1999. Se aconseja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La NIC 1 (revisada en 2007) modificó la terminología utilizada en las NIIF. Además, modificó los párrafos 4, 5, 8, 11, 12 y 20, eliminó el párrafo 13 y añadió los párrafos 8A y 11A.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La NIIF 3 (revisada en 2008) modificó el párrafo 16(i). Una entidad aplicará esa modificación para los periodos anuales que comiencen a partir del 1 de julio de 2009. Cuando una entidad aplique la NIIF 3 (revisada en 2008) a periodos anteriores, la modificación se aplicará también a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49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modificó los párrafos 15, 27, 35 y 36, añadió los párrafos 15A a 15C y 16A y eliminó los párrafos 16 a 18. Una entidad aplicará esas modificaciones a periodos anuales que comiencen a partir del 1 de enero de 2011. Se permite su aplicación anticipada. Si una entidad aplicase las modificaciones en un período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La NIIF 13, emitida en mayo de 2011, modificó el párrafo 16A(j).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51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los párrafos 8, 8A, 11A y 20.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El Comité de Normas Internacionales de Contabilidad fue sustituido por el Consejo de Normas Internacionales de Contabilidad, el cual comenzó a operar en 2001.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Este párrafo se modificó mediante el documento Mejoras a las NIIF emitido en mayo de 2008 para aclarar el alcance de la NIC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El Marco Conceptual para la Preparación y Presentación de los Estados Financieros del IASC se adoptó por el IASB en 2001. En septiembre de 2010 el IASB sustituyó el Marco Conceptual por el Marco Conceptual para la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Norma Internacional de Contabilidad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esta Norma consiste en establecer los procedimientos que una entidad aplicará para asegurarse de que sus activos están contabilizados por un importe que no sea superior a su importe recuperable. Un activo estará contabilizado por encima de su importe recuperable cuando su importe en libros exceda del importe que se pueda recuperar del mismo a través de su utilización o de su venta. Si este fuera el caso, el activo se presentaría como deteriorado, y la Norma exige que la entidad reconozca una pérdida por deterioro del valor de ese activo. En la Norma también se especifica cuándo la entidad revertirá la pérdida por deterioro del valor, así como la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 aplicará para la contabilización del deterioro del valor de todos los activos, distintos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inventarios (véase la NIC 2 </w:t>
      </w:r>
      <w:r w:rsidRPr="00401DFF">
        <w:rPr>
          <w:rFonts w:ascii="Times New Roman" w:eastAsia="Times New Roman" w:hAnsi="Times New Roman" w:cs="Times New Roman"/>
          <w:b/>
          <w:bCs/>
          <w:i/>
          <w:iCs/>
          <w:sz w:val="24"/>
          <w:szCs w:val="24"/>
          <w:lang w:eastAsia="es-CO"/>
        </w:rPr>
        <w:t>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activos surgidos de los contratos de construcción (véase la NIC 11 </w:t>
      </w:r>
      <w:r w:rsidRPr="00401DFF">
        <w:rPr>
          <w:rFonts w:ascii="Times New Roman" w:eastAsia="Times New Roman" w:hAnsi="Times New Roman" w:cs="Times New Roman"/>
          <w:b/>
          <w:bCs/>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activos por impuestos diferidos (véase la NIC 12 </w:t>
      </w:r>
      <w:r w:rsidRPr="00401DFF">
        <w:rPr>
          <w:rFonts w:ascii="Times New Roman" w:eastAsia="Times New Roman" w:hAnsi="Times New Roman" w:cs="Times New Roman"/>
          <w:b/>
          <w:bCs/>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(d) activos procedentes de beneficios a los empleados (véase la NIC 19 </w:t>
      </w:r>
      <w:r w:rsidRPr="00401DFF">
        <w:rPr>
          <w:rFonts w:ascii="Times New Roman" w:eastAsia="Times New Roman" w:hAnsi="Times New Roman" w:cs="Times New Roman"/>
          <w:b/>
          <w:bCs/>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 los activos financieros dentro del alcance de la NIIF 9 </w:t>
      </w:r>
      <w:r w:rsidRPr="00401DFF">
        <w:rPr>
          <w:rFonts w:ascii="Times New Roman" w:eastAsia="Times New Roman" w:hAnsi="Times New Roman" w:cs="Times New Roman"/>
          <w:b/>
          <w:bCs/>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(f) propiedades de inversión que se midan según su valor razonable (véase la NIC 40 </w:t>
      </w:r>
      <w:r w:rsidRPr="00401DFF">
        <w:rPr>
          <w:rFonts w:ascii="Times New Roman" w:eastAsia="Times New Roman" w:hAnsi="Times New Roman" w:cs="Times New Roman"/>
          <w:b/>
          <w:bCs/>
          <w:i/>
          <w:iCs/>
          <w:sz w:val="24"/>
          <w:szCs w:val="24"/>
          <w:lang w:eastAsia="es-CO"/>
        </w:rPr>
        <w:t>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(g) activos biológicos relacionados con la actividad agrícola, que se midan según su valor razonable menos los costos de disposición (véase la NIC 41 </w:t>
      </w:r>
      <w:r w:rsidRPr="00401DFF">
        <w:rPr>
          <w:rFonts w:ascii="Times New Roman" w:eastAsia="Times New Roman" w:hAnsi="Times New Roman" w:cs="Times New Roman"/>
          <w:b/>
          <w:bCs/>
          <w:i/>
          <w:iCs/>
          <w:sz w:val="24"/>
          <w:szCs w:val="24"/>
          <w:lang w:eastAsia="es-CO"/>
        </w:rPr>
        <w:t>Agricultura);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(h) costos de adquisición diferidos, así como activos intangibles derivados de los derechos contractuales de una aseguradora en contratos de seguros que estén dentro del alcance de la NIIF 4 </w:t>
      </w:r>
      <w:r w:rsidRPr="00401DFF">
        <w:rPr>
          <w:rFonts w:ascii="Times New Roman" w:eastAsia="Times New Roman" w:hAnsi="Times New Roman" w:cs="Times New Roman"/>
          <w:b/>
          <w:bCs/>
          <w:i/>
          <w:iCs/>
          <w:sz w:val="24"/>
          <w:szCs w:val="24"/>
          <w:lang w:eastAsia="es-CO"/>
        </w:rPr>
        <w:t>Contratos de Seguro;</w:t>
      </w:r>
      <w:r w:rsidRPr="00401DFF">
        <w:rPr>
          <w:rFonts w:ascii="Times New Roman" w:eastAsia="Times New Roman" w:hAnsi="Times New Roman" w:cs="Times New Roman"/>
          <w:b/>
          <w:bCs/>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 activos no corrientes (o grupos de activos para su disposición) clasificados como mantenidos para la venta de acuerdo con la NIIF 5 </w:t>
      </w:r>
      <w:r w:rsidRPr="00401DFF">
        <w:rPr>
          <w:rFonts w:ascii="Times New Roman" w:eastAsia="Times New Roman" w:hAnsi="Times New Roman" w:cs="Times New Roman"/>
          <w:b/>
          <w:bCs/>
          <w:i/>
          <w:iCs/>
          <w:sz w:val="24"/>
          <w:szCs w:val="24"/>
          <w:lang w:eastAsia="es-CO"/>
        </w:rPr>
        <w:t>Activos no Corrientes Mantenidos Para la Venta y Operaciones Discontinuadas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 Esta Norma no es de aplicación a los inventarios, a los activos derivados de los contratos de construcción, a los activos por impuestos diferidos, a los activos que surgen de las retribuciones a los empleados ni a los activos clasificados como mantenidos para la venta (o incluidos en un grupo de activos para su disposición que se haya clasificado como mantenido para la venta) porque las Normas existentes aplicables a estos activos establecen los requisitos para su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Norma es de aplicación a los activos financieros clasificados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subsidiarias, según se definen en la NIIF 10 </w:t>
      </w:r>
      <w:r w:rsidRPr="00401DFF">
        <w:rPr>
          <w:rFonts w:ascii="Times New Roman" w:eastAsia="Times New Roman" w:hAnsi="Times New Roman" w:cs="Times New Roman"/>
          <w:i/>
          <w:i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asociadas, según se definen en la NIC 28 </w:t>
      </w:r>
      <w:r w:rsidRPr="00401DFF">
        <w:rPr>
          <w:rFonts w:ascii="Times New Roman" w:eastAsia="Times New Roman" w:hAnsi="Times New Roman" w:cs="Times New Roman"/>
          <w:i/>
          <w:iCs/>
          <w:sz w:val="24"/>
          <w:szCs w:val="24"/>
          <w:lang w:eastAsia="es-CO"/>
        </w:rPr>
        <w:t>Inversiones en Asociadas y Negocios Conjuntos;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negocios conjuntos, tal como se definen en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el deterioro del valor de otros activos financieros, véase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Esta Norma no es de aplicación a los activos financieros que se encuentren incluidos en el alcance de la NIIF 9, a las propiedades de inversión que se midan según su valor razonable dentro del alcance de la NIC 40, o a los activos biológicos relacionados con la actividad agrícola que se midan según su valor razonable menos los costos de disposición, de acuerdo con la NIC 41. Sin embargo, esta Norma es aplicable a los activos que se contabilicen según su valor revaluado (es decir, valor razonable en la fecha de la revaluación menos cualquier depreciación acumulada y pérdida por deterioro de valor posteriores) de acuerdo con otras NIIF, como el modelo de revaluación de la NIC 16 </w:t>
      </w:r>
      <w:r w:rsidRPr="00401DFF">
        <w:rPr>
          <w:rFonts w:ascii="Times New Roman" w:eastAsia="Times New Roman" w:hAnsi="Times New Roman" w:cs="Times New Roman"/>
          <w:i/>
          <w:iCs/>
          <w:sz w:val="24"/>
          <w:szCs w:val="24"/>
          <w:lang w:eastAsia="es-CO"/>
        </w:rPr>
        <w:t xml:space="preserve">Propiedades, Planta y Equipo </w:t>
      </w:r>
      <w:r w:rsidRPr="00401DFF">
        <w:rPr>
          <w:rFonts w:ascii="Times New Roman" w:eastAsia="Times New Roman" w:hAnsi="Times New Roman" w:cs="Times New Roman"/>
          <w:sz w:val="24"/>
          <w:szCs w:val="24"/>
          <w:lang w:eastAsia="es-CO"/>
        </w:rPr>
        <w:t>y la NIC 38</w:t>
      </w:r>
      <w:r w:rsidRPr="00401DFF">
        <w:rPr>
          <w:rFonts w:ascii="Times New Roman" w:eastAsia="Times New Roman" w:hAnsi="Times New Roman" w:cs="Times New Roman"/>
          <w:i/>
          <w:iCs/>
          <w:sz w:val="24"/>
          <w:szCs w:val="24"/>
          <w:lang w:eastAsia="es-CO"/>
        </w:rPr>
        <w:t xml:space="preserve"> Activos Intangibles.</w:t>
      </w:r>
      <w:r w:rsidRPr="00401DFF">
        <w:rPr>
          <w:rFonts w:ascii="Times New Roman" w:eastAsia="Times New Roman" w:hAnsi="Times New Roman" w:cs="Times New Roman"/>
          <w:sz w:val="24"/>
          <w:szCs w:val="24"/>
          <w:lang w:eastAsia="es-CO"/>
        </w:rPr>
        <w:t xml:space="preserve"> La única diferencia entre el valor razonable del activo y su valor razonable menos los costos de disposición son los costos incrementales directos atribuibles a la disposición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los costos de disposición son insignificantes, el importe recuperable del activo revaluado será necesariamente próximo a, o mayor que, su valor revaluado. En este caso, después de la aplicación de los criterios de la revaluación, es improbable que el activo revaluado se haya deteriorado, y por tanto no es necesario estimar el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los costos de disposición no fueran insignificantes, el valor razonable menos los costos de disposición del activo revaluado será necesariamente inferior a su valor razonable. En consecuencia, el activo revaluado verá deteriorado su valor, si su valor en uso es inferior a su valor revaluado. En este caso, después de la aplicación de los requerimientos de la revaluación, una entidad aplicará esta Norma para determinar si el activo ha sufrido o no un deterioro de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en libros</w:t>
      </w:r>
      <w:r w:rsidRPr="00401DFF">
        <w:rPr>
          <w:rFonts w:ascii="Times New Roman" w:eastAsia="Times New Roman" w:hAnsi="Times New Roman" w:cs="Times New Roman"/>
          <w:b/>
          <w:bCs/>
          <w:sz w:val="24"/>
          <w:szCs w:val="24"/>
          <w:lang w:eastAsia="es-CO"/>
        </w:rPr>
        <w:t xml:space="preserve"> es el importe por el que se reconoce un activo, una vez deducidas la depreciación (amortización) acumulada y las pérdidas por deterioro del valor acumuladas, que se refieran al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Unidad generadora de efectivo </w:t>
      </w:r>
      <w:r w:rsidRPr="00401DFF">
        <w:rPr>
          <w:rFonts w:ascii="Times New Roman" w:eastAsia="Times New Roman" w:hAnsi="Times New Roman" w:cs="Times New Roman"/>
          <w:b/>
          <w:bCs/>
          <w:sz w:val="24"/>
          <w:szCs w:val="24"/>
          <w:lang w:eastAsia="es-CO"/>
        </w:rPr>
        <w:t>es el grupo identificable de activos más pequeño, que genera entradas de efectivo a favor de la entidad que son, en buena medida, independientes de los flujos de efectivo derivados de otros activos o grupos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comunes de la entidad</w:t>
      </w:r>
      <w:r w:rsidRPr="00401DFF">
        <w:rPr>
          <w:rFonts w:ascii="Times New Roman" w:eastAsia="Times New Roman" w:hAnsi="Times New Roman" w:cs="Times New Roman"/>
          <w:b/>
          <w:bCs/>
          <w:sz w:val="24"/>
          <w:szCs w:val="24"/>
          <w:lang w:eastAsia="es-CO"/>
        </w:rPr>
        <w:t xml:space="preserve"> son activos, diferentes de la plusvalía, que contribuyen a la obtención de flujos de efectivo futuros tanto en la unidad generadora de efectivo que se está considerando como en otras.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Costos de disposición </w:t>
      </w:r>
      <w:r w:rsidRPr="00401DFF">
        <w:rPr>
          <w:rFonts w:ascii="Times New Roman" w:eastAsia="Times New Roman" w:hAnsi="Times New Roman" w:cs="Times New Roman"/>
          <w:b/>
          <w:bCs/>
          <w:sz w:val="24"/>
          <w:szCs w:val="24"/>
          <w:lang w:eastAsia="es-CO"/>
        </w:rPr>
        <w:t>son los costos incrementales directamente atribuibles a la disposición de un activo o unidad generadora de efectivo, excluyendo los costos financieros y los impuestos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Importe depreciable </w:t>
      </w:r>
      <w:r w:rsidRPr="00401DFF">
        <w:rPr>
          <w:rFonts w:ascii="Times New Roman" w:eastAsia="Times New Roman" w:hAnsi="Times New Roman" w:cs="Times New Roman"/>
          <w:b/>
          <w:bCs/>
          <w:sz w:val="24"/>
          <w:szCs w:val="24"/>
          <w:lang w:eastAsia="es-CO"/>
        </w:rPr>
        <w:t>de un activo es su costo, o el importe que lo sustituya en los estados financieros, menos su valor residual.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Depreciación (Amortización)</w:t>
      </w:r>
      <w:r w:rsidRPr="00401DFF">
        <w:rPr>
          <w:rFonts w:ascii="Times New Roman" w:eastAsia="Times New Roman" w:hAnsi="Times New Roman" w:cs="Times New Roman"/>
          <w:b/>
          <w:bCs/>
          <w:sz w:val="24"/>
          <w:szCs w:val="24"/>
          <w:lang w:eastAsia="es-CO"/>
        </w:rPr>
        <w:t xml:space="preserve"> es la distribución sistemática del importe depreciable de un activo a lo largo de su vida útil</w:t>
      </w:r>
      <w:hyperlink r:id="rId44" w:anchor="bf1613d137550474e33ab923edbba4d432dnf9" w:tgtFrame="_self" w:history="1">
        <w:r w:rsidRPr="00401DFF">
          <w:rPr>
            <w:rFonts w:ascii="Times New Roman" w:eastAsia="Times New Roman" w:hAnsi="Times New Roman" w:cs="Times New Roman"/>
            <w:color w:val="0000FF"/>
            <w:sz w:val="20"/>
            <w:szCs w:val="20"/>
            <w:u w:val="single"/>
            <w:vertAlign w:val="superscript"/>
            <w:lang w:eastAsia="es-CO"/>
          </w:rPr>
          <w:t>(2)</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Pérdida por deterioro del valor</w:t>
      </w:r>
      <w:r w:rsidRPr="00401DFF">
        <w:rPr>
          <w:rFonts w:ascii="Times New Roman" w:eastAsia="Times New Roman" w:hAnsi="Times New Roman" w:cs="Times New Roman"/>
          <w:b/>
          <w:bCs/>
          <w:sz w:val="24"/>
          <w:szCs w:val="24"/>
          <w:lang w:eastAsia="es-CO"/>
        </w:rPr>
        <w:t xml:space="preserve"> es la cantidad en que excede el importe en libros de un activo o unidad generadora de efectivo a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recuperable</w:t>
      </w:r>
      <w:r w:rsidRPr="00401DFF">
        <w:rPr>
          <w:rFonts w:ascii="Times New Roman" w:eastAsia="Times New Roman" w:hAnsi="Times New Roman" w:cs="Times New Roman"/>
          <w:b/>
          <w:bCs/>
          <w:sz w:val="24"/>
          <w:szCs w:val="24"/>
          <w:lang w:eastAsia="es-CO"/>
        </w:rPr>
        <w:t xml:space="preserve"> de un activo o de una unidad generadora de efectivo es el mayor entre su valor razonable menos los costos de disposición y su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Vida útil</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periodo durante el cual se espera utilizar el activo por parte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número de unidades de producción o similares que se espera obtener del mismo por parte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en uso</w:t>
      </w:r>
      <w:r w:rsidRPr="00401DFF">
        <w:rPr>
          <w:rFonts w:ascii="Times New Roman" w:eastAsia="Times New Roman" w:hAnsi="Times New Roman" w:cs="Times New Roman"/>
          <w:b/>
          <w:bCs/>
          <w:sz w:val="24"/>
          <w:szCs w:val="24"/>
          <w:lang w:eastAsia="es-CO"/>
        </w:rPr>
        <w:t xml:space="preserve"> es el valor presente de los flujos futuros de efectivo estimados que se espera obtener de un activo o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un activo que podría estar deteriorado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 En los párrafos 8 a 17 se especifica cuándo se debe determinar el importe recuperable. En ellos se utiliza el término “activo”, pero su contenido es de aplicación tanto a los activos individuales como a las unidades generadoras de efectivo. El resto de esta Norma se estructura como sigue: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párrafos 18 a 57 establecen las reglas para la medición del importe recuperable. En estas reglas, se utiliza el término “un activo”, pero son aplicables tanto a un activo considerado individualmente como a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párrafos 58 a 108 establecen las reglas para el reconocimiento y medición de las pérdidas por deterioro del valor. El reconocimiento y la medición de las pérdidas por deterioro del valor de activos individuales, distintos de la plusvalía, se trata en los párrafos 58 a 64. Los párrafos 65 a 108 tratan sobre el reconocimiento y la medición de las pérdidas por deterioro del valor de las unidades generadoras de efectivo y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párrafos 109 a 116 establecen las reglas para la reversión de una pérdida por deterioro del valor de un activo o de una unidad generadora de efectivo reconocida en periodos anteriores. De nuevo, se utiliza en dichos párrafos el término “un activo”, pero son aplicables tanto a un activo considerado individualmente como a una unidad generadora de efectivo. Además, se establecen requisitos adicionales, para el caso de los activos individuales, en los párrafos 117 a 121, para las unidades generadoras de efectivo en los párrafos 122 y 123 y para la plusvalía en los párrafos 124 y 125.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En los párrafos 126 a 133 se especifica la información a revelar sobre las pérdidas por deterioro del valor y las reversiones de dichas pérdidas para activos y unidades generadoras de efectivo. Los párrafos 134 a 137 contienen los requerimientos de información a revelar adicionales para las unidades generadoras de efectivo entre las que se haya distribuido la plusvalía o activos intangibles con vidas útiles indefinidas, con el propósito de comprobar su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El valor de un activo se deteriora cuando su importe en libros excede a su importe recuperable. En los párrafos 12 a 14 se describen algunos indicadores para comprobar si existe una pérdida por deterioro del valor de un activo. Si se cumpliese alguno de esos indicadores, la entidad estará obligada a realizar una estimación formal del importe recuperable. Excepto por lo descrito en el párrafo 10, esta Norma no obliga a la entidad a realizar una estimación formal del importe recuperable si no se presentase indicio alguno de una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La entidad evaluará, al final de cada periodo sobre el que se informa, si existe algún indicio de deterioro del valor de algún activo. Si existiera este indicio, la entidad estimará el importe recuperable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Con independencia de la existencia de cualquier indicio de deterioro del valor, la entidad deberá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Comprobar anualmente el deterioro del valor de cada activo intangible con una vida útil indefinida, así como de los activos intangibles que aún no estén disponibles </w:t>
      </w:r>
      <w:r w:rsidRPr="00401DFF">
        <w:rPr>
          <w:rFonts w:ascii="Times New Roman" w:eastAsia="Times New Roman" w:hAnsi="Times New Roman" w:cs="Times New Roman"/>
          <w:b/>
          <w:bCs/>
          <w:sz w:val="24"/>
          <w:szCs w:val="24"/>
          <w:lang w:eastAsia="es-CO"/>
        </w:rPr>
        <w:lastRenderedPageBreak/>
        <w:t>para su uso, comparando su importe en libros con su importe recuperable. Esta comprobación del deterioro del valor puede efectuarse en cualquier momento dentro del periodo anual, siempre que se efectúe en la misma fecha cada año. La comprobación del deterioro del valor de los activos intangibles diferentes puede realizarse en distintas fechas. No obstante, si dicho activo intangible se hubiese reconocido inicialmente durante el periodo anual corriente, se comprobará el deterioro de su valor antes de que finalice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Comprobar anualmente el deterioro del valor de la plusvalía adquirida en una combinación de negocios, de acuerdo con los párrafos 80 a 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capacidad de un activo intangible para generar suficientes beneficios económicos futuros como para recuperar su importe en libros estará sujeta, generalmente, a una mayor incertidumbre antes de que el activo esté disponible para su uso que después. En consecuencia, esta Norma requiere que la entidad compruebe, al menos anualmente, el deterioro del valor del importe en libros de un activo intangible que todavía no se encuentre disponible para su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Al evaluar si existe algún indicio de que pueda haberse deteriorado el valor de un activo, una entidad considerará, como mínimo, los siguientes indicios: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Fuentes externas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Existen indicios observables de que el valor del activo ha disminuido durante el periodo significativamente más que lo que cabría esperar como consecuencia del paso del tiempo o de su uso normal.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Durante el periodo han tenido lugar, o van a tener lugar en un futuro inmediato, cambios significativos con una incidencia adversa sobre la entidad, referentes al entorno legal, económico, tecnológico o de mercado en los que ésta opera, o bien en el mercado al que está destinado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Durante el periodo, las tasas de interés de mercado, u otras tasas de mercado de rendimiento de inversiones, han sufrido incrementos que probablemente afecten a la tasa de descuento utilizada para calcular el valor en uso del activo, de forma que disminuyan su importe recuperable de forma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en libros de los activos netos de la entidad, es mayor que su capitalización bursátil.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Fuentes internas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Se dispone de evidencia sobre la obsolescencia o deterioro físico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(f) Durante el periodo han tenido lugar, o se espera que tengan lugar en un futuro inmediato, cambios significativos en el alcance o manera en que se usa o se espera </w:t>
      </w:r>
      <w:r w:rsidRPr="00401DFF">
        <w:rPr>
          <w:rFonts w:ascii="Times New Roman" w:eastAsia="Times New Roman" w:hAnsi="Times New Roman" w:cs="Times New Roman"/>
          <w:b/>
          <w:bCs/>
          <w:sz w:val="24"/>
          <w:szCs w:val="24"/>
          <w:lang w:eastAsia="es-CO"/>
        </w:rPr>
        <w:lastRenderedPageBreak/>
        <w:t>usar el activo, que afectarán desfavorablemente a la entidad.</w:t>
      </w:r>
      <w:r w:rsidRPr="00401DFF">
        <w:rPr>
          <w:rFonts w:ascii="Times New Roman" w:eastAsia="Times New Roman" w:hAnsi="Times New Roman" w:cs="Times New Roman"/>
          <w:sz w:val="24"/>
          <w:szCs w:val="24"/>
          <w:lang w:eastAsia="es-CO"/>
        </w:rPr>
        <w:t xml:space="preserve"> Estos cambios incluyen el hecho de que el activo esté ocioso, planes de discontinuación o restructuración de la operación a la que pertenece el activo, planes para disponer del activo antes de la fecha prevista, y la reconsideración como finita de la vida útil de un activo como finita, en lugar de indefinida</w:t>
      </w:r>
      <w:hyperlink r:id="rId45" w:anchor="bf1291cfa0c2d6d456a9a85e2e671df5962nf9" w:tgtFrame="_self" w:history="1">
        <w:r w:rsidRPr="00401DFF">
          <w:rPr>
            <w:rFonts w:ascii="Times New Roman" w:eastAsia="Times New Roman" w:hAnsi="Times New Roman" w:cs="Times New Roman"/>
            <w:color w:val="0000FF"/>
            <w:sz w:val="20"/>
            <w:szCs w:val="20"/>
            <w:u w:val="single"/>
            <w:vertAlign w:val="superscript"/>
            <w:lang w:eastAsia="es-CO"/>
          </w:rPr>
          <w:t>(3)</w:t>
        </w:r>
      </w:hyperlink>
      <w:r w:rsidRPr="00401DFF">
        <w:rPr>
          <w:rFonts w:ascii="Times New Roman" w:eastAsia="Times New Roman" w:hAnsi="Times New Roman" w:cs="Times New Roman"/>
          <w:sz w:val="20"/>
          <w:szCs w:val="20"/>
          <w:vertAlign w:val="superscript"/>
          <w:lang w:eastAsia="es-CO"/>
        </w:rPr>
        <w:t>(sic)</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Se dispone de evidencia procedente de informes internos, que indica que el rendimiento económico del activo es, o va a ser, peor que el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Dividendos procedentes de subsidiarias, negocios conjuntos o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Para una inversión en una subsidiaria, negocio conjunto o asociada, el inversor reconoce un dividendo procedente de la inversión y existe evidencia de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importe en libros de la inversión en los estados financieros separados supera el importe en libros en los estados financieros consolidados de los activos netos de la entidad en que se ha invertido, incluyendo la plusvalía asociada;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dividendo supera el resultado integral total de la subsidiaria, negocio conjunto o asociada en el periodo en que éste se ha declarado.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La lista del párrafo 12 no es exhaustiva. La entidad puede identificar otros indicios para detectar que el valor del activo puede haberse deteriorado, lo que también le obligaría a determinar el importe recuperable del activo o, en el caso de la plusvalía a comprobar el deterioro del valor de acuerdo con los párrafos 80 a 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La evidencia obtenida a través de informes internos, que indique un deterioro del valor del activo, incluye la existencia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flujos de efectivo para adquirir el activo, o necesidades posteriores de efectivo para operar con él o mantenerlo, que son significativamente mayores a los presupuestados inicialmente;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flujos netos de efectivo reales, o resultados, derivados de la operación del activo, que son significativamente peores a los presupuestados;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disminución significativa de los flujos de efectivo netos o de la ganancia de operación presupuestada, o un incremento significativo de las pérdidas originalmente presupuestadas procedentes del activo;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pérdidas de operación o flujos netos negativos de efectivo para el activo, cuando las cifras del periodo corriente se suman a las presupuestadas para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Como se indica en el párrafo 10, esta Norma exige comprobar, al menos anualmente, el deterioro del valor de un activo intangible con una vida útil indefinida o todavía no disponible para su uso, así como de la plusvalía. Independientemente del momento en que </w:t>
      </w:r>
      <w:r w:rsidRPr="00401DFF">
        <w:rPr>
          <w:rFonts w:ascii="Times New Roman" w:eastAsia="Times New Roman" w:hAnsi="Times New Roman" w:cs="Times New Roman"/>
          <w:sz w:val="24"/>
          <w:szCs w:val="24"/>
          <w:lang w:eastAsia="es-CO"/>
        </w:rPr>
        <w:lastRenderedPageBreak/>
        <w:t>se apliquen los requerimientos del párrafo 10, el concepto de materialidad o importancia relativa se aplicará al identificar si es necesario estimar el importe recuperable de un activo. Por ejemplo, si los cálculos previos muestran que el importe recuperable de un activo es significativamente superior a su importe en libros, la entidad no necesitará volver a estimar su importe recuperable, siempre que no haya ocurrido ningún evento que pudiera haber eliminado esa diferencia. De forma similar, los análisis preliminares podrían mostrar que el importe recuperable de un activo no es sensible a uno o varios de los indicios enumerados en el párrafo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Como ilustración de lo indicado en el párrafo 15, si las tasas de interés de mercado u otras tasas de mercado de rendimiento de las inversiones se hubiesen incrementado durante el periodo, la entidad no estará obligada a realizar una estimación formal del importe recuperable del activo en los siguientes casos: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no sea probable que la tasa de descuento utilizada al calcular el valor en uso del activo vaya a verse afectado por el incremento de estas tasas de mercado. Por ejemplo, los incrementos en las tasas de interés a corto plazo pueden no tener un efecto significativo en la tasa de descuento aplicada para un activo al que le resta todavía una larga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resulte probable que la tasa de descuento, utilizada al calcular el valor en uso del activo, vaya a verse afectado por el incremento en esas tasas de mercado, pero los análisis previos de sensibilidad sobre el importe recuperable muestran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Es improbable que se vaya a producir una disminución significativa en el importe recuperable, porque es probable que los flujos futuros de efectivo se vean aumentados (por ejemplo, en algunos casos, la entidad podría ser capaz de demostrar que puede ajustar sus ingresos de actividades ordinarias para compensar cualquier incremento en las tasas de mercado);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es improbable que de la disminución del importe recuperable resulte un deterioro del valor que sea significativo.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existiese algún indicio de que el activo puede haber deteriorado su valor, esto podría indicar que, la vida útil restante, el método de depreciación (amortización) o el valor residual del activo, necesitan ser revisados y ajustados de acuerdo con la Norma aplicable a ese activo, incluso si finalmente no se reconociese ningún deterioro del valor para el activo considerado.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Esta Norma define el importe recuperable de un activo o de una unidad generadora de efectivo como el mayor entre su valor razonable menos los costos de disposición y su valor en uso. En los párrafos 19 a 57 se establecen los requisitos para la determinación del importe recuperable. En ellos se utiliza el término “activo”, pero su contenido es de aplicación tanto a los activos individuales como a las unidades generadoras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19 No siempre es necesario determinar el valor razonable del activo menos los costos de disposición y su valor en uso. Si cualquiera de esos importes excediera al importe en libros del activo, éste no habría sufrido un deterioro de su valor y, no sería necesario estimar el otro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Sería posible medir el valor razonable del activo menos los costos de disposición, incluso si no existe un precio cotizado en un mercado activo para un activo idéntico. Sin embargo, en ocasiones no es posible medir el valor razonable del activo menos los costos de disposición, por la inexistencia de bases para realizar una estimación fiable del precio que se podría obtener, por la venta del activo en una transacción realizada en condiciones de independencia mutua entre partes interesadas y debidamente informadas. En este caso, la entidad podría utilizar el valor en uso del activo como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Si no hubiese razón para creer que el valor en uso de un activo excede de forma significativa a su valor razonable menos los costos de disposición, se considerará a este último como su importe recuperable. Este será, con frecuencia, el caso de un activo que se mantiene para su disposición. Esto es así porque el valor en uso de un activo que se mantiene para disposición consistirá, principalmente, en los ingresos netos de la disposición, tales como los flujos de efectivo futuros, derivados de su utilización continuada hasta la disposición, probablemente resulten insignificantes a efectos del cálculo.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El importe recuperable se calculará para un activo individual, a menos que el activo no genere entradas de efectivo que sean, en buena medida, independientes de las producidas por otros activos o grupos de activos. Si este fuera el caso, el importe recuperable se determinará para la unidad generadora de efectivo a la que pertenezca el activo (véanse los párrafos 65 a 103),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razonable del activo menos los costos de disposición sea mayor que su importe en libros;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estime que el valor en uso del activo esté próximo a su valor razonable menos los costos de disposición, y este último importe pueda ser medido.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En algunos casos, para la determinación del valor razonable del activo menos los costos de venta o del valor en uso, las estimaciones, los promedios y otras simplificaciones en el cálculo pueden proporcionar una aproximación razonable a las cifras que se obtendrían de cálculos más detallados como los ilustrados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importe recuperable de un activo intangible con una vida útil indefinida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El párrafo 10 requiere que se compruebe anualmente el deterioro del valor de un activo intangible con una vida útil indefinida, mediante la comparación de su importe en libros con su importe recuperable, con independencia de la existencia de cualquier indicio de deterioro del valor. No obstante, podrían emplearse los cálculos recientes más detallados del importe recuperable efectuados en el periodo precedente para comprobar el deterioro </w:t>
      </w:r>
      <w:r w:rsidRPr="00401DFF">
        <w:rPr>
          <w:rFonts w:ascii="Times New Roman" w:eastAsia="Times New Roman" w:hAnsi="Times New Roman" w:cs="Times New Roman"/>
          <w:sz w:val="24"/>
          <w:szCs w:val="24"/>
          <w:lang w:eastAsia="es-CO"/>
        </w:rPr>
        <w:lastRenderedPageBreak/>
        <w:t>del valor de ese activo en el periodo corriente, siempre que se cumplan los siguientes requisitos: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el caso de que el activo intangible no generase entradas de efectivo que sean en buena medida independientes de aquellos flujos que provienen de otros activos o grupos de activos y, en consecuencia, se compruebe su deterioro del valor como parte de la unidad generadora de efectivo a la cual pertenece, que los activos y pasivos que componen esa unidad no hayan cambiado significativamente desde que se realizó el cálculo más reciente del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que el cálculo del importe recuperable más reciente diese lugar a una cantidad que exceda, por un margen significativo, del importe en libros del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que basándose en un análisis de los eventos y circunstancias que han ocurrido y aquellas circunstancias que han cambiado desde que se efectuó el cálculo más reciente del importe recuperable, la probabilidad de que el importe recuperable corriente sea inferior al importe en libros sea remota.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menos los costos de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25-27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Los costos de disposición, diferentes de aquéllos que ya hayan sido reconocidos como pasivos, se deducirán al medir el valor razonable menos los costos de disposición. Ejemplos de estos costos son los costos de carácter legal, timbres y otros impuestos de la transacción similares, los costos de desmontar o desplazar el activo, así como todos los demás costos incrementales para dejar el activo en condiciones para su venta. No obstante, las indemnizaciones por cese (definidas en la NIC 19) y otros costos asociados con la reducción del tamaño o la reorganización de un negocio, que implique la disposición de un activo, no son costos incrementales directamente relacionados y atribuibles a la disposición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En ocasiones, la disposición de un activo puede obligar al comprador a asumir un pasivo, y sólo se puede disponer de un único valor razonable menos los costos de disposición del conjunto formado por el activo y el pasivo. En el párrafo 78 se explica cómo tratar tales casos.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Los siguientes elementos deberán reflejarse en el cálculo del valor en uso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estimación de los flujos de efectivo futuros que la entidad espera obtener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las expectativas sobre posibles variaciones en el importe o en la distribución temporal de dichos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valor temporal del dinero, representado por la tasa de interés de mercado sin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precio por la presencia de incertidumbre inherente en 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otros factores, tales como la iliquidez, que los participantes en el mercado reflejarían al poner precio a los flujos de efectivo futuros que la entidad espera que se deriven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La estimación del valor en uso de un activo conlleva los siguientes pasos: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estimar las entradas y salidas futuras de efectivo derivadas tanto de la utilización continuada del activo como de su disposición final;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aplicar la tasa de descuento adecuada a estos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Los elementos identificados en los apartados (b), (d) y (e) del párrafo 30 pueden reflejarse como ajustes en los flujos de efectivo futuros o como ajustes en la tasa de descuento. Cualquiera que sea el enfoque que la entidad adopte para reflejar las expectativas sobre posibles variaciones en el importe o distribución temporal de los flujos de efectivo futuros, el resultado será reflejar el valor presente esperado de los flujos de efectivo futuros, es decir el promedio ponderado de todos los posibles resultados. En el Apéndice A se proporcionan guías adicionales sobre el uso de las técnicas del cálculo del valor presente en la determinación del valor en uso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Bases para la estimación de los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 En la determinación del valor en uso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Basará las proyecciones de los flujos de efectivo en hipótesis razonables y fundamentadas, que representen las mejores estimaciones de la gerencia sobre el conjunto de las condiciones económicas que se presentarán a lo largo de la vida útil restante del activo. Se otorgará un mayor peso a las evidencias externas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Basará las proyecciones de flujos de efectivo en los presupuestos o pronósticos financieros más recientes, que hayan sido aprobados por la gerencia, excluyendo cualquier estimación de entradas o salidas de efectivo que se espere surjan de reestructuraciones futuras o de mejoras del rendimiento de los activos. Las proyecciones basadas en estos presupuestos o pronósticos cubrirán como máximo un periodo de cinco años, salvo que pueda justificarse un plazo mayor.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Estimará las proyecciones de flujos de efectivo posteriores al periodo cubierto por los presupuestos o pronósticos más recientes, extrapolando las proyecciones anteriores </w:t>
      </w:r>
      <w:r w:rsidRPr="00401DFF">
        <w:rPr>
          <w:rFonts w:ascii="Times New Roman" w:eastAsia="Times New Roman" w:hAnsi="Times New Roman" w:cs="Times New Roman"/>
          <w:b/>
          <w:bCs/>
          <w:sz w:val="24"/>
          <w:szCs w:val="24"/>
          <w:lang w:eastAsia="es-CO"/>
        </w:rPr>
        <w:lastRenderedPageBreak/>
        <w:t>basadas en ellos, utilizando para los años posteriores escenarios con una tasa de crecimiento nula o decreciente, salvo que se pudiera justificar el uso de una tasa creciente. Esta tasa de crecimiento no excederá de la tasa promedio de crecimiento a largo plazo para los productos o industrias, así como para el país o países en los que opera la entidad y para el mercado en el que se utilice el activo, a menos que se pueda justificar una tasa de crecimiento mayor.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La gerencia evaluará la razonabilidad de las hipótesis en las que se basan sus proyecciones corrientes de flujos de efectivo, examinando las causas de las diferencias entre las proyecciones de flujos de efectivo pasadas y corrientes. La gerencia se asegurará que las hipótesis sobre las que se basan sus proyecciones de flujos de efectivo corrientes sean uniformes con los resultados reales obtenidos en el pasado, siempre que los efectos de hechos o circunstancias posteriores que no existían cuando dichos flujos de efectivo reales fueron generados, lo permitan.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Por lo general, no se suele disponer de presupuestos o pronósticos financieros que sean detallados, explícitos y fiables, para periodos superiores a cinco años. Por esta razón, las estimaciones que haga la gerencia sobre los flujos futuros de efectivo, se basarán en los presupuestos o pronósticos más recientes, para un máximo de cinco años. La gerencia puede utilizar proyecciones de flujos de efectivo, basadas en los presupuestos o pronósticos para un periodo mayor de cinco años, siempre que esté segura de que son fiables y pueda demostrar su capacidad, a partir de la experiencia pasada, para predecir los flujos de efectivo de forma precisa en plazos tan largos de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Las proyecciones de flujos de efectivo hasta el final de la vida útil del activo se estimarán extrapolando las proyecciones de flujos de efectivo basados en presupuestos o pronósticos, utilizando una tasa de crecimiento para los años siguientes. Esta tasa será constante o decreciente, a menos que la información objetiva indique que una tasa creciente se ajuste mejor a los patrones que sigue el ciclo de vida del producto o del sector industrial. Si resultara adecuado, la tasa de crecimiento podría también ser nula o negativa.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Cuando las condiciones sean favorables, es probable que entren competidores en el mercado y limiten el crecimiento. Por tanto, las entidades podrían tener dificultades para superar la tasa promedio de crecimiento histórica a largo plazo (por ejemplo, veinte años), referida a los productos, sectores industriales, país o países en los que la entidad opera, o al mercado en que el activo se utiliza.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Al usar información de presupuestos o pronósticos, una entidad considerará si la información refleja hipótesis razonables y fundamentadas, y si representa la mejor estimación de la gerencia sobre el conjunto de condiciones económicas que existirán durante la vida útil restante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Composición de las estimaciones de los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 Las estimaciones de los flujos de efectivo futuros incluirán: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proyecciones de entradas de efectivo procedentes de la utilización continuada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proyecciones de salidas de efectivo en las que sea necesario incurrir para generar las entradas de efectivo por la utilización continuada del activo (incluyendo, en su caso, los pagos que sean necesarios para preparar al activo para su utilización), y puedan ser atribuidas directamente, o distribuidas según una base razonable y uniforme, a dicho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flujos netos de efectivo que, en su caso, se recibirían (o pagarían) por la disposición del activo, al final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Las estimaciones de los flujos de efectivo futuros y de la tasa de descuento tendrán en cuenta hipótesis uniformes sobre los incrementos de precios debidos a la inflación general. Por tanto, si la tasa de descuento incluyese el efecto de los incrementos de precios debidos a la inflación general, los flujos de efectivo futuros se estimarían en términos nominales. Si la tasa de descuento excluyese el efecto de los incrementos de precios debidos a la inflación general, los flujos de efectivo futuros se estimarían en términos reales (pero incluirán incrementos o decrementos futuros en los precios específicos).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Las proyecciones de las salidas de efectivo incluyen aquéllas relacionadas con el mantenimiento diario del activo, así como los futuros gastos generales que puedan ser atribuidos de forma directa, o distribuidos sobre unas bases razonables y uniformes, a la utilización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Cuando el importe en libros del activo todavía no incluya la totalidad de las salidas de efectivo que se efectuarán antes de que esté preparado para su utilización o venta, la estimación de los pagos futuros incluirá también una estimación de cualquier salida de efectivo en la que se prevea incurrir antes de que el activo esté listo para su uso o venta. Este es el caso, por ejemplo, de un edificio en construcción o de un proyecto de desarrollo todavía no completado.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Con el fin de evitar duplicidades, las estimaciones de los flujos de efectivo futuros no incluirán: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Entradas de efectivo procedentes de activos que generen entradas de efectivo que sean en buena medida independientes de las entradas procedentes del activo que se esté revisando (por ejemplo, activos financieros tales como cuentas por cobrar);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pagos relacionados con obligaciones que ya han sido reconocidas como pasivos (por ejemplo, cuentas por pagar, pensiones o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 Los flujos de efectivo futuros se estimarán, para el activo, teniendo en cuenta su estado actual. Estas estimaciones de flujos de efectivo futuros no incluirán entradas o salidas de efectivo futuras estimadas que se espera que surjan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una reestructuración futura en la que la entidad no se ha comprometido todavía;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mejoras o aumentos del rendimiento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Puesto que los flujos de efectivo futuros se estiman para el activo en su estado actual, el valor en uso no reflejará: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salidas de efectivo futuras o los ahorros de costos relacionados (por ejemplo reducciones de personal), ni otros beneficios que se espere que surjan de una reestructuración futura en la que la entidad no se haya comprometido hasta el momento;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salidas de efectivo futuras que vayan a mejorar o aumentar el rendimiento del activo, ni tampoco las entradas de efectivo que se espere obtener de dichas salidas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46 Una reestructuración es un programa planificado y controlado por la gerencia, cuyo efecto es un cambio significativo en la actividad llevada a cabo por la entidad o en la manera en que está gestionada. En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se especifica cuándo la entidad está comprometida en una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Cuando una entidad se encuentra comprometida en una reestructuración, es probable que algunos de sus activos queden afectados por el desarrollo de la misma. Una vez que la entidad se involucre en tal proceso de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determinar el valor en uso, sus estimaciones de entradas y salidas futuras de flujos de efectivo reflejarán los ahorros de costos y demás beneficios esperados de la reestructuración (a partir de los presupuestos y pronósticos más recientes aprobados por la gerencia);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sus estimaciones de salidas de efectivo futuras por la reestructuración en sí, se incluirán en la provisión por reestructuración, según lo establecido en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el Ejemplo 5 se ilustra el efecto de una reestructuración futura en los cálculos del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Hasta que la entidad lleve a cabo las salidas de efectivo necesarias para mejorar o potenciar el desempeño del activo, las estimaciones de flujos futuros de efectivo no incluirán las estimaciones de entradas de efectivo que se espere se deriven del incremento de los beneficios económicos asociados con las salidas de efectivo (véase el Ejemplo ilustrativo 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49 Las estimaciones de los flujos futuros de efectivo incluirán las salidas de efectivo futuras necesarias para mantener el nivel de beneficios económicos que se espere surjan del activo en su estado actual. Cuando una unidad generadora de efectivo esté integrada por activos con diferentes vidas útiles estimadas, siendo todos ellos esenciales para el funcionamiento operativo de la unidad, el reemplazo de activos con vidas útiles más cortas se considerará como parte del mantenimiento diario de la unidad, al estimar los flujos de efectivo futuros </w:t>
      </w:r>
      <w:r w:rsidRPr="00401DFF">
        <w:rPr>
          <w:rFonts w:ascii="Times New Roman" w:eastAsia="Times New Roman" w:hAnsi="Times New Roman" w:cs="Times New Roman"/>
          <w:sz w:val="24"/>
          <w:szCs w:val="24"/>
          <w:lang w:eastAsia="es-CO"/>
        </w:rPr>
        <w:lastRenderedPageBreak/>
        <w:t>asociados con la misma. De forma similar, cuando un activo individualmente considerado esté integrado por componentes con diferentes vidas útiles estimadas, la reposición de los componentes con vidas útiles más cortas se considerará como parte del mantenimiento diario del activo, cuando se estimen los flujos de efectivo futuros que el mismo genere.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50 Las estimaciones de los flujos de efectivo futuros no incluirán: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entradas o salidas de efectivo por actividades de financiación;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cobros o pagos por 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Los flujos de efectivo futuros estimados reflejarán hipótesis que sean uniformes con la manera de determinar la tasa de descuento. De otro modo, el efecto producido por algunas de las hipótesis se duplicaría o se ignoraría. Puesto que el valor temporal del dinero está ya considerado al descontar las estimaciones de flujos de efectivo futuros, esos flujos de efectivo excluirán las entradas y salidas de efectivo por actividades de financiación. De forma similar, puesto que la tasa de descuento se determina antes impuestos, los flujos de efectivo se han de estimar también antes del 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 La estimación de los flujos netos de efectivo a recibir (o a pagar), por la disposición de un activo al final de su vida útil, será el importe que la entidad espera obtener por la venta del elemento, en una transacción en condiciones de independencia mutua entre partes interesadas y debidamente informadas, después de deducir los costos estimados de la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La estimación de los flujos netos de efectivo a recibir (o a pagar) por la disposición de un activo al final de su vida útil, se determinará de forma similar a la del valor razonable del activo menos los costos de venta, excepto si en la estimación de esos flujos netos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ha utilizado precios vigentes en la fecha de estimación para activos similares, que hayan llegado al final de su vida útil y hayan estado operando en condiciones similares a aquéllas en las que el activo será utilizado.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entidad ha ajustado esos precios por el efecto de los incrementos debidos a la inflación general, y por los incrementos o disminuciones de los precios futuros específicos. No obstante, si tanto las estimaciones de los flujos de efectivo futuros, procedentes de la utilización continuada del activo, como la tasa de descuento, excluyen el efecto de la inflación general, la entidad también excluirá este efecto de la estimación de los flujos netos de efectivo procedentes de la disposición por del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53A El valor razonable difiere del valor en uso. Valor razonable refleja los supuestos que participantes de mercado utilizarían al fijar el precio del activo. En contraste, el valor en uso refleja los efectos de factores que pueden ser específicos de la entidad y no son aplicables a entidades en general. Por ejemplo, el valor razonable no reflejará ninguno de </w:t>
      </w:r>
      <w:r w:rsidRPr="00401DFF">
        <w:rPr>
          <w:rFonts w:ascii="Times New Roman" w:eastAsia="Times New Roman" w:hAnsi="Times New Roman" w:cs="Times New Roman"/>
          <w:sz w:val="24"/>
          <w:szCs w:val="24"/>
          <w:lang w:eastAsia="es-CO"/>
        </w:rPr>
        <w:lastRenderedPageBreak/>
        <w:t>los siguientes factores en la medida en que no estarían disponibles con generalidad para los participantes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valor adicional proveniente de la agrupación de activos (tales como la creación de una cartera de propiedades de inversión en localizaciones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sinergias entre el activo que está siendo medido y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derechos o restricciones legales que sólo son específicos del propietario actual del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beneficios o gravámenes fiscales que son específicos del propietario actual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Flujos de efectivo futuros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Los flujos de efectivo futuros se estimarán en la moneda en la que vayan a ser generados, y se actualizarán utilizando la tasa de descuento adecuada para esa moneda. La entidad convertirá el valor presente aplicando la tasa de cambio al contado en la fecha del cálculo del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La tasa o tasas de descuento a utilizar serán las tasas antes de impuestos, que reflejen las evaluaciones actuales del mercado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al valor temporal del dinero;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 los riesgos específicos del activo para los cuales las estimaciones de flujos de efectivo futuros no hayan sido ajustadas.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Una tasa que refleje las evaluaciones actuales del valor temporal del dinero y los riesgos específicos del activo, es el desempeño que los inversores exigirían, si escogieran una inversión que generase flujos de efectivo por importes, distribución temporal y perfil de riesgo, equivalentes a los que la entidad espera obtener del activo. Esta tasa de descuento se estimará a partir de la tasa implícita en las transacciones actuales de mercado para activos similares, o bien como el costo promedio ponderado del capital de una entidad cotizada que tuviera un solo activo (o una cartera de activos) similares al que se está considerando, en términos de potencial de servicio y riesgo soportado. No obstante, la tasa de descuento empleada para determinar el valor en uso de un activo no reflejará los riesgos para los cuales ya hayan sido ajustadas las estimaciones de flujos de efectivo futuros. De otro modo, el efecto de algunas hipótesis sería tenido en cuenta dos veces.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Cuando la tasa específica correspondiente a un activo no esté directamente disponible en el mercado, la entidad aplicará algún sustitutivo para estimar la tasa de descuento. En el Apéndice A se incluyen guías adicionales sobre la estimación de la tasa de descuento en estas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Reconocimiento y medición de la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En los párrafos 59 a 64 se establecen los requisitos para el reconocimiento y la medición de las pérdidas por deterioro del valor de los activos individuales distintos de la plusvalía. El reconocimiento y la medición de las pérdidas por deterioro del valor de las unidades generadoras de efectivo y la plusvalía se abordan en los párrafos 65 a 108.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59 El importe en libros de un activo se reducirá hasta que alcance su importe recuperable si, y sólo si, este importe recuperable es inferior al importe en libros. Esa reducción es una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60 La pérdida por deterioro del valor se reconocerá inmediatamente en el resultado del periodo, a menos que el activo se contabilice por su valor revaluado de acuerdo con otra Norma (por ejemplo de acuerdo con el modelo de revaluación previsto en la NIC 16). Cualquier pérdida por deterioro del valor, en los activos revaluados, se tratará como un decremento de la revaluación efectuada de acuerdo con esa otra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Una pérdida por deterioro del valor asociada a un activo no revaluado se reconocerá en el resultado del periodo. Sin embargo, una pérdida por deterioro del valor de un activo revaluado se reconocerá en otro resultado integral, en la medida en que el deterioro de valor no exceda el importe del superávit de revaluación para ese activo. Esta pérdida por deterioro del valor correspondiente a un activo revaluado reduce el superávit de revaluación de ese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62 Cuando el importe estimado de una pérdida por deterioro del valor sea mayor que el importe en libros del activo con el que se relaciona, la entidad reconocerá un pasivo si, y sólo si, estuviese obligada a ello por otra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Tras el reconocimiento de una pérdida por deterioro del valor, los cargos por depreciación del activo se ajustarán en los periodos futuros, con el fin de distribuir el importe en libros revisado del activo, menos su eventual valor residual, de una forma sistemática a lo largo de su vida útil restante.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Si se reconoce una pérdida por deterioro del valor, se determinarán también los activos y pasivos por impuestos diferidos relacionados con ella, mediante la comparación del importe en libros revisado del activo con su base fiscal, de acuerdo con la NIC 12 (véase el Ejemplo Ilustrativo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Unidades generadoras de efectivo y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Los párrafos 66 a 108 y el Apéndice C establecen los requerimientos para identificar las unidades generadoras de efectivo a las que pertenecen los activos, para determinar el importe en libros de las unidades generadoras de efectivo y de la plusvalía y para reconocer las pérdidas por deterioro del valor que les correspondan.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Identificación de la unidad generadora de efectivo a la que pertenece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66 Si existiera algún indicio del deterioro del valor de un activo, el importe recuperable se estimará para el activo individualmente considerado. Si no fuera posible estimar el importe recuperable del activo individual, la entidad determinará el importe recuperable de la unidad generadora de efectivo a la que el activo pertenece (la unidad generadora de efectivo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El importe recuperable de un activo individual no podrá ser determinado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en uso del activo no pueda estimarse como próximo a su valor razonable menos los costos de disposición (por ejemplo, cuando los flujos de efectivo futuros por la utilización continuada del activo no puedan determinarse por ser insignificantes);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activo no genere entradas de efectivo que sean en buena medida independientes de las producidas por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En estos casos, el valor en uso y, por tanto, el importe recuperable, podrán determinarse sólo a partir de la unidad generadora de efectivo del activo.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90"/>
      </w:tblGrid>
      <w:tr w:rsidR="00401DFF" w:rsidRPr="00401DFF" w:rsidTr="00401DFF">
        <w:trPr>
          <w:tblCellSpacing w:w="15" w:type="dxa"/>
          <w:jc w:val="center"/>
        </w:trPr>
        <w:tc>
          <w:tcPr>
            <w:tcW w:w="873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73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minera posee un ferrocarril privado para apoyo de las operaciones en una mina. El ferrocarril privado sólo puede ser vendido por su valor como chatarra, y no genera entradas de efectivo que sean en buena medida independientes de las entradas que corresponden a los otros activos de la mina.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No es posible estimar el importe recuperable del ferrocarril privado, porque su valor en uso no puede determinarse, y probablemente es diferente de su valor como chatarra. Por tanto, la entidad tendrá que estimar el importe recuperable de la unidad generadora de efectivo a la que pertenece el ferrocarril, es decir, la mina en su conjunto.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68 Como se define en el párrafo 6, la unidad generadora de efectivo de un activo es el grupo más pequeño de activos que, incluyendo al citado activo, genera entradas de efectivo que son en buena medida independientes de las entradas producidas por otros activos o grupos de activos. La identificación de la unidad generadora de efectivo de un activo implica la realización de juicios profesionales. Si no se puede determinar el importe recuperable de un activo individual, la entidad habrá de identificar el conjunto más pequeño de activos que, incluyendo al mismo, genere entradas de efectivo que sean en buena medida independientes.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75"/>
      </w:tblGrid>
      <w:tr w:rsidR="00401DFF" w:rsidRPr="00401DFF" w:rsidTr="00401DFF">
        <w:trPr>
          <w:tblCellSpacing w:w="15" w:type="dxa"/>
          <w:jc w:val="center"/>
        </w:trPr>
        <w:tc>
          <w:tcPr>
            <w:tcW w:w="871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71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de autobuses presta servicios a un municipio bajo contrato, que le exige unos ciertos servicios mínimos para cada una de las cinco rutas separadas que cubre. Los activos destinados a cada una de las rutas, y los flujos de efectivo que se derivan de cada una de ellas, pueden ser identificados por separado. Una de las rutas opera con pérdidas significativas.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lastRenderedPageBreak/>
              <w:t xml:space="preserve">Puesto que la entidad no tiene la opción de suspender ninguna de las rutas cubiertas por los autobuses, el menor nivel de entradas de efectivo identificables, que son en buena medida, independientes de las entradas de efectivo procedentes de otros activos o grupos de activos, son las entradas de efectivo generadas por las cinco rutas en conjunto. La unidad generadora de efectivo de cada ruta es la entidad en su conjunto.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69 Las entradas de efectivo son entradas de efectivo y equivalentes al efectivo, recibidos de partes externas a la entidad. Para identificar si las entradas de efectivo procedentes de un activo (o grupo de activos) son en buena medida independientes de las entradas de efectivo procedentes de otros activos (o grupos de activos), la entidad considerará diferentes factores, incluyendo cómo la gerencia controla las operaciones de la entidad (por ejemplo, por líneas de producto, negocios, localizaciones individuales, distritos o áreas regionales), o cómo la gerencia adopta las decisiones de continuar o disponer de los activos y operaciones de la entidad. El ejemplo ilustrativo 1 proporciona algunos ejemplos de identificación de unidades generadoras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70 Si existe un mercado activo para los productos elaborados por un activo o un grupo de activos, uno u otros se identificarán como una unidad generadora de efectivo, incluso si alguno o todos los productos elaborados se utilizasen internamente. Si las entradas de efectivo generadas por cualquier activo o unidad generadora de efectivo estuvieran afectadas por precios internos de transferencia, la entidad utilizará la mejor estimación de la gerencia sobre el precio(s) futuro(s) que podría alcanzarse en transacciones realizadas en condiciones de independencia mutua, estimando: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entradas de efectivo futuras empleadas para determinar el valor en uso del activo o de la unidad generadora de efectivo;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salidas de efectivo futuras empleadas para determinar el valor en uso de otros activos o unidades generadoras de efectivo afectadas por precios internos de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Aunque una parte o la totalidad de la producción elaborada por un activo o un grupo de activos, sea utilizada por otras unidades de la misma entidad (por ejemplo, productos de una fase intermedia dentro del proceso productivo), este activo o grupo de ellos formarán una unidad generadora de efectivo siempre y cuando la entidad pueda vender esta producción en un mercado activo. Esto es así porque ese activo, o grupo de activos, pueden generar entradas de efectivo que serían en buena medida independientes de las entradas de efectivo de los otros activos o grupos de activos. Al utilizar información basada en presupuestos o pronósticos financieros que se relacionen con tal unidad generadora de efectivo, o con cualquier otro activo o unidad generadora de efectivo afectada por precios internos de transferencia, la entidad ajustará esta información si los precios internos de transferencia no reflejan la mejor estimación de la gerencia sobre los precios futuros que podrían ser alcanzados en transacciones realizadas en condiciones de independencia mutua.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72 Las unidades generadoras de efectivo se identificarán de forma uniforme de un periodo a otro, y estarán formadas por el mismo activo o tipos de activos, salvo que se justifique un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Si una entidad determinase que un activo pertenece, en este periodo, a una unidad generadora de efectivo diferente de la que perteneció en periodos anteriores, o que los tipos de activos que forman la unidad generadora de efectivo del activo han cambiado, el párrafo 130 exige revelar ciertas informaciones sobre esta unidad generadora de efectivo, en el caso de que se hubiera reconocido una pérdida por deterioro del valor o una reversión de la misma para la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 recuperable e importe en libros de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El importe recuperable de una unidad generadora de efectivo, es el mayor entre el valor razonable menos los costos de disposición de la unidad y su valor en uso. Para los propósitos de determinar el importe recuperable de la unidad generadora de efectivo, las referencias efectuadas en los párrafos 19 a 57 al término “activo” se entenderán hechas a la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75 El importe en libros de una unidad generadora de efectivo se determinará de manera uniforme con la forma en que se calcule el importe recuperable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El importe en libros de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incluirá el importe en libros sólo de aquellos activos que puedan ser atribuidos directamente, o distribuidos según un criterio razonable y uniforme, a la unidad generadora de efectivo y que generarán las entradas futuras de efectivo utilizadas en la determinación del valor en uso de la citada unidad;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incluirá el importe en libros de ningún pasivo reconocido, a menos que el importe recuperable de la unidad generadora de efectivo no pudiera ser determinado sin tener en cuenta tal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Esto es así porque el valor razonable menos los costos de disposición, así como el valor en uso de una unidad generadora de efectivo, se determinan excluyendo los flujos de efectivo relacionados con los activos que no forman parte de la unidad y con los pasivos que ya se hayan contabilizado (véanse los párrafos 28 y 43).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77 Cuando se agrupen los activos para evaluar su recuperabilidad, es importante incluir en la unidad generadora de efectivo todos los activos que generan o son empleados para generar las corrientes relevantes de entradas de efectivo. De otro modo, la unidad generadora de efectivo podría aparecer como plenamente recuperable, cuando de hecho se ha producido una pérdida por deterioro del valor. En algunos casos se da la circunstancia de que, aunque determinados activos puedan contribuir a la producción de los flujos de efectivo futuros estimados de la unidad generadora de efectivo, no pueden ser distribuidos con un criterio razonable y uniforme a la unidad en cuestión. Este podría ser el caso de la </w:t>
      </w:r>
      <w:r w:rsidRPr="00401DFF">
        <w:rPr>
          <w:rFonts w:ascii="Times New Roman" w:eastAsia="Times New Roman" w:hAnsi="Times New Roman" w:cs="Times New Roman"/>
          <w:sz w:val="24"/>
          <w:szCs w:val="24"/>
          <w:lang w:eastAsia="es-CO"/>
        </w:rPr>
        <w:lastRenderedPageBreak/>
        <w:t>plusvalía o de los activos comunes de la entidad, como la sede social. En los párrafos 80 a 103 se explica cómo tratar estos activos, al comprobar si la unidad generadora de efectivo ha deteriorado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78 Podría ser necesario considerar algunos pasivos reconocidos para determinar el importe recuperable de la unidad generadora de efectivo. Esto podría ocurrir si la disposición de la citada unidad, obligase al comprador a asumir un pasivo. En este caso, el valor razonable menos los costos de disposición (o el flujo de efectivo estimado procedente de la disposición, al final de su vida útil) de la unidad generadora de efectivo será el precio de venta de los activos de la unidad generadora de efectivo y del pasivo, de forma conjunta, menos los costos correspondientes a la disposición. Para llevar a cabo una adecuada comparación, entre el importe en libros de la unidad generadora de efectivo y su importe recuperable, será preciso deducir el importe en libros del pasivo al calcular tanto el valor en uso de la unidad, como su importe en libros.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5"/>
      </w:tblGrid>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opera una mina en cierto país, donde la legislación exige que los propietarios rehabiliten los terrenos cuando finalicen las operaciones mineras. El costo de rehabilitación incluye la reposición de las capas de tierra que hubo que extraer de la mina antes de que la operación comenzara. Por eso, se ha reconocido una provisión para cubrir los costos de reposición desde el momento en que se extrajo la tierra. El importe de la provisión se ha reconocido como parte del costo de la mina, y se está amortizando a lo largo de la vida útil de la misma. El importe en libros de la provisión por los costos de rehabilitación es de 500 u.m.</w:t>
            </w:r>
            <w:hyperlink r:id="rId46" w:anchor="bf11218966c77d246c295b5c6c101df6144nf9" w:tgtFrame="_self" w:history="1">
              <w:r w:rsidRPr="00401DFF">
                <w:rPr>
                  <w:rFonts w:ascii="Times New Roman" w:eastAsia="Times New Roman" w:hAnsi="Times New Roman" w:cs="Times New Roman"/>
                  <w:color w:val="0000FF"/>
                  <w:sz w:val="20"/>
                  <w:szCs w:val="20"/>
                  <w:u w:val="single"/>
                  <w:vertAlign w:val="superscript"/>
                  <w:lang w:eastAsia="es-CO"/>
                </w:rPr>
                <w:t>(42)</w:t>
              </w:r>
            </w:hyperlink>
            <w:r w:rsidRPr="00401DFF">
              <w:rPr>
                <w:rFonts w:ascii="Times New Roman" w:eastAsia="Times New Roman" w:hAnsi="Times New Roman" w:cs="Times New Roman"/>
                <w:sz w:val="24"/>
                <w:szCs w:val="24"/>
                <w:lang w:eastAsia="es-CO"/>
              </w:rPr>
              <w:t>, que es igual al valor presente de los costos de rehabilitación.</w:t>
            </w:r>
            <w:r w:rsidRPr="00401DFF">
              <w:rPr>
                <w:rFonts w:ascii="Times New Roman" w:eastAsia="Times New Roman" w:hAnsi="Times New Roman" w:cs="Times New Roman"/>
                <w:sz w:val="24"/>
                <w:szCs w:val="24"/>
                <w:lang w:eastAsia="es-CO"/>
              </w:rPr>
              <w:br/>
              <w:t>La entidad está comprobando el posible deterioro del valor de la mina. La unidad generadora de efectivo de la mina es la propia mina en su conjunto. La entidad ha recibido varias ofertas de compra de la mina, con precios alrededor de 800 u.m. Este precio refleja el hecho de que el comprador asumirá la obligación de rehabilitar los terrenos. Los costos de disposición de la mina son insignificantes. El valor en uso de la mina es aproximadamente 1.200 u.m., excluyendo los costos de rehabilitación. El importe en libros de la mina es de 1.000 u.m.</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El valor razonable menos los costos de disposición de la unidad generadora de efectivo es de 800 u.m. En este importe se ha considerado el impacto de los costos de rehabilitación. Como consecuencia de ello, el valor en uso de la unidad generadora de efectivo se determinará después de considerar los costos de la rehabilitación, y se estima en un importe de 700 u.m. (1.200 u.m. menos 500 u.m.). El importe en libros de la unidad generadora de efectivo asciende a 500 u.m., igual al importe en libros de la mina (1.000 u.m.) menos el importe en libros de la provisión para costos de rehabilitación (500 u.m.). En consecuencia, el importe recuperable de la unidad generadora de efectivo excede a su importe en libros.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79 Por razones prácticas, el importe recuperable de una unidad generadora de efectivo se determina, en ocasiones, después de tener en consideración los activos que no son parte de la propia unidad (por ejemplo, cuentas por cobrar u otros activos financieros) o pasivos que se hayan reconocido (por ejemplo, cuentas por pagar, pensiones y otras provisiones). En </w:t>
      </w:r>
      <w:r w:rsidRPr="00401DFF">
        <w:rPr>
          <w:rFonts w:ascii="Times New Roman" w:eastAsia="Times New Roman" w:hAnsi="Times New Roman" w:cs="Times New Roman"/>
          <w:sz w:val="24"/>
          <w:szCs w:val="24"/>
          <w:lang w:eastAsia="es-CO"/>
        </w:rPr>
        <w:lastRenderedPageBreak/>
        <w:t>estos casos, el importe en libros de la unidad generadora de efectivo se incrementará por el importe en libros de estos activos y se disminuirá por el importe en libros de los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Distribución de la plusvalía a las unidades generadoras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A efectos de comprobar el deterioro del valor, la plusvalía adquirida en una combinación de negocios se distribuirá, desde la fecha de adquisición, entre cada una de las unidades generadoras de efectivo o grupos de unidades generadoras de efectivo de la entidad adquirente, que se espere que se beneficien de las sinergias de la combinación de negocios, independientemente de que otros activos o pasivos de la entidad adquirida se asignen a esas unidades o grupos de unidades. Cada unidad o grupo de unidades entre las que se distribuya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representará el nivel más bajo, dentro de la entidad, al que se controla la plusvalía a efectos de gestión interna;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no será mayor que un segmento de operación, según se define en el párrafo 5 de la NIIF 8 </w:t>
      </w:r>
      <w:r w:rsidRPr="00401DFF">
        <w:rPr>
          <w:rFonts w:ascii="Times New Roman" w:eastAsia="Times New Roman" w:hAnsi="Times New Roman" w:cs="Times New Roman"/>
          <w:b/>
          <w:bCs/>
          <w:i/>
          <w:iCs/>
          <w:sz w:val="24"/>
          <w:szCs w:val="24"/>
          <w:lang w:eastAsia="es-CO"/>
        </w:rPr>
        <w:t>Segmentos de Operación</w:t>
      </w:r>
      <w:r w:rsidRPr="00401DFF">
        <w:rPr>
          <w:rFonts w:ascii="Times New Roman" w:eastAsia="Times New Roman" w:hAnsi="Times New Roman" w:cs="Times New Roman"/>
          <w:b/>
          <w:bCs/>
          <w:sz w:val="24"/>
          <w:szCs w:val="24"/>
          <w:lang w:eastAsia="es-CO"/>
        </w:rPr>
        <w:t xml:space="preserve"> antes de la adición.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La plusvalía reconocida en una combinación de negocios es un activo que representa los beneficios económicos futuros que surgen de otros activos adquiridos en una combinación de negocios que no están identificados individualmente y reconocidos de forma separada. La plusvalía no genera flujos de efectivo independientemente de otros activos o grupos de activos, y a menudo contribuye a la generación de los flujos de efectivo de múltiples unidades generadoras de efectivo. Algunas veces, la plusvalía no puede ser asignada con criterios que no sean arbitrarios a las unidades generadoras de efectivo individuales, sino sólo entre grupos de unidades generadoras de efectivo. Como resultado, el nivel más bajo al que, dentro de la entidad, se controla la plusvalía a efectos de gestión interna incluye, en ocasiones, un número de unidades generadoras de efectivo con las que se relaciona la plusvalía, pero no puede ser distribuida entre ellos. Las referencias contenidas en los párrafos 83 a 99 y en el Apéndice C a las unidades generadoras de efectivo entre las que se distribuye la plusvalía, deben entenderse también como referencias aplicables a grupos de unidades generadoras de efectivo entre las que se distribuye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La aplicación de los requisitos del párrafo 80 conducirá a la comprobación del deterioro del valor de la plusvalía a un nivel que refleje la forma en que la entidad gestiona sus operaciones y con el que la plusvalía estaría naturalmente asociada. En consecuencia, no es necesario el desarrollo de sistemas de información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83 Una unidad generadora de efectivo a la que se ha distribuido una plusvalía con el propósito de comprobar el deterioro del valor, podría no coincidir con el nivel al que la plusvalía es distribuida de acuerdo con la NIC 21 </w:t>
      </w:r>
      <w:r w:rsidRPr="00401DFF">
        <w:rPr>
          <w:rFonts w:ascii="Times New Roman" w:eastAsia="Times New Roman" w:hAnsi="Times New Roman" w:cs="Times New Roman"/>
          <w:i/>
          <w:iCs/>
          <w:sz w:val="24"/>
          <w:szCs w:val="24"/>
          <w:lang w:eastAsia="es-CO"/>
        </w:rPr>
        <w:t>Efectos de las Variaciones en las Tasas de Cambio de la Moneda Extranjera,</w:t>
      </w:r>
      <w:r w:rsidRPr="00401DFF">
        <w:rPr>
          <w:rFonts w:ascii="Times New Roman" w:eastAsia="Times New Roman" w:hAnsi="Times New Roman" w:cs="Times New Roman"/>
          <w:sz w:val="24"/>
          <w:szCs w:val="24"/>
          <w:lang w:eastAsia="es-CO"/>
        </w:rPr>
        <w:t xml:space="preserve"> a efectos de medir las pérdidas y ganancias en moneda extranjera. Por ejemplo, si la NIC 21 exige a la entidad distribuir la plusvalía a niveles relativamente bajos con el fin de medir las pérdidas y ganancias en moneda </w:t>
      </w:r>
      <w:r w:rsidRPr="00401DFF">
        <w:rPr>
          <w:rFonts w:ascii="Times New Roman" w:eastAsia="Times New Roman" w:hAnsi="Times New Roman" w:cs="Times New Roman"/>
          <w:sz w:val="24"/>
          <w:szCs w:val="24"/>
          <w:lang w:eastAsia="es-CO"/>
        </w:rPr>
        <w:lastRenderedPageBreak/>
        <w:t>extranjera, no se exigirá comprobar el deterioro del valor de la plusvalía al mismo nivel, a menos que también se controle la plusvalía a ese nivel a efectos de gestión interna.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84 Si la distribución inicial de la plusvalía adquirida en una combinación de negocios no pudiera completarse antes del cierre del periodo anual en el que la combinación de negocios tuvo lugar, esa distribución inicial se completará antes del cierre del primer periodo anual que comience después de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85 De acuerdo con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cuando la contabilización inicial de una combinación de negocios sólo pueda determinarse de forma provisional al final del periodo en que ésta se efectúe,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contabilizará la combinación utilizando dichos valores provisionales;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reconocerá cualquier ajuste que se realice a esos valores provisionales como consecuencia de completar la contabilización inicial, dentro del periodo de medición, el cual no excederá de los doce meses siguientes a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estas circunstancias, podría también no ser posible completar la distribución inicial de la plusvalía reconocida en la combinación antes del cierre del periodo en el que se efectuó la combinación. Cuando éste sea el caso, la entidad revelará la información requerida por el párrafo 133.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86 Si se ha distribuido la plusvalía a una unidad generadora de efectivo y la entidad vende o dispone por otra vía de una operación dentro de esa unidad, la plusvalía asociada a la operación debe ser: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incluida en el importe en libros de la operación cuando se determine el resultado procedente de la disposición;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medida a partir de los valores relativos de la operación dispuesta y de la parte de la unidad generadora de efectivo que se siga manteniendo, a menos que la entidad pueda demostrar que algún otro método refleja mejor la plusvalía asociada con la operación dispuesta.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5"/>
      </w:tblGrid>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vende por 100 u.m. una operación que era parte de una unidad generadora de efectivo a la cual había sido distribuido parte de la plusvalía. La plusvalía distribuida a la unidad no puede identificarse ni asociarse con un grupo de activos a un nivel inferior al de esa unidad, salvo que se aplicasen criterios arbitrarios. El importe recuperable de la parte de la unidad generadora de efectivo que se sigue manteniendo es de 300 u.m.</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Debido a que la plusvalía distribuida a la unidad generadora de efectivo no puede ser identificada o asociada sin recurrir a criterios arbitrarios, con un grupo de activos a un nivel inferior al de esa unidad, la plusvalía asociada con la operación vendida se medirá sobre la base de los valores relativos de la operación vendida y de la parte de la unidad generadora de efectivo que se sigue manteniendo. En consecuencia, el 25 por ciento de la </w:t>
            </w:r>
            <w:r w:rsidRPr="00401DFF">
              <w:rPr>
                <w:rFonts w:ascii="Times New Roman" w:eastAsia="Times New Roman" w:hAnsi="Times New Roman" w:cs="Times New Roman"/>
                <w:i/>
                <w:iCs/>
                <w:sz w:val="24"/>
                <w:szCs w:val="24"/>
                <w:lang w:eastAsia="es-CO"/>
              </w:rPr>
              <w:lastRenderedPageBreak/>
              <w:t xml:space="preserve">plusvalía distribuida a la unidad generadora de efectivo se incluirá en el importe en libros de la operación vendida.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87 Si una entidad reorganizase su estructura de información de tal forma que cambiase la composición de una o más unidades generadoras de efectivo a las que se haya distribuido la plusvalía, se redistribuirá el importe de la misma entre las unidades afectadas. Esta redistribución se obtendrá empleando un método basado en los valores relativos, similar al usado cuando la entidad disponga de una operación dentro de una unidad generadora de efectivo, a menos que la entidad pueda demostrar que algún otro método refleje mejor la plusvalía asociada con las unidades reorganizadas.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9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plusvalía ha sido distribuida previamente a la unidad generadora de efectivo A. La plusvalía atribuida a la unidad A no puede ser identificada ni asociado con un grupo de activos a un nivel inferior a la unidad A, salvo que se aplicasen criterios arbitrarios. La unidad A va a ser dividida e integrada dentro de otras tres unidades generadoras de efectivo B, C y D.</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Debido a que la plusvalía atribuida a A no puede ser identificada o asociada con un grupo de activos a un nivel inferior a la unidad A, sin aplicar criterios arbitrarios, éste se redistribuirá a las unidades B, C y D sobre la base de los valores relativos de las tres partes que componen A, antes de que tales partes sean integradas con B, C y D.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Comprobación del deterioro del valor para las unidades generadoras de efectivo con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88 Cuando, según se determina en el párrafo 81, la plusvalía se relacione con una unidad generadora de efectivo pero no ha podido ser distribuida a la misma, esta unidad se someterá a una comprobación del deterioro de su valor, cuando existan indicios de que su valor podría haberse deteriorado, comparando el importe en libros de la unidad, excluyendo la plusvalía, con su importe recuperable. Cualquier pérdida por deterioro del valor se reconocerá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89 Si una unidad generadora de efectivo, de las descritas en el párrafo 88, incluyera en su importe en libros un activo intangible que tuviera una vida útil indefinida o que todavía no estuviera disponible para su uso, y este activo sólo pudiera ser sometido a la comprobación del deterioro del valor como parte de la unidad generadora de efectivo, el párrafo 10 requiere que la unidad también sea sometida a la comprobación de deterioro del valor anualmente.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90 Una unidad generadora de efectivo, a la que se ha distribuido la plusvalía, se someterá a la comprobación del deterioro del valor anualmente, y también cuando existan indicios de que la unidad podría haberse deteriorado, comparando el importe en libros de la unidad, incluyendo la plusvalía, con el importe recuperable de la misma. Si el importe recuperable de la unidad excediese a su importe en libros, la </w:t>
      </w:r>
      <w:r w:rsidRPr="00401DFF">
        <w:rPr>
          <w:rFonts w:ascii="Times New Roman" w:eastAsia="Times New Roman" w:hAnsi="Times New Roman" w:cs="Times New Roman"/>
          <w:b/>
          <w:bCs/>
          <w:sz w:val="24"/>
          <w:szCs w:val="24"/>
          <w:lang w:eastAsia="es-CO"/>
        </w:rPr>
        <w:lastRenderedPageBreak/>
        <w:t>unidad y la plusvalía atribuida a esa unidad se considerarán como no deteriorados. Si el importe en libros de la unidad excediese su importe recuperable, la entidad reconocerá la pérdida por deterioro del valor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91-95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Periodicidad de la comprobación del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96 La comprobación anual del deterioro del valor para una unidad generadora de efectivo a la que se haya asignado una plusvalía podrá efectuarse en cualquier momento durante un periodo anual, siempre que se realice en la misma fecha cada año. Las comprobaciones del deterioro de valor de diferentes unidades generadoras de efectivo pueden efectuarse en fechas diferentes. Sin embargo, si alguna de las plusvalías asignadas a una unidad generadora de efectivo o la totalidad de ellas hubiera sido adquirida en una combinación de negocios durante el periodo anual corriente, la comprobación del deterioro de valor de esta unidad se efectuará antes de la finalización del periodo anual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97 Si se comprobase el deterioro del valor de los activos que constituyen la unidad generadora de efectivo, a la que se ha distribuido plusvalía, al mismo tiempo que las unidades que contienen la plusvalía, se comprobará el deterioro del valor de estos activos antes del de la unidad que contenga la plusvalía. De forma similar, si se comprobase el deterioro del valor de las unidades generadoras de efectivo que constituyan un grupo de unidades a las que se haya distribuido la plusvalía, al mismo tiempo que el grupo de unidades que contenga la plusvalía, las unidades individuales se comprobarán antes que el grupo de unidades que contenga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98 En el momento de comprobar el deterioro del valor de una unidad generadora de efectivo a la que ha sido distribuido plusvalía, podrían existir indicios del deterioro del valor de un activo dentro de la unidad que contenga la plusvalía. En estas circunstancias, la entidad comprobará el deterioro del valor del activo, en primer lugar, y reconocerá cualquier pérdida por deterioro del valor para ese activo, antes de comprobar el deterioro del valor de la unidad generadora de efectivo que contiene la plusvalía. De forma similar, podrían existir indicios del deterioro del valor de una unidad generadora de efectivo dentro de un grupo de unidades que contienen la plusvalía. En estas circunstancias, la entidad comprobará el deterioro del valor primero de la unidad generadora de efectivo, y reconocerá cualquier pérdida por deterioro del valor de esa unidad antes de comprobar el deterioro del valor del grupo de unidades entre las que se ha distribuido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99 Los cálculos detallados más recientes, efectuados en el periodo anterior, del importe recuperable de una unidad generadora de efectivo a la que se ha distribuido la plusvalía, podrían ser utilizados para la comprobación del deterioro del valor de esa unidad en el periodo corriente, siempre que se cumplan los siguientes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activos y pasivos que componen esa unidad no han cambiado significativamente desde el cálculo del importe recuperable más reciente;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el cálculo del importe recuperable más reciente, dio lugar a una cantidad que excedía del importe en libros de la unidad por un margen significativo;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basándose en un análisis de los hechos que han ocurrido, y de las circunstancias que han cambiado desde que se efectuó el cálculo más reciente del importe recuperable, la probabilidad de que la determinación del importe recuperable corriente sea inferior al importe en libros corriente de la unidad, sea remota.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comunes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100 Los activos comunes de la entidad incluyen activos del grupo o de las divisiones, como el edificio que constituye la sede social de la entidad o de una de las divisiones, el equipamiento informático de uso común o el centro de investigación de la entidad. La estructura de la entidad es la que determina si un activo en particular cumple la definición de esta Norma de activo común de la entidad, para una unidad generadora de efectivo en particular. Las características distintivas de los activos comunes son que no generan entradas de efectivo de forma independiente con respecto a otros activos o grupos de activos, y que su importe en libros no puede ser enteramente atribuido a la unidad generadora de efectivo que se esté considerando.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101 Puesto que los activos comunes de la entidad no generan entradas de efectivo de forma separada, el importe recuperable de un activo común individualmente considerado, no puede ser calculado a menos que la gerencia haya decidido disponer de él. Como consecuencia de esto, si existiera algún indicio de que el activo común puede haber deteriorado su valor, el importe recuperable se determinará para la unidad generadora de efectivo, o grupo de unidades generadoras, a la que pertenezca dicho activo común, y se comparará con el importe en libros que corresponda a la unidad o grupo de unidades. Cualquier pérdida por deterioro del valor se reconocerá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102 Al comprobar si una determinada unidad generadora de efectivo ha deteriorado su valor, la entidad identificará todos los activos comunes que se relacionen con dicha unidad. Si una parte del importe en libros de un activo común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Puede ser distribuido de manera razonable y uniforme a esa unidad, la entidad comparará el importe en libros de la unidad, incluyendo la parte del importe en libros de los activos comunes de la entidad, con su importe recuperable. Cualquier pérdida por deterioro del valor se reconocerá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No puede ser distribuido de manera razonable y uniforme a la unidad,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comparará el importe en libros de la unidad, excluyendo los activos comunes a la entidad, con su importe recuperable y reconocerá cualquier pérdida por deterioro del valor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 identificará el grupo más pequeño de unidades generadoras de efectivo que incluya a la unidad generadora que se esté considerando y al cual el importe en libros </w:t>
      </w:r>
      <w:r w:rsidRPr="00401DFF">
        <w:rPr>
          <w:rFonts w:ascii="Times New Roman" w:eastAsia="Times New Roman" w:hAnsi="Times New Roman" w:cs="Times New Roman"/>
          <w:b/>
          <w:bCs/>
          <w:sz w:val="24"/>
          <w:szCs w:val="24"/>
          <w:lang w:eastAsia="es-CO"/>
        </w:rPr>
        <w:lastRenderedPageBreak/>
        <w:t>de los activos comunes de la entidad puede ser distribuido sobre una base razonable y uniforme;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comparará el importe en libros de ese grupo de unidades generadoras de efectivo, incluyendo la parte del importe en libros de los activos comunes de la entidad atribuido a ese grupo de unidades, con el importe recuperable del grupo de unidades. Cualquier pérdida por deterioro del valor se reconocerá de acuerdo con el párrafo 104.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 En el Ejemplo ilustrativo 8 se ilustra la aplicación de los anteriores requisitos a los activos comunes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 por deterioro del valor de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104 Se reconocerá una pérdida por deterioro del valor de una unidad generadora de efectivo (el grupo más pequeño de unidades generadoras de efectivo al que se ha distribuido la plusvalía o los activos comunes de la entidad) si, y sólo si, su importe recuperable fuera menor que el importe en libros de la unidad (o grupo de unidades). La pérdida por deterioro del valor se distribuirá, para reducir el importe en libros de los activos que componen la unidad (o grupo de unidades), en el siguiente orden: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 primer lugar, se reducirá el importe en libros de cualquier plusvalía distribuida a la unidad generadora de efectivo (o grupo de unidades);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a continuación, a los demás activos de la unidad (o grupo de unidades), prorrateando en función del importe en libros de cada uno de los activos de la unidad (o grupo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Estas reducciones del importe en libros se tratarán como pérdidas por deterioro del valor de los activos individuales, y se reconocerán de acuerdo con lo establecido en el párrafo 60.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105 Al distribuir una pérdida por deterioro del valor según se establece en el párrafo 104, la entidad no reducirá el importe en libros de un activo por debajo del mayor valor de entre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su valor razonable menos los costos de disposición (si se pudiese medir);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 valor en uso (si se pudiese determinar);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importe de la pérdida por deterioro del valor que no pueda ser distribuida al activo en cuestión, se repartirá proporcionalmente entre los demás activos que compongan la unidad (o grupo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106 Si fuera impracticable estimar el importe recuperable de cada activo individual de la unidad generadora de efectivo, esta Norma exige que se haga un reparto arbitrario de la pérdida por deterioro del valor entre los activos de la unidad que sean diferentes de la plusvalía, puesto que todos estos activos de la unidad generadora de efectivo operan conjuntamente.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107 Si no se pudiera determinar el importe recuperable de un activo individual (véase el párrafo 67):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reconocerá una pérdida por deterioro del valor para el activo siempre que su importe en libros fuera superior al mayor importe entre su valor razonable menos los costos de disposición y el valor que le corresponda tras la distribución realizada según los procedimientos descritos en los párrafos 104 y 105;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no se reconocerá ninguna pérdida por deterioro del valor para el activo si la unidad generadora de efectivo en la que está incluido no hubiera sufrido ninguna pérdida por deterioro del valor. Esto será de aplicación incluso cuando el valor razonable menos los costos de disposición del activo fuese inferior a su importe en libros.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5"/>
      </w:tblGrid>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máquina ha sufrido una avería, pero todavía puede funcionar, aunque no tan bien como lo hacía antes. El valor razonable menos los costos de venta de la máquina es menor que su importe en libros. La máquina no genera entradas de efectivo de forma independiente. El menor grupo identificable de activos que incluye a la máquina y que genera entradas de efectivo que son en buena medida independientes de las entradas de efectivo generadas por otros activos, es la línea de producción en la que se encuentra instalada. El importe recuperable de la línea de producción en conjunto, muestra que ésta no ha sufrido ninguna pérdida por deterioro del valor.</w:t>
            </w:r>
            <w:r w:rsidRPr="00401DFF">
              <w:rPr>
                <w:rFonts w:ascii="Times New Roman" w:eastAsia="Times New Roman" w:hAnsi="Times New Roman" w:cs="Times New Roman"/>
                <w:sz w:val="24"/>
                <w:szCs w:val="24"/>
                <w:lang w:eastAsia="es-CO"/>
              </w:rPr>
              <w:br/>
              <w:t>Hipótesis 1: los presupuestos o pronósticos aprobados por la gerencia no reflejan ningún compromiso, por parte de la misma, para reemplazar la máquina.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El importe recuperable de la máquina, individualmente considerada, no puede estimarse, puesto que el valor en uso de la misma: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(a) puede ser diferente de su valor razonable menos los costos de disposición; y</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(b) puede determinarse sólo para la unidad generadora de efectivo a la que pertenece la citada máquina (la línea de producción).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La línea de producción no ha sufrido ninguna pérdida por deterioro del valor. Por ello, no se reconocerá deterioro del valor alguno para la máquina. No obstante, la entidad podría necesitar reconsiderar el periodo previsto para su depreciación o el método seguido para calcular la misma. Es posible que sea necesario fijar un periodo de depreciación menor, o un método de depreciación más acelerado, para reflejar la vida útil esperada que resta a la máquina o los patrones de consumo, por parte de la entidad, de los beneficios económicos derivados del elemento.</w:t>
            </w:r>
            <w:r w:rsidRPr="00401DFF">
              <w:rPr>
                <w:rFonts w:ascii="Times New Roman" w:eastAsia="Times New Roman" w:hAnsi="Times New Roman" w:cs="Times New Roman"/>
                <w:sz w:val="24"/>
                <w:szCs w:val="24"/>
                <w:lang w:eastAsia="es-CO"/>
              </w:rPr>
              <w:br/>
              <w:t>Hipótesis 2: los presupuestos o pronósticos aprobados por la gerencia reflejan el compromiso de la misma para vender y reemplazar la máquina en un futuro inmediato. Los flujos de efectivo derivados de la utilización continuada del elemento, hasta su disposición, son insignificantes.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lastRenderedPageBreak/>
              <w:t xml:space="preserve">Puede estimarse que el valor en uso de la máquina está muy cercano a su valor razonable menos los costos de disposición. Por tanto, el importe recuperable de la máquina puede determinarse sin tener en cuenta la unidad generadora de efectivo a la que pertenece (es decir, la línea de producción). Puesto que el valor razonable menos los costos de disposición de la máquina es inferior a su importe en libros, se reconocerá una pérdida por deterioro del valor para el elemento.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108 Después de la aplicación de los requisitos de los párrafos 104 y 105, se reconocerá un pasivo por cualquier importe restante de una pérdida por deterioro del valor de una unidad generadora de efectivo si, y sólo si, fuera requerido por otra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Reversión de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109 En los párrafos 110 a 116 se establecen los requisitos para revertir una pérdida por deterioro del valor, que haya sido reconocida, en periodos anteriores, para un activo o para una unidad generadora de efectivo. En ellos se utiliza el término “activo”, pero su contenido es de aplicación tanto a los activos individuales como a las unidades generadoras de efectivo. Además, se establecen requisitos adicionales, para el caso de los activos individuales, en los párrafos 117 a 121, para las unidades generadoras de efectivo en los párrafos 122 y 123 y para la plusvalía en los párrafos 124 y 125.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110 La entidad evaluará, al final de cada periodo sobre el que se informa, si existe algún indicio de que la pérdida por deterioro del valor reconocida, en periodos anteriores, para un activo distinto de la plusvalía, ya no existe o podría haber disminuido. Si existiera tal indicio, la entidad estimará de nuevo el importe recuperable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111 Al evaluar si existen indicios de que la pérdida por deterioro del valor, reconocida en periodos anteriores para un activo distinto de la plusvalía, ya no existe o podría haber disminuido en su cuantía, la entidad considerará, como mínimo, los siguientes indicios: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Fuentes externas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existen indicios observables de que el valor del activo ha aumentado significativamente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Durante el periodo, han tenido, o van a tener lugar en un futuro inmediato, cambios significativos con un efecto favorable para la entidad, referentes al entorno legal, económico, tecnológico o de mercado en los que ésta opera, o bien en el mercado al cual va destinado el activo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Durante el periodo, las tasas de interés de mercado u otras tasas de mercado de rendimiento de inversiones, han experimentado decrementos que probablemente afecten a la tasa de descuento utilizada para calcular el valor en uso del activo, de forma que su importe recuperable haya aumentado de forma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Fuentes internas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Durante el periodo han tenido lugar, o se espera que tengan lugar en el futuro inmediato, cambios significativos en el alcance o manera en que se utiliza o se espera utilizar el activo, con efecto favorable para la entidad. Estos cambios incluyen los costos en los que se haya incurrido durante el periodo para mejorar o desarrollar el rendimiento del activo o reestructurar la operación a la que dicho activo pertenece.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Se dispone de evidencia procedente de informes internos que indica que el rendimiento económico del activo es, o va a ser, mejor que el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112 Los indicios de potenciales reducciones de la pérdida por deterioro del valor del párrafo 111 son un reflejo, fundamentalmente, de los indicios de la existencia de potenciales pérdidas por deterioro del valor recogidos en el párrafo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113 Si existieran indicios de que una pérdida por deterioro del valor, reconocida para un activo distinto de la plusvalía, ya no existe o ha disminuido, esto podría indicar que la vida útil restante, el método de depreciación (amortización) o el valor residual podrían necesitar ser revisados y ajustados de acuerdo con la NIIF que sea aplicable al activo, incluso si no se revirtiera la pérdida por deterioro del valor para dicho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114 Se revertirá la pérdida por deterioro del valor reconocida en periodos anteriores para un activo, distinto de la plusvalía, si, y sólo si, se hubiese producido un cambio en las estimaciones utilizadas, para determinar el importe recuperable del mismo, desde que se reconoció la última pérdida por deterioro. Si este fuera el caso, se aumentará el importe en libros del activo hasta su importe recuperable, excepto lo dispuesto en el párrafo 117. Ese incremento es una reversión de una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115 La reversión de una pérdida por deterioro del valor refleja un aumento en el potencial estimado de servicio del activo, ya sea por su utilización o por su venta, desde el momento en que la entidad reconoció la última pérdida por deterioro del valor del activo. El párrafo 130 exige a la entidad identificar los cambios en las estimaciones que han producido el incremento en el potencial estimado de servicio. Son ejemplos de cambios en las 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cambio en la base del importe recuperable (es decir, cuando el importe recuperable se base en el valor razonable menos los costos de disposición o en 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el importe recuperable se calculaba a partir del valor en uso, un cambio en la cuantía o en el calendario de los flujos de efectivo futuros estimados, o en la tasa de descuento;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importe recuperable se calculaba a partir del valor razonable menos los costos de disposición, un cambio en la estimación de los componentes del valor razonable menos los costos de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116 El valor en uso de un activo puede ser superior a su importe en libros, simplemente porque el valor presente de los flujos de efectivo futuros aumente a medida que éstos se encuentren más próximos al momento presente. No obstante, el potencial de servicio del activo puede no haber variado. Por tanto, una pérdida por deterioro del valor no se revertirá por causa del paso del tiempo (en ocasiones a esto se le denomina “reversión del proceso de descuento”), incluso si el importe recuperable del activo llegue a ser mayor que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Reversión de la pérdida por deterioro del valor de un activo individual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117 El importe en libros de un activo, distinto de la plusvalía, incrementado tras la reversión de una pérdida por deterioro del valor, no excederá al importe en libros que podría haberse obtenido (neto de amortización o depreciación) si no se hubiese reconocido una pérdida por deterioro del valor para dicho activo en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118 Cualquier incremento en el importe en libros de un activo, distinto de la plusvalía, por encima del importe en libros que podría haberse obtenido (neto de amortización o depreciación), si no se hubiese reconocido una pérdida por deterioro del valor en periodos anteriores, es una revaluación del activo. Para contabilizar estas revaluaciones, la entidad utilizará la NIIF aplicable al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119 La reversión de una pérdida por deterioro del valor en un activo, distinto de la plusvalía, se reconocerá inmediatamente en el resultado del periodo, a menos que el activo estuviera registrado según su importe revaluado, siguiendo otra NIIF (por ejemplo, el modelo de revaluación de la NIC 16). Cualquier reversión de la pérdida por deterioro del valor en un activo previamente revaluado, se tratará como un aumento por revaluación de acuerdo con esa otra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120 Una reversión de una pérdida por deterioro del valor correspondiente a un activo revaluado se reconoce en otro resultado integral e incrementa el superávit de revaluación de ese activo. No obstante, y en la medida en que la pérdida por deterioro del valor del mismo activo revaluado haya sido reconocida previamente en el resultado del periodo, la reversión también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121 Después de haber reconocido una reversión de la pérdida por deterioro del valor, los cargos por depreciación del activo se ajustarán para los periodos futuros, con el fin de distribuir el importe en libros revisado del activo menos su eventual valor residual, de una forma sistemática a lo largo de su vida útil restante.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Reversión de la pérdida por deterioro del valor de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122 El importe de la reversión de una pérdida por deterioro del valor en una unidad generadora de efectivo, se distribuirá entre los activos de esa unidad, exceptuando la plusvalía, de forma proporcional al importe en libros de esos activos. Esos incrementos del importe en libros se tratarán como reversiones de las pérdidas por </w:t>
      </w:r>
      <w:r w:rsidRPr="00401DFF">
        <w:rPr>
          <w:rFonts w:ascii="Times New Roman" w:eastAsia="Times New Roman" w:hAnsi="Times New Roman" w:cs="Times New Roman"/>
          <w:b/>
          <w:bCs/>
          <w:sz w:val="24"/>
          <w:szCs w:val="24"/>
          <w:lang w:eastAsia="es-CO"/>
        </w:rPr>
        <w:lastRenderedPageBreak/>
        <w:t>deterioro del valor para los activos individuales, y se reconocerán de acuerdo con el párrafo 119.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123 Al distribuir la reversión de una pérdida por deterioro del valor correspondiente a una unidad generadora de efectivo siguiendo lo establecido en el párrafo 122, el importe en libros de cada activo no debe ser aumentado por encima del menor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su importe recuperable (si pudiera determinarse);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en libros que habría sido determinado (neto de amortización o depreciación) de no haberse reconocido la pérdida por deterioro del valor del activo en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importe de la reversión de la pérdida por deterioro del valor que no se pueda distribuir a los activos siguiendo el criterio anterior, se prorrateará entre los demás activos que compongan la unidad, exceptuando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Reversión de la pérdida por deterioro del valor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124 Una pérdida por deterioro del valor reconocida en la plusvalía no se revertirá en los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125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prohíbe el reconocimiento de una plusvalía generada internamente. Cualquier incremento en el importe recuperable de la plusvalía, en los periodos siguientes al reconocimiento de una pérdida por deterioro del valor, será probablemente un aumento de la plusvalía generado internamente, y no una reversión de la pérdida por deterioro del valor reconocida para la plusvalía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126 La entidad revelará, para cada clase de activos,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las pérdidas por deterioro del valor reconocidas en el resultado del periodo, así como la partida o partidas del estado del resultado integral en las que tales pérdidas por deterioro del valor estén incluidas.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las reversiones de pérdidas por deterioro del valor reconocidas en el resultado del periodo, así como la partida o partidas del estado del resultado integral en que tales reversiones estén incluidas.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las pérdidas por deterioro del valor de activos revaluados reconocidas directamente en otro resultado integral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importe de las reversiones de pérdidas por deterioro del valor de activos revaluados reconocido en otro resultado integral durante el período.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127 Una clase de activos es un grupo de activos que tienen similar naturaleza y utilización en las operaciones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128 La información exigida por el párrafo 126 puede presentarse junto con otros datos revelados, para cada clase de activos. Por ejemplo, esa información podría estar incluida en una conciliación del importe en libros de propiedades, planta y equipo al comienzo y al final del periodo, como requiere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129 Una entidad que presente información segmentada de acuerdo con la NIIF 8 revelará, para cada uno de los segmentos sobre los que debe informar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de las pérdidas por deterioro del valor reconocidas, tanto en el resultado del periodo como en otro resultado integral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las reversiones de pérdidas por deterioro del valor reconocidas en el resultado y en otro resultado integral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130 La entidad revelará la siguiente información, para cada pérdida por deterioro del valor o su reversión, de cuantía significativa, que hayan sido reconocidas durante el periodo para un activo individual, incluyendo la plusvalía, o para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eventos y circunstancias que han llevado al reconocimiento o a la reversión de la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 la pérdida por deterioro del valor reconocida o revertida.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Para cada activo individual: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naturaleza del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 si la entidad presentase información segmentada de acuerdo con la NIIF 8 </w:t>
      </w:r>
      <w:r w:rsidRPr="00401DFF">
        <w:rPr>
          <w:rFonts w:ascii="Times New Roman" w:eastAsia="Times New Roman" w:hAnsi="Times New Roman" w:cs="Times New Roman"/>
          <w:b/>
          <w:bCs/>
          <w:i/>
          <w:iCs/>
          <w:sz w:val="24"/>
          <w:szCs w:val="24"/>
          <w:lang w:eastAsia="es-CO"/>
        </w:rPr>
        <w:t xml:space="preserve">Segmentos de Operación </w:t>
      </w:r>
      <w:r w:rsidRPr="00401DFF">
        <w:rPr>
          <w:rFonts w:ascii="Times New Roman" w:eastAsia="Times New Roman" w:hAnsi="Times New Roman" w:cs="Times New Roman"/>
          <w:b/>
          <w:bCs/>
          <w:sz w:val="24"/>
          <w:szCs w:val="24"/>
          <w:lang w:eastAsia="es-CO"/>
        </w:rPr>
        <w:t>el segmento principal al que pertenece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Para cada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una descripción de la unidad generadora de efectivo (por ejemplo si se trata de una línea de productos, una fábrica, una operación de negocios, un área geográfica, o un segmento de información de la entidad, según se definen en la NIIF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de la pérdida por deterioro del valor reconocida o revertida en el periodo, por cada clase de activos y, si la entidad presenta información segmentada de acuerdo con la NIIF 8, por cada segmento sobre el que se debe informar;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(iii) si la agregación de los activos, para identificar la unidad generadora de efectivo, ha cambiado desde la anterior estimación del importe recuperable de la unidad </w:t>
      </w:r>
      <w:r w:rsidRPr="00401DFF">
        <w:rPr>
          <w:rFonts w:ascii="Times New Roman" w:eastAsia="Times New Roman" w:hAnsi="Times New Roman" w:cs="Times New Roman"/>
          <w:b/>
          <w:bCs/>
          <w:sz w:val="24"/>
          <w:szCs w:val="24"/>
          <w:lang w:eastAsia="es-CO"/>
        </w:rPr>
        <w:lastRenderedPageBreak/>
        <w:t>generadora de efectivo (si lo hubiera), una descripción de la forma anterior y actual de llevar a cabo la agrupación, así como las razones para modificar el modo de identificar la unidad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Si el importe recuperable del activo (o de la unidad generadora de efectivo), es el valor razonable menos los costos de disposición o su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En el caso de que el importe recuperable sea el valor razonable menos los costos de disposición, los criterios utilizados para medir el valor razonable menos los costos de disposición (por ejemplo si se hace por referencia a un precio cotizado en un mercado activo para un activo idéntico). No se requiere que una entidad proporcione la información a revelar requerida por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En el caso de que el importe recuperable sea el valor en uso, la tasa o tasas de descuento utilizadas en las estimaciones actuales y en las efectuadas anteriormente (si las hubiera) del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131 La entidad deberá revelar la siguiente información para el conjunto de todas las pérdidas por deterioro del valor y reversiones de las mismas, reconocidas durante el periodo, para las cuales no se haya revelado información de acuerdo con el párrafo 130: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principales clases de activos afectados por las pérdidas por deterioro del valor, y las principales clases de activos afectadas por las reversiones de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principales eventos y circunstancias que han llevado al reconocimiento de estas pérdidas por deterioro del valor y las reversiones de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132 Se aconseja a la entidad que revele información acerca de las hipótesis utilizadas para determinar, durante el periodo, el importe recuperable de los activos (o de las unidades generadoras de efectivo). No obstante, el párrafo 134 exige a la entidad revelar información sobre las estimaciones utilizadas para determinar el importe recuperable de una unidad generadora de efectivo, cuando la plusvalía o un activo intangible con una vida útil indefinida se encuentren incluidos en el importe en libros de esa unidad.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133 Si, de acuerdo con el párrafo 84, alguna parte de la plusvalía adquirida en una combinación de negocios durante el periodo no ha sido distribuida a ninguna unidad generadora de efectivo (o grupo de unidades) al final del periodo sobre el que se informa, se revelarán tanto el importe de la plusvalía no distribuido como las razones por las que ese importe sobrante no se distribuyó.</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Estimaciones utilizadas para medir el importe recuperable de las unidades generadoras de efectivo que contienen una plusvalía o activos intangibles con vidas útiles indefinidas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134 La entidad revelará la información exigida en los apartados (a) hasta (f) siguientes para cada unidad generadora de efectivo (o grupo de unidades) para la que el importe en libros de la plusvalía o de los activos intangibles con vidas útiles indefinidas, que se hayan distribuido a esa unidad (o grupo de unidades), sea significativo en comparación con el importe en libros total de la plusvalía o de los activos intangibles con vidas útiles indefinidas de la entidad, respectivamente: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en libros de la plusvalía distribuida a la unidad (o grupo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en libros de los activos intangibles con vidas útiles indefinidas distribuido a la unidad (o grupo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recuperable de la unidad (o grupo de unidades) y la base sobre la cual ha sido determinado el importe recuperable de la unidad (o grupo de unidades) (es decir, valor en uso o valor razonable menos los costos de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Si el importe recuperable de la unidad (o grupo de unidades) estuviera basado en 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Cada hipótesis clave sobre la cual la gerencia ha basado sus proyecciones de flujos de efectivo para el periodo cubierto por los presupuestos o pronósticos más recientes. Hipótesis clave son aquéllas a las que el importe recuperable de las unidades (o grupos de unidades) es más sensible.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descripción del enfoque utilizado por la gerencia para determinar el valor o valores asignados a cada hipótesis clave; así como si dichos valores reflejan la experiencia pasada o, en su caso, si son uniformes con las fuentes de información externas y, si no lo fueran, cómo y porqué difieren de la experiencia pasada o de las fuentes de información externas.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periodo sobre el cual la gerencia ha proyectado los flujos de efectivo basados en presupuestos o previsiones aprobados por la gerencia y, cuando se utilice un periodo superior a cinco años para una unidad generadora de efectivo (o grupo de unidades), una explicación de las causas que justifican ese periodo más largo.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La tasa de crecimiento empleada para extrapolar las proyecciones de flujos de efectivo más allá del periodo cubierto por los presupuestos o previsiones más recientes, así como la justificación pertinente si se hubiera utilizado una tasa de crecimiento que exceda la tasa promedio de crecimiento a largo plazo para los productos, industrias, o para el país o países en los cuales opere la entidad, o para el mercado al que la unidad (o grupo de unidades) se dedica.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La tasa o tasas de descuento aplicadas a las proyecciones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 Si el importe recuperable de la unidad (o grupo de unidades) estuviera basado en el valor razonable menos los costos de disposición, la técnica de valoración empleada </w:t>
      </w:r>
      <w:r w:rsidRPr="00401DFF">
        <w:rPr>
          <w:rFonts w:ascii="Times New Roman" w:eastAsia="Times New Roman" w:hAnsi="Times New Roman" w:cs="Times New Roman"/>
          <w:b/>
          <w:bCs/>
          <w:sz w:val="24"/>
          <w:szCs w:val="24"/>
          <w:lang w:eastAsia="es-CO"/>
        </w:rPr>
        <w:lastRenderedPageBreak/>
        <w:t>para medir el valor razonable menos los costos de disposición. No se requiere que una entidad proporcione la información a revelar requerida por la NIIF 13. Si el valor razonable menos los costos de disposición no se miden utilizando un precio cotizado para una unidad idéntica (grupo de unidades), una entidad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Cada hipótesis clave sobre la cual la gerencia haya basado su determinación del valor razonable menos los costos de disposición. Hipótesis clave son aquéllas a las que el importe recuperable de las unidades (o grupos de unidades) es más sensible.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descripción del enfoque utilizado por la gerencia para determinar el valor (o valores) asignados a cada hipótesis clave, si dichos valores reflejan la experiencia pasada o, si procede, si son coherentes con las fuentes de información externas y, si no lo fueran, cómo y porqué difieren de la experiencia pasada o de las fuentes de información externas.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(iiA) El nivel de la jerarquía del valor razonable (véase la NIIF 13) dentro de la cual se clasifica en su totalidad la medición del valor razonable (sin considerar la observabilidad de los “costos de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(iiB) Si se hubiera producido un cambio en la técnica de valoración, la entidad revelará la naturaleza de ese cambio y las razones para haberlo realizado.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el valor razonable menos los costos de disposición se miden utilizando las proyecciones de los flujos de efectivo descontados, una entidad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periodo en el que la gerencia ha proyectado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La tasa de crecimiento utilizada para extrapolar las proyecciones de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La tasa o tasas de descuento aplicadas a las proyecciones de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Si un cambio razonablemente posible en una hipótesis clave, sobre la cual la gerencia haya basado su determinación del importe recuperable de la unidad (o grupo de unidades), supusiera que el importe en libros de la unidad (o grupo de unidades) excediera a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cantidad por la cual el importe recuperable de la unidad (o grupo de unidades) excede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valor asignado a la o las hipótesis clave.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(iii) el importe por el que debe cambiar el valor o valores asignados a la hipótesis clave para que, tras incorporar al valor recuperable todos los efectos que sean consecuencia </w:t>
      </w:r>
      <w:r w:rsidRPr="00401DFF">
        <w:rPr>
          <w:rFonts w:ascii="Times New Roman" w:eastAsia="Times New Roman" w:hAnsi="Times New Roman" w:cs="Times New Roman"/>
          <w:b/>
          <w:bCs/>
          <w:sz w:val="24"/>
          <w:szCs w:val="24"/>
          <w:lang w:eastAsia="es-CO"/>
        </w:rPr>
        <w:lastRenderedPageBreak/>
        <w:t>de ese cambio sobre otras variables usadas para medir el importe recuperable, se iguale dicho importe recuperable de la unidad (o grupo de unidades) a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135 Si la totalidad o una parte del importe en libros de la plusvalía, o de los activos intangibles con vidas útiles indefinidas, ha sido distribuido entre múltiples unidades generadoras de efectivo (o grupos de unidades), y el importe así atribuido a cada unidad (o grupo de unidades) no fuera significativo en comparación con el importe en libros total de la plusvalía o de los activos intangibles con vidas útiles indefinidas de la entidad, se revelará ese hecho junto con la suma del importe en libros de la plusvalía o activos intangibles con vidas útiles indefinidas atribuido a tales unidades (o grupos de unidades). Además, si el importe recuperable de alguna de esas unidades (o grupos de unidades) está basado en las mismas hipótesis clave y la suma de los importes en libros de la plusvalía o de los activos intangibles con vidas útiles indefinidas distribuido entre esas unidades fuera significativo en comparación con el importe en libros total de la plusvalía o de los activos intangibles con vidas indefinidas de la entidad, ésta revelará este hecho, junto con: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suma del importe en libros de la plusvalía distribuida entre esas unidades (o grupos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suma del importe en libros de los activos intangibles con vidas útiles indefinidas distribuido entre esas unidades (o grupos de unidades).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Una descripción de las hipótesis clave.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Una descripción del enfoque utilizado por la gerencia para determinar el valor o valores asignados a cada hipótesis clave; así como si dichos valores reflejan la experiencia pasada o, en su caso, si son uniformes con las fuentes de información externa y, si no lo fueran, cómo y porqué difieren de la experiencia pasada o de las fuentes de información externas.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Si un cambio razonablemente posible en una hipótesis clave, sobre la cual la gerencia haya basado su determinación del importe recuperable de la unidad (o grupo de unidades), supusiera que el importe en libros de la unidad (o grupo de unidades) excediera a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cantidad por la cual el importe recuperable de la unidad (o grupo de unidades) excede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valor asignado a la o las hipótesis clave.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(iii) el importe por el que debe cambiar el valor o valores asignados a la hipótesis clave para que, tras incorporar al valor recuperable todos los efectos que sean consecuencia de ese cambio sobre otras variables utilizadas para medir el importe recuperable, se </w:t>
      </w:r>
      <w:r w:rsidRPr="00401DFF">
        <w:rPr>
          <w:rFonts w:ascii="Times New Roman" w:eastAsia="Times New Roman" w:hAnsi="Times New Roman" w:cs="Times New Roman"/>
          <w:b/>
          <w:bCs/>
          <w:sz w:val="24"/>
          <w:szCs w:val="24"/>
          <w:lang w:eastAsia="es-CO"/>
        </w:rPr>
        <w:lastRenderedPageBreak/>
        <w:t>iguale dicho importe recuperable de la unidad (o grupo de unidades) a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136 Los cálculos más recientes del importe recuperable de una unidad (o grupo de unidades) efectuados en el periodo anterior podrían, de acuerdo con el párrafo 24 ó 99, trasladarse y ser utilizados en la comprobación del deterioro del valor para esa unidad (o grupo de unidades) en el periodo corriente si se cumplen los requisitos específicos. Si éste fuera el caso, la información para esa unidad (o grupo de unidades) se incorporarán dentro de la información a revelar exigida por los párrafos 134 y 135, relativa al traslado de un periodo a otro de los cálculos del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137 El ejemplo ilustrativo 9 muestra la información a revelar exigida por los párrafos 134 y 135.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 y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138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139 Una entidad aplicará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 la plusvalía y a los activos intangibles adquiridos en una combinación de negocios para los cuales la fecha del acuerdo sea a partir del 31 de marzo de 2004;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demás activos de forma prospectiva, desde el comienzo del primer periodo anual que comience a partir del 31 de marzo de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 Se aconseja a las entidades a las que se aplique el párrafo 139, que apliquen los requerimientos de esta Norma antes de las fechas de vigencia especificadas en el párrafo 139. No obstante, si la entidad aplicase esta Norma antes de esas fechas efectivas, también aplicará al mismo tiempo la NIIF 3 y la NIC 38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140A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 modificó la terminología utilizada en las NIIF. Además modificó los párrafos 61, 120, 126 y 129.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140B La NIIF 3 (revisada en 2008) modificó los párrafos 65, 81, 85 y 139, eliminó los párrafos 91 a 95 y 138 y añadió el Apéndice C. Una entidad aplicará esas modificaciones a los periodos anuales que comiencen a partir del 1 de julio de 2009. Si una entidad aplicase la NIIF 3 (revisada en 2008) a un periodo anterior, las modificaciones se aplicarán también 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140C El párrafo 134(e) fue modificado por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 modificación para los periodos anuales que comiencen a partir del 1 de enero de 2009. Se permite su aplicación anticipada. Si una </w:t>
      </w:r>
      <w:r w:rsidRPr="00401DFF">
        <w:rPr>
          <w:rFonts w:ascii="Times New Roman" w:eastAsia="Times New Roman" w:hAnsi="Times New Roman" w:cs="Times New Roman"/>
          <w:sz w:val="24"/>
          <w:szCs w:val="24"/>
          <w:lang w:eastAsia="es-CO"/>
        </w:rPr>
        <w:lastRenderedPageBreak/>
        <w:t>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140D </w:t>
      </w:r>
      <w:r w:rsidRPr="00401DFF">
        <w:rPr>
          <w:rFonts w:ascii="Times New Roman" w:eastAsia="Times New Roman" w:hAnsi="Times New Roman" w:cs="Times New Roman"/>
          <w:i/>
          <w:iCs/>
          <w:sz w:val="24"/>
          <w:szCs w:val="24"/>
          <w:lang w:eastAsia="es-CO"/>
        </w:rPr>
        <w:t xml:space="preserve">Costo de una Inversión en una Subsidiaria, Entidad Controlada de Forma Conjunta o Asociada </w:t>
      </w:r>
      <w:r w:rsidRPr="00401DFF">
        <w:rPr>
          <w:rFonts w:ascii="Times New Roman" w:eastAsia="Times New Roman" w:hAnsi="Times New Roman" w:cs="Times New Roman"/>
          <w:sz w:val="24"/>
          <w:szCs w:val="24"/>
          <w:lang w:eastAsia="es-CO"/>
        </w:rPr>
        <w:t xml:space="preserve">(Modificaciones a la NIIF 1 </w:t>
      </w:r>
      <w:r w:rsidRPr="00401DFF">
        <w:rPr>
          <w:rFonts w:ascii="Times New Roman" w:eastAsia="Times New Roman" w:hAnsi="Times New Roman" w:cs="Times New Roman"/>
          <w:i/>
          <w:iCs/>
          <w:sz w:val="24"/>
          <w:szCs w:val="24"/>
          <w:lang w:eastAsia="es-CO"/>
        </w:rPr>
        <w:t xml:space="preserve">Adopción por Primera vez de las Normas Internacionales de Información Financiera </w:t>
      </w:r>
      <w:r w:rsidRPr="00401DFF">
        <w:rPr>
          <w:rFonts w:ascii="Times New Roman" w:eastAsia="Times New Roman" w:hAnsi="Times New Roman" w:cs="Times New Roman"/>
          <w:sz w:val="24"/>
          <w:szCs w:val="24"/>
          <w:lang w:eastAsia="es-CO"/>
        </w:rPr>
        <w:t>y NIC 27), emitido en mayo de 2008, añadió el párrafo 12(h). Una entidad aplicará esas modificaciones de forma prospectiva en los periodos anuales que comiencen a partir del 1 enero de 2009. Se permite su aplicación anticipada. Si una entidad aplicara las modificaciones correspondientes de los párrafos 4 y 38A de la NIC 27 a periodos anteriores, aplicará al mismo tiempo, la modificación del párrafo 12(h).</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140E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el párrafo 80(b). Una entidad aplicará esas modificaciones de forma prospectiva en los periodos anuales que comiencen a partir del 1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140F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140G La NIIF 9 emitida en octubre de 2010, modificó los párrafos 2(e) y 5 y eliminó el párrafo 140F.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140H La NIIF 10 y NIIF 11, emitidas en mayo de 2011, modificaron el párrafo 4, el encabezamiento sobre el párrafo 12(h) y el párrafo 12(h).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140I La NIIF 13, emitida en mayo de 2011, modificó los párrafos 5, 6, 12, 20, 78, 105, 111, 130 y 134, eliminó los párrafos 25 a 27 y añadió el párrafo 53A.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36 (aprobada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141 Esta Norma reemplaza a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(emitida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Empleo de las técnicas de valor presente para medir el valor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Norma. En él se suministran guías para utilizar las técnicas de valor presente en la determinación del valor en uso. Aunque en la guía se usa el término “activo”, es igualmente de aplicación a grupos de activos que formen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componentes de la medición del valor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A1 Los siguientes elementos, tomados conjuntamente, captan las diferencias económicas entre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estimación de los flujos de efectivo futuros, o en casos más complejos, de las series de flujos de efectivo que la entidad espere obtener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expectativas sobre las posibles variaciones en el importe o calendario de aparición de esos flujos de efectivo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temporal del dinero, representado por la tasa de interés de mercado sin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precio por la presencia de incertidumbre inherente en 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otros factores, algunos de los cuales no son identificables (como la iliquidez), que los participantes en el mercado reflejarían al medir los flujos de efectivo futuros que la entidad espera obtener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A2 Este Apéndice contrasta dos enfoques para calcular el valor presente, cualquiera de ellos se puede aplicar, dependiendo de las circunstancias, para estimar el valor en uso de un activo. Bajo el enfoque “tradicional” los ajustes correspondientes a los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 (e), descritos en el párrafo A1, se recogen de forma implícita en la tasa de descuento. Bajo el enfoque del “flujo de efectivo esperado”, los factores (b), (d) y (e) causan ajustes para alcanzar unos flujos de efectivo esperados que se ajusten al riesgo. Cualquiera que sea el enfoque que la entidad adopte para reflejar las expectativas sobre las posibles variaciones en el importe o calendario de aparición de los flujos de efectivo futuros, el resultado final deberá reflejar el valor presente esperado de los flujos de efectivo futuros, es decir, a través del promedio ponderado de todos los resultados posibles.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A3 Las técnicas empleadas para estimar los flujos de efectivo futuros y la tasa de interés variarán de una situación a otra, dependiendo de las circunstancias que rodeen al activo en cuestión. No obstante, los principios generales siguientes guían cualquier aplicación de las técnicas de valor presente en la medición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tasas de interés, utilizadas para descontar los flujos de efectivo, reflejarán hipótesis que sean uniformes con las inherentes a los flujos de efectivo estimados. De otro modo, el efecto de algunas hipótesis puede ser tenido en cuenta dos veces o bien ignorado. Por ejemplo, podría aplicarse una tasa de descuento del 12 por ciento a los flujos de efectivo contractuales de un préstamo concedido. Esa tasa refleja las expectativas sobre los futuros incumplimientos de préstamos con características particulares. Esa misma tasa del 12 por ciento no debería ser usada para descontar flujos de efectivo esperados, ya que dichos flujos de efectivo ya reflejan las hipótesis sobre futuros incumplimientos que se asumen.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Los flujos de efectivo estimados y las tasas de descuento deben estar libres de sesgo y de otros factores no relacionados con el activo en cuestión. Por ejemplo, la sobreestimación deliberada de los flujos de efectivo netos estimados, con el fin de aparentar rentabilidad futura de un activo, introduce un sesgo en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flujos de efectivo estimados o las tasas de descuento deben ser reflejo del rango de los resultados posibles, pero no del desenlace más probable, ni tampoco del importe máximo o mínimo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Enfoques tradicional y del flujo de efectivo esperado para el valor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tradicional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A4 Las aplicaciones contables del valor presente han usado tradicionalmente un único conjunto de flujos de efectivo estimados, y una única tasa de descuento, descrita a menudo como “la tasa que corresponde al riesgo”. En efecto, el enfoque tradicional asume por convención que una única tasa de interés puede incorporar todas las expectativas sobre los flujos de efectivo futuros, así como la prima de riesgo adecuada. En consecuencia, el enfoque tradicional pone mayor énfasis en la selección de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A5 En algunas circunstancias, tales como aquéllas en las que pueden observarse activos comparables en el mercado, el enfoque tradicional es relativamente fácil de aplicar. Para activos con flujos de efectivo contractuales, resulta uniforme con la manera en que los participantes en el mercado describen los activos, como cuando dicen “un bono al 12 por ciento”.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A6 Sin embargo, el enfoque tradicional puede no resultar adecuado para tratar algunos problemas complejos de medición, tales como la medición de activos no financieros, en los que no exista mercado ni para la partida ni para otros elementos comparables. La correcta búsqueda del “tasa que corresponde al riesgo” exige analizar, al menos, dos elementos —el activo que se puede encontrar en el mercado y tiene una tasa de interés observable y el activo que está siendo medido—. La tasa de descuento adecuada para los flujos de efectivo que están siendo medidos, debe inferirse de la tasa de interés observable en ese otro activo. Para hacer esa inferencia, las características de los flujos de efectivo del otro activo deben ser similares a aquellas inherentes al activo que está siendo objeto de medición. En consecuencia, el evaluador debe hacer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identificar el conjunto de flujos de efectivo que se van a descontar;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identificar otro activo en el mercado que aparente tener características similares en sus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comparar los conjuntos de flujos de efectivo de los dos elementos, para asegurarse de que son similares (por ejemplo, ¿ambos son flujos de efectivo contractuales, o uno es contractual y el otro es un flujo de efectivo estimado?);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evaluar si existe un componente en uno de los elementos que no está presente en el otro (por ejemplo, ¿la liquidez de uno es menor que la del otro?);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evaluar si es probable que ambos conjuntos de flujos de efectivo se comporten (esto es, varíen), de un modo similar ante un cambio en las condiciones económicas.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del flujo de efectivo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A7 El enfoque del flujo de efectivo esperado es, en algunas situaciones, una herramienta de medición más efectiva que el enfoque tradicional. En el desarrollo de la medición, el enfoque del flujo de efectivo esperado emplea todas las expectativas sobre los posibles flujos de efectivo, en lugar de un único flujo de efectivo más probable. Por ejemplo, un flujo de efectivo podría ser de 100 u.m., 200 u.m. ó 300 u.m., con probabilidades del 10, 60 y 30 por ciento, respectivamente. El flujo de efectivo esperado es de 220 u.m. El enfoque del flujo de efectivo esperado difiere del enfoque tradicional al centrarse en el análisis directo de los flujos de efectivo en cuestión y en pronunciamientos más explícitos sobre las hipótesis empleadas en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A8 El enfoque del flujo de efectivo esperado permite también usar las técnicas del valor presente cuando la distribución temporal de los flujos de efectivo está sometida a incertidumbre. Por ejemplo, un flujo de efectivo de 1000 u.m. podría recibirse en uno, dos o tres años con probabilidades del 10 por ciento, 60 por ciento y 30 por ciento, respectivamente. El siguiente ejemplo muestra el cálculo del valor presente esperado en esa situación.</w:t>
      </w:r>
    </w:p>
    <w:tbl>
      <w:tblPr>
        <w:tblW w:w="9315" w:type="dxa"/>
        <w:jc w:val="center"/>
        <w:tblCellSpacing w:w="15" w:type="dxa"/>
        <w:tblCellMar>
          <w:top w:w="15" w:type="dxa"/>
          <w:left w:w="15" w:type="dxa"/>
          <w:bottom w:w="15" w:type="dxa"/>
          <w:right w:w="15" w:type="dxa"/>
        </w:tblCellMar>
        <w:tblLook w:val="04A0" w:firstRow="1" w:lastRow="0" w:firstColumn="1" w:lastColumn="0" w:noHBand="0" w:noVBand="1"/>
      </w:tblPr>
      <w:tblGrid>
        <w:gridCol w:w="5294"/>
        <w:gridCol w:w="4021"/>
      </w:tblGrid>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presente de 1.000 u.m. en 1 año al 5%</w:t>
            </w:r>
          </w:p>
        </w:tc>
        <w:tc>
          <w:tcPr>
            <w:tcW w:w="3120" w:type="dxa"/>
            <w:vMerge w:val="restart"/>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158747AC" wp14:editId="01D560C3">
                      <wp:extent cx="2505710" cy="2576830"/>
                      <wp:effectExtent l="0" t="0" r="0" b="0"/>
                      <wp:docPr id="8" name="Rectángulo 8" descr="D2784I7.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05710" cy="257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8" o:spid="_x0000_s1026" alt="D2784I7.png" style="width:197.3pt;height:2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" filled="f" stroked="f">
                      <o:lock v:ext="edit" aspectratio="t"/>
                      <w10:anchorlock/>
                    </v:rect>
                  </w:pict>
                </mc:Fallback>
              </mc:AlternateContent>
            </w:r>
          </w:p>
        </w:tc>
      </w:tr>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Probabilidad</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presente de 1.000 u.m. en 2 años al 5,25%</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Probabilidad</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presente de 1.000 u.m. en 3 años al 5,50%</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621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Probabilidad</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621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presente esperado</w:t>
            </w:r>
          </w:p>
        </w:tc>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A9 El valor presente esperado de 892,36 u.m. difiere de la noción tradicional de la mejor estimación de 902,73 u.m. (que corresponde a la probabilidad del 60 por ciento). El cálculo del valor presente tradicional, aplicado a este ejemplo, requiere una decisión sobre cuál de los posibles calendarios de aparición en el tiempo de los flujos de efectivo se emplea y, de acuerdo con ello, no reflejaría las probabilidades de otros posibles calendarios de aparición </w:t>
      </w:r>
      <w:r w:rsidRPr="00401DFF">
        <w:rPr>
          <w:rFonts w:ascii="Times New Roman" w:eastAsia="Times New Roman" w:hAnsi="Times New Roman" w:cs="Times New Roman"/>
          <w:sz w:val="24"/>
          <w:szCs w:val="24"/>
          <w:lang w:eastAsia="es-CO"/>
        </w:rPr>
        <w:lastRenderedPageBreak/>
        <w:t>de los flujos. Esto es debido a que la tasa de descuento, dentro del cálculo del valor presente tradicional, no puede reflejar las incertidumbres sobre la distribución temporal.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A10 El empleo de probabilidades es un elemento esencial del enfoque del flujo de efectivo esperado. Algunos se cuestionan si la asignación de probabilidades a las estimaciones altamente subjetivas sugiere una precisión mayor de la que, en realidad, existe. Sin embargo, la adecuada aplicación del enfoque tradicional (como se describe en el párrafo A6), requiere la misma estimación y subjetividad sin darse la transparencia de cálculo que tiene el enfoque del flujo de efectivo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A11 Muchas de las estimaciones desarrolladas en la práctica actual ya incorporan, informalmente, los elementos del flujo de efectivo esperado. Además, los contables, a menudo, se enfrentan con la necesidad de medir un activo utilizando información limitada acerca de las probabilidades de los posibles flujos de efectivo. Por ejemplo, un contable podría encontrarse ante las siguientes situaciones: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estimado se sitúa en algún lugar entre 50 u.m. y 250 u.m., sin que ningún importe dentro del rango sea más probable que cualquier otro. A partir de esa información limitada, el flujo de efectivo esperado es de 150 u.m. [(50 + 250)/2].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estimado se sitúa en algún lugar entre 50 u.m. y 250 u.m., siendo el importe más probable 100 u.m. Sin embargo, las probabilidades asociadas a cada importe son desconocidas. A partir de esa información limitada, el flujo de efectivo esperado es 133,33 u.m. [(50 + 100 + 250)/3].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estimado será 50 u.m. (con el 10 por ciento de probabilidad), 250 u.m. (con el 30 por ciento de probabilidad), ó 100 u.m. (con el 60 por ciento de probabilidad). A partir de esa información limitada, el flujo de efectivo esperado es 140 u.m. [(50 x 0,10) + (250 x 0,30) + (100 x 0,60)].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cada caso, el flujo de efectivo estimado esperado proporcionará, con toda probabilidad, una mejor estimación del valor en uso que los importes mínimo, más probable o máximo tomados de forma aislada.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A12 La aplicación del enfoque del flujo de efectivo esperado está sujeta a la restricción costo-beneficio. En algunos casos, una entidad podría tener acceso a muchos datos y podría ser capaz de desarrollar múltiples escenarios de flujos de efectivo. En otros casos, la entidad no podría obtener más que una idea o pronunciamiento general sobre la variabilidad de los flujos de efectivo, sin incurrir en costos sustanciales. La entidad necesita equilibrar el costo de obtener información adicional comparándolo con la relevancia adicional que tal información proporcionará a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A13 Algunos mantienen que las técnicas del flujo de efectivo esperado son inadecuadas para la medición de un elemento individual o para un elemento con un número limitado de posibles resultados. Los partidarios de esta opinión exponen el ejemplo de un activo con dos posibles resultados: un 90 por ciento de probabilidad de que el flujo de efectivo sea 10 u.m. y un 10 por ciento de probabilidad de que sea 1.000 u.m. Observan que el flujo de </w:t>
      </w:r>
      <w:r w:rsidRPr="00401DFF">
        <w:rPr>
          <w:rFonts w:ascii="Times New Roman" w:eastAsia="Times New Roman" w:hAnsi="Times New Roman" w:cs="Times New Roman"/>
          <w:sz w:val="24"/>
          <w:szCs w:val="24"/>
          <w:lang w:eastAsia="es-CO"/>
        </w:rPr>
        <w:lastRenderedPageBreak/>
        <w:t>efectivo esperado en ese ejemplo es 109, y critican ese resultado, por considerar que no es representativo de ninguno de los importes que podrían, en última instancia, ser pagados.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A14 Afirmaciones como la expuesta en el párrafo anterior sólo reflejan el desacuerdo implícito con el objetivo de medición. Si el objetivo es la acumulación de costos en los que se va a incurrir, el flujo de efectivo esperado podría no producir una estimación fiable y realista de los costos esperados. Sin embargo, esta Norma se ocupa de la medición del importe recuperable de un activo. El importe recuperable del activo, en el ejemplo anterior, probablemente no será 10 u.m., aunque sea el flujo de efectivo más probable. Esto es debido a que la medición de 10 u.m. no incorpora la incertidumbre del flujo de efectivo en la medición del activo. Más bien, el flujo de efectivo incierto se presenta como si fuera un flujo de efectivo cierto. Ninguna entidad racional vendería un activo con esas características por 10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A15 Con independencia del enfoque que la entidad adopte para medir el valor en uso de un activo, la tasa de descuento empleada para descontar los flujos de efectivo no debe reflejar los riesgos que ya han sido tenidos en cuenta para ajustar los flujos de efectivo estimados. De otro modo, el efecto de algunas hipótesis sería tenido en cuenta dos veces.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A16 Cuando la tasa específica correspondiente a un activo no esté directamente disponible en el mercado, la entidad aplicará algún sustitutivo para estimar la tasa de descuento. El propósito es realizar, lo mejor posible, una evaluación de mercado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temporal del dinero, para los periodos que transcurran hasta el final de la vida útil del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factores (b), (d) y (e) descritos en el párrafo A1, en la medida en que los mismos no hayan sido ya la causa de ajustes para la obtención de los flujos de efectivo estimados.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A17 Como punto de partida al hacer tal estimación, la entidad podría tener en cuenta las siguientes tasas: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costo promedio ponderado del capital, determinado empleando técnicas tales como el Modelo de Precios de los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tasa de interés incremental de los préstamos tomados por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otras tasas de interés de mercado para los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A18 No obstante, esas tasas deben ser ajustadas: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reflejar el modo en que el mercado evalúa los riesgos específicos asociados a los flujos de efectivo estimados de los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para excluir los riesgos que no tengan relevancia en los flujos de efectivo estimados de los activos, o para los cuales los flujos de efectivo estimados ya han sido ajustados.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Deben considerarse riesgos tales como el riesgo-país, el riesgo de tasa de cambio y el riesgo de precio.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A19 La tasa de descuento es independiente de la estructura de capital de la entidad y del modo en que la entidad financie la compra del activo, lo que es debido a que los flujos futuros de efectivo esperados que se derivan del activo no dependen del modo en que la entidad financie la compra de dicho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A20 El párrafo 55 exige que la tasa de descuento empleada sea antes de impuestos. En consecuencia, cuando la base usada para estimar la tasa de descuento sea después de impuestos, esa base se ajustará para reflejar una tasa antes de 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A21 Una entidad utilizará normalmente una única tasa de descuento para la estimación del valor en uso de un activo. No obstante, la entidad empleará distintas tasas de interés para diferentes periodos futuros, siempre que el valor en uso sea sensible a las diferencias en los riesgos para diferentes periodos, o a la estructura de plazos de las tasas de interés.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Modificación a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[Modificación no aplicable a la parte normativa]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Prueba de deterioro de valor de unidades generadoras de efectivo con plusvalía y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 De acuerdo con la NIIF 3 (revisada en 2008) la adquirente mide y reconoce la plusvalía a partir de la fecha de la adquisición como el exceso del apartado (a) sobre el (b)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contraprestación transferida medida de acuerdo con la NIIF 3, que, generalmente, se requiere que sea el valor razonable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de cualquier participación no controladora en la adquirida reconocida de acuerdo con la NIIF 3;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(iii) en una combinación de negocios llevada a cabo por etapas, el valor razonable en la fecha de adquisición de la participación previa de la adquirente en el patrimonio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neto de los importes en la fecha de la adquisición de los activos identificables adquiridos y de los pasivos asumidos medidos de acuerdo con la NIIF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Asignación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C2 El párrafo 80 de esta Norma requiere que la plusvalía adquirida en una combinación de negocios se distribuya entre cada unidad generadora de efectivo de la adquirente, o grupos de unidades generadoras de efectivo de ésta, de los que se esperen beneficios derivados de sinergias de la combinación, independientemente de si otros activos o pasivos de la adquirida se asignan a dichas unidades o grupos de unidades. Es posible que algunas sinergias que procedan de una combinación de negocios se asignen a una unidad generadora de efectivo en la que la participación no controladora no tenga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Comprobación del deterioro de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C3 La comprobación del deterioro de valor conlleva la comparación del importe recuperable de una unidad generadora de efectivo con el importe en libros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C4 Cuando una entidad mide las participaciones no controladoras como su participación proporcional en los activos identificables netos de una subsidiaria en la fecha de la adquisición y no por su valor razonable, la plusvalía atribuible a las participaciones no controladoras se incluirá en el importe recuperable de la unidad generadora de efectivo relacionada pero no se reconocerá en los estados financieros consolidados de la controladora. Debido a ello, una entidad incrementará el importe en libros de la plusvalía distribuida a la unidad, para incluir la plusvalía atribuible a las participaciones no controladoras. Este importe en libros ajustado se comparará con el importe recuperable de la unidad generadora de efectivo para determinar si ésta se ha deteriorado.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Asignación de una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C5 El párrafo 104 requiere que cualquier pérdida por deterioro de valor identificada se asigne en primer lugar a reducir el importe en libros de la plusvalía distribuida a la unidad y luego a los otros activos de la unidad proporcionalmente sobre la base del importe en libros de cada activo de la unidad.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C6 Cuando una subsidiaria, o parte de ella, con una participación no controladora sea en sí misma una unidad generadora de efectivo, la pérdida por deterioro de valor se distribuirá entre la controladora y la participación no controladora empleando la misma base con la que se distribuya 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C7 Cuando una subsidiaria, o parte de ella, con una participación no controladora sea parte de una unidad generadora de efectivo mayor, la pérdida por deterioro de valor de la </w:t>
      </w:r>
      <w:r w:rsidRPr="00401DFF">
        <w:rPr>
          <w:rFonts w:ascii="Times New Roman" w:eastAsia="Times New Roman" w:hAnsi="Times New Roman" w:cs="Times New Roman"/>
          <w:sz w:val="24"/>
          <w:szCs w:val="24"/>
          <w:lang w:eastAsia="es-CO"/>
        </w:rPr>
        <w:lastRenderedPageBreak/>
        <w:t>plusvalía se distribuirá entre las partes de la unidad generadora de efectivo que tengan una participación no controladora y las que no la tengan. Las pérdidas por deterioro de valor deben distribuirse entre las partes de la unidad generadora de efectivo sobre la base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 medida en que el deterioro de valor se relacione con la plusvalía en la unidad generadora de efectivo, los valores en libros relativos de la plusvalía de las partes antes del deterioro de valor;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la medida en que el deterioro de valor se relacione con los activos identificables en la unidad generadora de efectivo, los valores en libros relativos de los activos identificables netos de las partes antes del deterioro de valor. Cualquiera de estos deterioros de valor se distribuirá entre los activos de las partes de cada unidad proporcionalmente sobre la base del importe en libros de cada activo incluido en la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aquellas partes que tengan participaciones no controladoras, la pérdida por deterioro de valor se distribuirá entre la controladora y la participación no controladora sobre la misma base con que se asignen los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C8 Si una pérdida por deterioro de valor atribuible a una participación no controladora se relaciona con la plusvalía que no está reconocida en los estados financieros consolidados de la controladora (véase el párrafo C4), ese deterioro de valor no se reconocerá como una pérdida por deterioro de valor de la plusvalía. En estos casos, como pérdida por deterioro de valor de la plusvalía solo se reconocerá la pérdida por deterioro de valor que se relacione con la plusvalía que se haya asignado a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C9 El ejemplo 7 ilustra la comprobación del deterioro del valor de una unidad generadora de efectivo con plusvalía de la que no se tiene la propiedad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En el caso de activos intangibles o plusvalía, el término amortización es generalmente usado en lugar de depreciación. Pero ambos términos tienen el mismo significado.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 Una vez que un activo cumple los criterios para ser clasificado como mantenido para la venta (o es incluido en un grupo de activos para su disposición que se ha clasificado como mantenido para la venta), se excluirá del alcance de esta Norma y se contabilizará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En esta Norma,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El objetivo de esta Norma es asegurar que se utilicen las bases apropiadas para el reconocimiento y la medición de las provisiones, pasivos contingentes y activos contingentes, así como que se revele la información complementaria suficiente, por medio de las notas, como para permitir a los usuarios comprender la naturaleza, calendario de vencimiento e importes, de las anteriores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debe ser aplicada por todas las entidades, al proceder a contabilizar sus provisiones, pasivos contingentes y activos contingentes, excepto: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aquéllos que se deriven de contratos pendientes de ejecución, excepto cuando el contrato es oneroso;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aquéllos de los que se ocupe alguna otra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Esta Norma no es de aplicación a los instrumentos financieros (incluyendo las garantías) que quedan dentro del alcance de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Los contratos pendientes de ejecución son aquéllos en los que las partes no han cumplido ninguna de las obligaciones a las que se comprometieron, o bien que ambas partes han ejecutado parcialmente, y en igual medida, sus obligaciones. Esta Norma no se aplica a los contratos pendientes de ejecución, salvo que tengan carácter oneroso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Cuando otra Norma se ocupe de un tipo específico de provisión, pasivo contingente o activo contingente, una entidad aplicará esa Norma en lugar de la presente. Por ejemplo, ciertos tipos de provisiones se abordan en las Normas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contratos de construcción (véase la 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el impuesto a las ganancias (véase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arrendamientos (véase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Si bien esta NIC 17 no contiene ninguna especificación sobre cómo tratar los arrendamientos operativos que resulten onerosos para la entidad, por lo que habrá que aplicar la presente Norma para tratarlos;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beneficios a los empleados (véase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contratos de seguro (véase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xml:space="preserve"> No obstante, esta Norma es de aplicación a las provisiones, pasivos contingentes y activos contingentes de una entidad aseguradora que sean diferentes de sus obligaciones y derechos en virtud de contratos de seguros que estén dentro del alcance de la 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6 Ciertas partidas, tratadas como provisiones, pueden estar relacionadas con el reconocimiento de algún ingreso de actividades ordinarias, por ejemplo en el caso de que la entidad otorgue ciertas garantías a cambio de la percepción de un determinado importe o cuota. Esta Norma no trata el reconocimiento de los ingresos de actividades ordinarias,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identifica las circunstancias precisas para el reconocimiento de los ingresos de actividades ordinarias, y se suministra una guía práctica para aplicar los criterios de reconocimiento. Esta Norma no modifica lo establecido en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En esta Norma se definen las provisiones como pasivos de cuantía o vencimiento inciertos. En algunos países, el término “provisión” se utiliza en el contexto de partidas tales como la depreciación, y la pérdida de valor por deterioro de activos o de los deudores de dudoso cobro. Estas partidas proceden de ajustes en el importe en libros de ciertos activos, y no se tratan en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En otras Normas se especifican las reglas para tratar ciertos desembolsos como activos o como gastos. Tales cuestiones no son abordadas en la presente Norma. Por consiguiente, esta Norma no exige, ni prohíbe, la capitalización de los costos reconocidos al constituir una determinada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Esta Norma es de aplicación a las provisiones por reestructuración (incluyendo las operaciones discontinuadas). Cuando una determinada reestructuración cumple con la definición de operación en discontinuación,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xml:space="preserve"> puede exigir revelar información adicional sobre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provisión</w:t>
      </w:r>
      <w:r w:rsidRPr="00401DFF">
        <w:rPr>
          <w:rFonts w:ascii="Times New Roman" w:eastAsia="Times New Roman" w:hAnsi="Times New Roman" w:cs="Times New Roman"/>
          <w:b/>
          <w:bCs/>
          <w:sz w:val="24"/>
          <w:szCs w:val="24"/>
          <w:lang w:eastAsia="es-CO"/>
        </w:rPr>
        <w:t xml:space="preserve"> es un pasivo en el que existe incertidumbre acerca de su cuantía o vencimiento.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pasivo</w:t>
      </w:r>
      <w:r w:rsidRPr="00401DFF">
        <w:rPr>
          <w:rFonts w:ascii="Times New Roman" w:eastAsia="Times New Roman" w:hAnsi="Times New Roman" w:cs="Times New Roman"/>
          <w:b/>
          <w:bCs/>
          <w:sz w:val="24"/>
          <w:szCs w:val="24"/>
          <w:lang w:eastAsia="es-CO"/>
        </w:rPr>
        <w:t xml:space="preserve"> es una obligación presente de la entidad, surgida a raíz de sucesos pasados, al vencimiento de la cual, y para cancelarla, la entidad espera desprenderse de recursos que incorporan beneficios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 </w:t>
      </w:r>
      <w:r w:rsidRPr="00401DFF">
        <w:rPr>
          <w:rFonts w:ascii="Times New Roman" w:eastAsia="Times New Roman" w:hAnsi="Times New Roman" w:cs="Times New Roman"/>
          <w:b/>
          <w:bCs/>
          <w:i/>
          <w:iCs/>
          <w:sz w:val="24"/>
          <w:szCs w:val="24"/>
          <w:lang w:eastAsia="es-CO"/>
        </w:rPr>
        <w:t>suceso que da origen a la obligación</w:t>
      </w:r>
      <w:r w:rsidRPr="00401DFF">
        <w:rPr>
          <w:rFonts w:ascii="Times New Roman" w:eastAsia="Times New Roman" w:hAnsi="Times New Roman" w:cs="Times New Roman"/>
          <w:b/>
          <w:bCs/>
          <w:sz w:val="24"/>
          <w:szCs w:val="24"/>
          <w:lang w:eastAsia="es-CO"/>
        </w:rPr>
        <w:t xml:space="preserve"> es todo aquel suceso del que nace una obligación de pago, de tipo legal o implícita para la entidad, de forma que a la entidad no le queda otra alternativa más realista que satisfacer el importe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obligación legal</w:t>
      </w:r>
      <w:r w:rsidRPr="00401DFF">
        <w:rPr>
          <w:rFonts w:ascii="Times New Roman" w:eastAsia="Times New Roman" w:hAnsi="Times New Roman" w:cs="Times New Roman"/>
          <w:b/>
          <w:bCs/>
          <w:sz w:val="24"/>
          <w:szCs w:val="24"/>
          <w:lang w:eastAsia="es-CO"/>
        </w:rPr>
        <w:t xml:space="preserve"> es aquélla que se deriva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 contrato (ya sea a partir de sus condiciones explícitas o implícitas);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la legislación;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otra causa de tipo legal.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 xml:space="preserve">obligación implícita </w:t>
      </w:r>
      <w:r w:rsidRPr="00401DFF">
        <w:rPr>
          <w:rFonts w:ascii="Times New Roman" w:eastAsia="Times New Roman" w:hAnsi="Times New Roman" w:cs="Times New Roman"/>
          <w:b/>
          <w:bCs/>
          <w:sz w:val="24"/>
          <w:szCs w:val="24"/>
          <w:lang w:eastAsia="es-CO"/>
        </w:rPr>
        <w:t>es aquélla que se deriva de las actuaciones de la propia entidad, en las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debido a un patrón establecido de comportamiento en el pasado, a políticas empresariales que son de dominio público o a una declaración efectuada de forma suficientemente concreta, la entidad haya puesto de manifiesto ante terceros que está dispuesta a aceptar cierto tipo de responsabilidades;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como consecuencia de lo anterior, la entidad haya creado una expectativa válida, ante aquellos terceros con los que debe cumplir sus compromisos o responsabilidades.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pasivo contingente</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obligación posible, surgida a raíz de sucesos pasados y cuya existencia ha de ser confirmada sólo por que ocurran o no ocurran de uno o más hechos futuros sucesos inciertos que no están enteramente bajo el control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obligación presente, surgida a raíz de sucesos pasados, que no se ha reconocido contablemente porque: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no es probable que para satisfacerla se vaya a requerir una salida de recursos que incorporen beneficios económicos;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de la obligación no pueda ser medido con la suficiente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activo contingente</w:t>
      </w:r>
      <w:r w:rsidRPr="00401DFF">
        <w:rPr>
          <w:rFonts w:ascii="Times New Roman" w:eastAsia="Times New Roman" w:hAnsi="Times New Roman" w:cs="Times New Roman"/>
          <w:b/>
          <w:bCs/>
          <w:sz w:val="24"/>
          <w:szCs w:val="24"/>
          <w:lang w:eastAsia="es-CO"/>
        </w:rPr>
        <w:t xml:space="preserve"> es un activo de naturaleza posible, surgido a raíz de sucesos pasados, cuya existencia ha de ser confirmada sólo por la ocurrencia, o en su caso por la no ocurrencia, de uno o más eventos inciertos en el futuro, que no están enteramente bajo el control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contrato de carácter oneroso</w:t>
      </w:r>
      <w:r w:rsidRPr="00401DFF">
        <w:rPr>
          <w:rFonts w:ascii="Times New Roman" w:eastAsia="Times New Roman" w:hAnsi="Times New Roman" w:cs="Times New Roman"/>
          <w:b/>
          <w:bCs/>
          <w:sz w:val="24"/>
          <w:szCs w:val="24"/>
          <w:lang w:eastAsia="es-CO"/>
        </w:rPr>
        <w:t xml:space="preserve"> es todo aquel contrato en el cual los costos inevitables de cumplir con las obligaciones que conlleva, exceden a los beneficios económicos que se esperan recibir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reestructuración</w:t>
      </w:r>
      <w:r w:rsidRPr="00401DFF">
        <w:rPr>
          <w:rFonts w:ascii="Times New Roman" w:eastAsia="Times New Roman" w:hAnsi="Times New Roman" w:cs="Times New Roman"/>
          <w:b/>
          <w:bCs/>
          <w:sz w:val="24"/>
          <w:szCs w:val="24"/>
          <w:lang w:eastAsia="es-CO"/>
        </w:rPr>
        <w:t xml:space="preserve"> es un programa de actuación, planificado y controlado por la gerencia de la entidad, cuyo efecto es un cambio significativo: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alcance de la actividad llevada a cabo por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manera en que tal actividad se lleva a cabo.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Comparación de las provisiones con otros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 Las provisiones pueden distinguirse de otros pasivos, tales como los acreedores comerciales y otras obligaciones acumuladas (o devengadas) que son objeto de estimación, por la existencia de incertidumbre acerca del momento del vencimiento o de la cuantía de los desembolsos futuros necesarios para proceder a su cancelación. En contraste con las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acreedores comerciales son cuentas por pagar por bienes o servicios que han sido suministrados o recibidos por la entidad, y además han sido objeto de facturación o acuerdo formal con el proveedor;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obligaciones acumuladas (devengadas) son cuentas por pagar por el suministro o recepción de bienes o servicios que no han sido pagados, facturados o acordados formalmente con el proveedor, e incluyen las partidas que se deben a los empleados (por ejemplo a causa de las partes proporcionales de las vacaciones retribuidas acumuladas hasta el momento del cierre). Aunque a veces sea necesario estimar el importe o el vencimiento de las obligaciones acumuladas (o devengadas), la incertidumbre asociada a las mismas es, por lo general, mucho menor que en el caso de las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obligaciones acumuladas (o devengadas) se presentan, con frecuencia, integrando la partida correspondiente a los acreedores comerciales y otras cuentas por pagar, mientras que las provisiones se presentan de forma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Relaciones entre provisiones y pasivos de carácter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En una acepción general, todas las provisiones son de naturaleza contingente, puesto que existe incertidumbre sobre el momento del vencimiento o sobre el importe correspondiente. Sin embargo, en esta Norma, el término “contingente” se utiliza para designar activos y pasivos que no han sido objeto de reconocimiento en los estados financieros, porque su existencia quedará confirmada solamente tras la ocurrencia, o en su caso la no ocurrencia, de uno o más sucesos futuros inciertos que no están enteramente bajo el control de la entidad. Por otra parte, la denominación “pasivo contingente” se utiliza para designar a los pasivos que no cumplen los criterios necesarios para su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Esta Norma distingue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provisiones - que ya han sido objeto de reconocimiento como pasivos (suponiendo que su cuantía haya podido ser estimada de forma fiable) porque representan obligaciones presentes y es probable que, para satisfacerlas, la entidad tenga que desprenderse de recursos que incorporen beneficios económicos;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pasivos contingentes - los cuales no han sido objeto de reconocimiento como pasivos porque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obligaciones posibles, en la medida que todavía se tiene que confirmar si la entidad tiene una obligación presente que puede suponerle una salida de recursos que incorporen beneficios económicos;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obligaciones presentes que no cumplen los criterios de reconocimiento de esta Norma (ya sea porque no es probable que, para su cancelación, se produzca una salida de recursos que incorporen beneficios económicos, ya sea porque no pueda hacerse una estimación suficientemente fiable de la cuantía de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Debe reconocerse una provisión cuando se den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entidad tiene una obligación presente (ya sea legal o implícita) como resultado de un suceso pasado;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 probable que la entidad tenga que desprenderse de recursos, que incorporen beneficios económicos para cancelar tal obligación;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puede hacerse una estimación fiable del importe de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Si estas condiciones no se cumplen, no debe reconocer una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Obligación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En algunos casos excepcionales no queda claro si existe o no una obligación en el momento presente. En tales circunstancias, se considera que el suceso ocurrido en el pasado ha dado lugar a una obligación presente si, teniendo en cuenta toda la evidencia disponible al final del periodo sobre el que se informa, es mayor la probabilidad de que exista una obligación presente que de lo contrario.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En casi todos los casos quedará claro si el suceso, ocurrido en el pasado, ha producido o no el nacimiento de la obligación presente. En casos excepcionales, por ejemplo cuando están en curso procesos judiciales, puede estar en duda la ocurrencia o no de ciertos sucesos, o si de tales sucesos se deriva la existencia de una obligación en el momento presente. En tales circunstancias, una entidad procederá a determinar la existencia o no de la obligación presente al final del periodo sobre el que se informa, teniendo en cuenta toda la evidencia disponible, entre la que se podrá incluir, por ejemplo, la opinión de expertos. La evidencia a considerar incluye, asimismo, cualquier tipo de información adicional derivada de hechos ocurridos después del periodo sobre el que se informa. A partir de esa evidencia: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reconocerá una provisión (suponiendo que se cumplan las condiciones para su reconocimiento) siempre que la probabilidad de existencia de la obligación presente, al final del periodo sobre el que se informa, sea mayor que la probabilidad de no existencia;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cuando la probabilidad de que no exista una obligación presente es mayor al final del periodo sobre el que se informa, la entidad revelará un pasivo contingente, a menos que sea </w:t>
      </w:r>
      <w:r w:rsidRPr="00401DFF">
        <w:rPr>
          <w:rFonts w:ascii="Times New Roman" w:eastAsia="Times New Roman" w:hAnsi="Times New Roman" w:cs="Times New Roman"/>
          <w:sz w:val="24"/>
          <w:szCs w:val="24"/>
          <w:lang w:eastAsia="es-CO"/>
        </w:rPr>
        <w:lastRenderedPageBreak/>
        <w:t>remota la posibilidad de que tenga que desprenderse de recursos que incorporen beneficios económicos (véase el párrafo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Suceso pasado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El suceso pasado del que se deriva la obligación se denomina suceso que da origen a la obligación. Para que un suceso sea de esta naturaleza, es preciso que la entidad no tenga, como consecuencia del mismo, otra alternativa más realista que atender al pago de la obligación creada por tal suceso. Este será el caso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pago de la obligación viene exigido por estatutos;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al tratarse de una obligación implícita, cuando el suceso (que muy bien puede ser una actuación de la propia entidad) haya creado una expectativa válida ante aquéllos terceros con los que debe cumplir sus compromisos o responsabilidades.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Los estados financieros se refieren a la situación financiera de la entidad al cierre del periodo sobre el cual se informa, y no a su posible situación en el futuro. Por esta razón, no se pueden reconocer provisiones para gastos en los que sea necesario incurrir para funcionar en el futuro. Los únicos pasivos reconocidos en el estado de situación financiera de una entidad serán aquellos que existan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Se reconocerán como provisiones sólo aquellas obligaciones, surgidas a raíz de sucesos pasados, cuya existencia sea independiente de las acciones futuras de la entidad (es decir, de la gestión futura de la entidad). Ejemplos de tales obligaciones son las multas medioambientales o los costos de reparación de los daños medioambientales causados en contra de la ley, puesto que tanto en uno como en otro caso, y para pagar los compromisos correspondientes, se derivarán para la entidad salidas de recursos que incorporan beneficios económicos, con independencia de las actuaciones futuras que ésta lleve a cabo.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 forma similar la entidad tendrá que reconocer los costos por el desmantelamiento de una instalación de extracción de petróleo o de una central nuclear, siempre que esté obligada a restaurar los daños ya ocasionados por su funcionamiento. En contraste con lo anterior, y por causas de tipo comercial o exigencias legales, la entidad puede desear o necesitar la realización de desembolsos para operar de una manera determinada en el futuro (un ejemplo es la colocación de filtros de humos en una determinada fábrica). Puesto que la entidad puede evitar tales desembolsos futuros mediante actuaciones futuras, por ejemplo cambiando la forma de llevar a cabo la fabricación, no existe una obligación presente de realizar esos desembolsos, y por tanto no reconocerá provisión alguna para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20 Una obligación reconocida como pasivo implica, en todos los casos, la existencia de un tercero con el que se ha contraído la misma, y al que se le debe satisfacer el importe. No obstante, no es preciso conocer la identidad del tercero al que se le debe pagar, puesto que la obligación puede muy bien ser incluso con el público en general. Puesto que la obligación siempre implica un compromiso contraído con un tercero, cualquier decisión de la dirección o del órgano de administración de la entidad, no dará lugar a una obligación implícita, al final del periodo sobre el que se informa, a menos que tal decisión haya sido </w:t>
      </w:r>
      <w:r w:rsidRPr="00401DFF">
        <w:rPr>
          <w:rFonts w:ascii="Times New Roman" w:eastAsia="Times New Roman" w:hAnsi="Times New Roman" w:cs="Times New Roman"/>
          <w:sz w:val="24"/>
          <w:szCs w:val="24"/>
          <w:lang w:eastAsia="es-CO"/>
        </w:rPr>
        <w:lastRenderedPageBreak/>
        <w:t>comunicada antes de esa fecha, a los afectados, de una manera suficientemente explícita como para crear una expectativa válida ante aquéllos terceros con los que debe cumplir sus compromisos o responsabilidades.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 suceso que no haya dado lugar al nacimiento inmediato de una obligación, puede hacerlo en una fecha posterior, por causa de los cambios legales o por actuaciones de la entidad (por ejemplo, una declaración pública suficientemente concreta) que den lugar a obligaciones implícitas. Por ejemplo, cuando se ha causado un daño ambiental, puede no haber obligación de afrontar las consecuencias. Sin embargo, la aparición de una ley nueva puede ser el suceso del que se derive la obligación, así como también lo puede ser el que la entidad acepte, públicamente, su responsabilidad de reparar el daño causado, de forma que aparezca una obligación implícita de afrontar las consecuencias producidas.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En el caso de leyes cuyos extremos todavía se estén discutiendo, las obligaciones para la entidad sólo aparecerán cuando sea prácticamente seguro que la redacción final tendrá unas consecuencias iguales a las del proyecto conocido. Para los propósitos perseguidos en esta Norma, tal obligación se tratará como si fuera una obligación de tipo legal. Debido a las diferentes circunstancias que rodean la discusión de una ley, puede ser imposible señalar un único suceso que pueda hacer prácticamente segura la redacción final que tome la misma. En muchos casos será imposible tener la completa seguridad sobre la redacción de una ley hasta el mismo momento en que haya sido aprobada.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Salida probable de recursos que incorporen beneficios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Para reconocer un pasivo no sólo debe existir la obligación presente, sino también la probabilidad de que haya una salida de recursos, que incorporen beneficios económicos, para cancelar tal obligación. Para los propósitos de esta Norma</w:t>
      </w:r>
      <w:hyperlink r:id="rId47" w:anchor="bf14e193dad57114d79a1a80f75b9789571nf9" w:tgtFrame="_self" w:history="1">
        <w:r w:rsidRPr="00401DFF">
          <w:rPr>
            <w:rFonts w:ascii="Times New Roman" w:eastAsia="Times New Roman" w:hAnsi="Times New Roman" w:cs="Times New Roman"/>
            <w:color w:val="0000FF"/>
            <w:sz w:val="20"/>
            <w:szCs w:val="20"/>
            <w:u w:val="single"/>
            <w:vertAlign w:val="superscript"/>
            <w:lang w:eastAsia="es-CO"/>
          </w:rPr>
          <w:t>(43)</w:t>
        </w:r>
      </w:hyperlink>
      <w:r w:rsidRPr="00401DFF">
        <w:rPr>
          <w:rFonts w:ascii="Times New Roman" w:eastAsia="Times New Roman" w:hAnsi="Times New Roman" w:cs="Times New Roman"/>
          <w:sz w:val="24"/>
          <w:szCs w:val="24"/>
          <w:lang w:eastAsia="es-CO"/>
        </w:rPr>
        <w:t>, la salida de recursos u otro suceso cualquiera se considerará probable siempre que haya mayor posibilidad de que se presente que de lo contrario, es decir, que la probabilidad de que un evento pueda ocurrir sea mayor que la probabilidad de que no se presente en el futuro. Cuando no sea probable que exista la obligación, la entidad revelará un pasivo contingente, salvo que la posibilidad de que haya una salida de recursos, que incorporen beneficios económicos, se considere remota (véase el párrafo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Cuando exista un gran número o una cantidad grande de obligaciones similares (por ejemplo, garantías de productos o contratos similares), la probabilidad de que se produzca una salida de recursos, para su cancelación, se determinará considerando el tipo de obligación en su conjunto. Aunque la posibilidad de una salida de recursos sea pequeña para una determinada partida o tipo de producto en particular, puede muy bien ser probable una salida de recursos para cancelar el tipo de obligación en su conjunto. Si tal es el caso, se procederá a reconocer la provisión (siempre que se cumplan los demás criterios para el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Estimación fiable del importe de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La utilización de estimaciones es una parte esencial de la preparación de los estados financieros, y su existencia no perjudica de ningún modo la fiabilidad que éstos deben </w:t>
      </w:r>
      <w:r w:rsidRPr="00401DFF">
        <w:rPr>
          <w:rFonts w:ascii="Times New Roman" w:eastAsia="Times New Roman" w:hAnsi="Times New Roman" w:cs="Times New Roman"/>
          <w:sz w:val="24"/>
          <w:szCs w:val="24"/>
          <w:lang w:eastAsia="es-CO"/>
        </w:rPr>
        <w:lastRenderedPageBreak/>
        <w:t>tener. Esto es especialmente cierto en el caso de las provisiones, que son más inciertas por su naturaleza que el resto de las partidas del estado de situación financiera. Excepto en casos extremadamente excepcionales, la entidad será capaz de determinar un conjunto de desenlaces posibles de la situación incierta, y podrá por tanto realizar una estimación, para el importe de la obligación, lo suficientemente fiable como para ser utilizado en el reconocimiento de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En el caso extremadamente excepcional de que no se pueda hacer ninguna estimación fiable, se estará ante un pasivo que no puede ser objeto de reconocimiento. La información a revelar sobre tal pasivo contingente se hará por medio de las correspondientes notas (véase el párrafo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27 La entidad no debe reconocer un pasivo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La entidad informará en notas, de la forma en que se exige en el párrafo 86, acerca la existencia de un pasivo contingente, salvo en el caso de que la posibilidad de tener una salida de recursos, que incorporen beneficios económicos, se considere remota.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Cuando la entidad sea responsable, de forma conjunta y solidaria, en relación con una determinada obligación, la parte de la deuda que se espera que cubran los demás responsables se tratará como un pasivo contingente. La entidad, en este caso, procederá a reconocer una provisión por la parte de la obligación para la que sea probable una salida de recursos, que incorporen beneficios económicos futuros, salvo en la extremadamente excepcional circunstancia de que no se pueda hacer una estimación fiable de tal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Los pasivos contingentes pueden evolucionar de manera diferente a la inicialmente esperada. Por tanto, serán objeto de reconsideración continuamente, con el fin de determinar si se ha convertido en probable la eventualidad de salida de recursos, que incorporen beneficios económicos futuros. Si se estimara probable, para una partida tratada anteriormente como pasivo contingente, la salida de tales recursos económicos en el futuro, se reconocería la correspondiente provisión en los estados financieros del periodo en el que ha ocurrido el cambio en la probabilidad de ocurrencia (salvo en la extremadamente rara circunstancia de que no se pueda hacer una estimación fiable de tal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La entidad no debe proceder a reconocer ningún activo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Normalmente, los activos contingentes surgen por sucesos inesperados o no planificados, de los cuales nace la posibilidad de una entrada de beneficios económicos en la entidad. Un ejemplo puede ser la reclamación que la entidad está llevando a cabo a través de un proceso judicial, cuyo desenlace es incierto.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33 Los activos contingentes no son objeto de reconocimiento en los estados financieros, puesto que ello podría significar el reconocimiento de un ingreso que quizá no sea nunca objeto de realización. No obstante, cuando la realización del ingreso sea prácticamente cierta, el activo correspondiente no es de carácter contingente, y por tanto es apropiado proceder a reconocerlo.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En el caso de que sea probable la entrada de beneficios económicos a la entidad, por causa de la existencia de activos contingentes, se informará de los mismos en las notas a los estados financieros, de la forma que se exige en el párrafo 89.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Los activos contingentes han de ser objeto de evaluación de forma continuada, con el fin de asegurar que su evolución se refleja apropiadamente en los estados financieros. En el caso de que la entrada de beneficios económicos a la entidad pase a ser prácticamente cierta, se procederá al reconocimiento del ingreso y del activo en los estados financieros del periodo en el que dicho cambio haya tenido lugar. Si la entrada de beneficios económicos se ha convertido en probable, la entidad informará en notas sobre el correspondiente activo contingente (véase el párrafo 89).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Mejor estimación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El importe reconocido como provisión debe ser la mejor estimación, al final del periodo sobre el que se informa, del desembolso necesario para cancelar la obligación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mejor estimación del desembolso necesario para cancelar la obligación presente vendrá constituida por el importe, evaluado de forma racional, que la entidad tendría que pagar para cancelar la obligación al final del periodo sobre el que se informa, o para transferirla a un tercero en esa fecha. Con frecuencia es imposible, o bien prohibitivo por caro, proceder a pagar o a transferir el importe de la obligación al final del periodo sobre el que se informa. No obstante, la estimación del importe que la entidad vaya a necesitar, para hacer el pago o la transferencia citados, proporcionará la mejor evaluación del desembolso necesario para cancelar la obligación presente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Las estimaciones de cada uno de los desenlaces posibles, así como de su efecto financiero, se determinarán por el juicio de la gerencia de la entidad, complementado por la experiencia que se tenga en operaciones similares y, en algunos casos, por informes de expertos. La evidencia a considerar incluye, asimismo, cualquier tipo de información adicional derivada de hechos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 Las incertidumbres que rodean al importe a reconocer como provisión se tratan de diferentes formas, atendiendo a las circunstancias particulares de cada caso. En el caso de que la provisión, que se está midiendo, se refiera a una población importante de casos individuales, la obligación presente se estimará promediando todos los posibles desenlaces por sus probabilidades asociadas. El nombre de este método estadístico es el de “valor esperado”. La provisión, por tanto, será diferente dependiendo de si la probabilidad de que </w:t>
      </w:r>
      <w:r w:rsidRPr="00401DFF">
        <w:rPr>
          <w:rFonts w:ascii="Times New Roman" w:eastAsia="Times New Roman" w:hAnsi="Times New Roman" w:cs="Times New Roman"/>
          <w:sz w:val="24"/>
          <w:szCs w:val="24"/>
          <w:lang w:eastAsia="es-CO"/>
        </w:rPr>
        <w:lastRenderedPageBreak/>
        <w:t xml:space="preserve">se presente una pérdida es, por ejemplo, del 60 por ciento o del 90 por ciento. En el caso de que el rango de desenlaces posibles sea un continuo, y cada punto del mismo tenga la misma probabilidad que otro, se utilizará el valor medio del intervalo. </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50"/>
      </w:tblGrid>
      <w:tr w:rsidR="00401DFF" w:rsidRPr="00401DFF" w:rsidTr="00401DFF">
        <w:trPr>
          <w:tblCellSpacing w:w="15" w:type="dxa"/>
          <w:jc w:val="center"/>
        </w:trPr>
        <w:tc>
          <w:tcPr>
            <w:tcW w:w="849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r>
      <w:tr w:rsidR="00401DFF" w:rsidRPr="00401DFF" w:rsidTr="00401DFF">
        <w:trPr>
          <w:tblCellSpacing w:w="15" w:type="dxa"/>
          <w:jc w:val="center"/>
        </w:trPr>
        <w:tc>
          <w:tcPr>
            <w:tcW w:w="849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vende sus productos con garantía, de forma que los consumidores tienen cubierto el costo de las reparaciones de cualquier defecto de manufactura que pueda aparecer, hasta seis meses después de la compra. Si se detectaran defectos menores en todos los productos vendidos, los costos de reparación de todos ellos ascenderían a 1 millón. En el caso de que se detectaran defectos importantes en todos los productos vendidos, los costos correspondientes de reparación ascenderían a 4 millones. La experiencia de la entidad en el pasado, junto con las expectativas futuras, indican que, para el año próximo, no aparecerán defectos en el 75 por ciento de los artículos, se detectarán defectos menores en el 20 por ciento y en el restante 5 por ciento aparecerán defectos importantes. De acuerdo con el párrafo 24, la entidad habrá de evaluar la salida probable de recursos para cubrir la garantía del conjunto de los artículos.</w:t>
            </w:r>
            <w:r w:rsidRPr="00401DFF">
              <w:rPr>
                <w:rFonts w:ascii="Times New Roman" w:eastAsia="Times New Roman" w:hAnsi="Times New Roman" w:cs="Times New Roman"/>
                <w:sz w:val="24"/>
                <w:szCs w:val="24"/>
                <w:lang w:eastAsia="es-CO"/>
              </w:rPr>
              <w:br/>
              <w:t>El valor esperado del costo de las reparaciones será:</w:t>
            </w:r>
            <w:r w:rsidRPr="00401DFF">
              <w:rPr>
                <w:rFonts w:ascii="Times New Roman" w:eastAsia="Times New Roman" w:hAnsi="Times New Roman" w:cs="Times New Roman"/>
                <w:sz w:val="24"/>
                <w:szCs w:val="24"/>
                <w:lang w:eastAsia="es-CO"/>
              </w:rPr>
              <w:br/>
              <w:t>(75% de cero) + (20% de 1 millón) + (5% de 4 millones) = 400.000</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Cuando se esté evaluando una obligación aislada, la mejor estimación de la deuda puede venir constituida por el desenlace individual que resulte más probable. No obstante, también en este caso la entidad considerará otros desenlaces posibles. En el caso de que los otros desenlaces posibles sean, o bien mucho más caros, o mucho más baratos que el desenlace más probable, la mejor estimación puede ser por una cuantía mayor o menor, respectivamente, que la correspondiente a éste. Por ejemplo, si la entidad ha de corregir un defecto importante en una planta industrial de gran dimensión, construida para un determinado cliente, y el costo de conseguir la reparación del defecto al primer intento, que es el desenlace más probable, es de 1.000, dotará una provisión de mayor cuantía para contemplar la posibilidad de que fueran necesarios intentos adicionales, siempre que la probabilidad de tener que realizarlos fuera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 provisión se mide antes de impuestos, puesto que sus consecuencias fiscales, así como los cambios que pueda sufrir el valor de la misma, se tratan en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e incertidumbres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Para realizar la mejor estimación de la provisión, deben ser tenidos en cuenta los riesgos e incertidumbres que, inevitablemente, rodean a la mayoría de los sucesos y las circunstancias concurrentes a la valoración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 Con el término riesgo se describe la variabilidad en los desenlaces posibles. Un ajuste por la existencia de riesgo puede aumentar el importe por el que se mide una obligación. Será preciso tener precaución, al realizar juicios en condiciones de incertidumbre, de manera que no sobrevaloren los activos o los ingresos, y que no se infravaloren los pasivos o los gastos. No obstante, la incertidumbre no es una justificación para la creación de provisiones excesivas, o para la sobrevaloración deliberada de los pasivos. Por ejemplo, si </w:t>
      </w:r>
      <w:r w:rsidRPr="00401DFF">
        <w:rPr>
          <w:rFonts w:ascii="Times New Roman" w:eastAsia="Times New Roman" w:hAnsi="Times New Roman" w:cs="Times New Roman"/>
          <w:sz w:val="24"/>
          <w:szCs w:val="24"/>
          <w:lang w:eastAsia="es-CO"/>
        </w:rPr>
        <w:lastRenderedPageBreak/>
        <w:t>el costo estimado de un desenlace particularmente adverso se evalúa de forma prudente, entonces tal desenlace, de forma deliberada, se trata como más probable que lo que efectivamente es. Es preciso tener cuidado para evitar la duplicación de los ajustes por riesgo e incertidumbre, con la consiguiente sobrevaloración del importe de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La información adicional acerca de las incertidumbres, que guardan relación con el importe final del desembolso, se realizará de acuerdo con lo establecido en el párrafo 85(b).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45 Cuando resulte importante el efecto financiero producido por el descuento, el importe de la provisión debe ser el valor presente de los desembolsos que se espera sean necesarios para cancelar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Debido al valor temporal del dinero, una provisión que se refiere a salidas de efectivo cercanas al final del periodo sobre el que se informa, resulta más onerosa para la entidad que otra referida a salidas por igual importe pero fechas más lejanas. El importe de las provisiones, por tanto, será objeto de descuento cuando el efecto de hacerlo resulte significativo.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47 La tasa o tasas de descuento deben ser consideradas antes de impuestos, y deben reflejar las evaluaciones correspondientes al valor temporal del dinero que el mercado esté haciendo, así como el riesgo específico del pasivo correspondiente. La tasa o tasas de descuento no deben reflejar los riesgos que hayan sido ya objeto de ajuste, al hacer las estimaciones de los flujos de efectivo futuros relacionados con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Sucesos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48 Los sucesos futuros, que puedan afectar a la cuantía necesaria para cancelar la obligación, deben ser objeto de reflejo en la evaluación de la misma, siempre que haya una evidencia objetiva suficiente de que puedan aparecer efectivamente.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Las expectativas sobre sucesos futuros pueden ser particularmente importantes en la medición de las provisiones. Por ejemplo, la entidad puede creer que el costo de limpiar un determinado emplazamiento industrial, al final de su vida útil, puede quedar reducido gracias a futuros cambios en la tecnología. El importe que se reconozca como provisión habrá de reflejar una expectativa razonable de observadores objetivos y técnicamente cualificados, teniendo en cuenta toda la experiencia disponible sobre la tecnología que será posible utilizar en el momento de proceder a la limpieza. De esta forma, resultará apropiado incluir, por ejemplo, las reducciones de costo relacionadas con el aumento de experiencia asociada con la aplicación de la tecnología actual, o el costo esperado de aplicar la tecnología actual en operaciones mayores o más complejas que se han llevado a cabo previamente. No obstante, la entidad no anticipará el desarrollo de una tecnología completamente nueva de limpieza, al hacer las estimaciones, a menos que ello esté apoyado por una evidencia suficientemente objetiva.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50 El efecto de la posible nueva legislación será tomado en cuenta, al medir las obligaciones ya existentes, cuando haya suficiente evidencia objetiva de que la normativa conocida será la que se apruebe sin prácticamente ningún cambio. La variedad de circunstancias que surgen en la práctica hacen imposible especificar un solo suceso que, en todos los casos, produzca la evidencia objetiva suficiente. Por otra parte, la evidencia es necesaria tanto en lo que la legislación vaya a exigir, como en que será prácticamente seguro que se aprobará e implementará siguiendo los procedimientos ordinarios. En muchos casos, no existirá evidencia objetiva suficiente hasta el momento en que se haya promulgado la legislación.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esperadas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Las ganancias esperadas por la disposición de activos no deben ser tenidas en cuenta al evaluar el importe de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Las ganancias por la disposición esperada de activos no se tienen en cuenta al medir una provisión, incluso en el caso de que la disposición esperada esté ligada estrechamente al suceso que ha motivado la provisión. Por el contrario, la entidad reconocerá las ganancias de la disposición esperada de activos en el momento que se especifica en la Norma que se refiera al tipo de activo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Reembolsos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En el caso de que la entidad espere que una parte o la totalidad del desembolso necesario para liquidar la provisión le sea reembolsado por un tercero, tal reembolso será objeto de reconocimiento cuando, y sólo cuando, sea prácticamente segura su recepción si la entidad cancela la obligación objeto de la provisión. El reembolso, en tal caso, debe ser tratado como un activo separado. El importe reconocido para el activo no debe exceder al importe de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En el estado del resultado integral, el gasto relacionado con la provisión puede ser objeto de presentación como una partida neta del importe reconocido como reembolso a recibir.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En ciertas ocasiones, la entidad puede considerar el hecho de que un tercero se hará cargo de la totalidad, o una parte, del desembolso requerido para liquidar una provisión (por ejemplo, a través de la existencia de contratos de seguro, de cláusulas de indemnización o de garantías de proveedores). El tercero en cuestión puede, o bien reembolsar los importes ya pagados por la entidad, o bien pagar tales cantidades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En muchos casos, la entidad responderá de la totalidad del importe en cuestión, de forma que tendrá que liquidarlo por entero si el tercero no paga por cualquier razón. En tal situación, la provisión se reconocerá por el importe total, y se procederá a reconocer separadamente un activo por el reembolso esperado, cuando sea prácticamente seguro que se vaya a recibir si la entidad hace frente al pasivo recogido en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57 En algunos casos, la entidad puede no tener que responder de los costos en cuestión si el tercero responsable deja de realizar el desembolso. En tal caso, la entidad no tendrá responsabilidad por tales costos, y por tanto no se incluirán en el cálculo de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Como se ha resaltado en el párrafo 29, una obligación por la que la entidad es responsable de forma conjunta y solidaria, será un pasivo de tipo contingente, por la parte y en la medida que se espere sea liquidado por los terceros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el valor de las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59 Las provisiones deben ser objeto de revisión al final de cada periodo sobre el que se informa, y ajustadas consiguientemente para reflejar en cada momento la mejor estimación disponible. En el caso de que no sea ya probable la salida de recursos, que incorporen beneficios económicos, para cancelar la obligación correspondiente, se procederá a liquidar o revertir la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Cuando se haya usado el descuento para determinar el importe de la provisión, el importe en libros de la misma aumentará en cada periodo para reflejar el paso del tiempo. Tal incremento se reconocerá como un costo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las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Cada provisión deberá ser utilizada sólo para afrontar los desembolsos para los cuales fue originalmente reconocida.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Sólo se aplicará la provisión para cubrir los desembolsos relacionados originalmente con su dotación. El hecho de realizar desembolsos contra una provisión que fue, en su origen, dotada para propósitos diferentes, produciría el efecto de encubrir el impacto de dos sucesos distintos.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las reglas de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Pérdidas futuras derivadas de las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No deben reconocerse provisiones por pérdidas futuras derivadas de las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Las pérdidas futuras derivadas de las operaciones no cumplen las condiciones de la definición de pasivo, dada en el párrafo 10, ni tampoco los criterios generales para el reconocimiento de las provisiones, dados en el párrafo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65 Una expectativa de pérdidas futuras derivadas de las operaciones es indicativa de que algunos de los activos de la misma han visto deteriorarse su valor. La entidad deberá realizar la comprobación pertinente del deterioro del valor, según establece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Contratos de carácter oneroso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66 Si la entidad tiene un contrato de carácter oneroso, las obligaciones presentes que se deriven del mismo deben ser reconocidas y medidas, en los estados financieros, como provisiones.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Muchos contratos (por ejemplo, algunas órdenes rutinarias de compra) pueden ser revocados sin pagar ninguna compensación a la otra parte, y por tanto no producirán obligación alguna. Otros contratos establecen tanto derechos como obligaciones para cada una de las partes contratantes. Cuando ciertas circunstancias convierten en onerosos a tales contratos, los mismos caen dentro del alcance de esta Norma, y se reconocerán las obligaciones que pudieran existir. Los contratos pendientes de ejecución, que no sean de carácter oneroso, caen fuera del alcance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En esta Norma se define un contrato de carácter oneroso como aquél en el que los costos inevitables de cumplir con las obligaciones que conlleva, exceden a los beneficios económicos que se esperan recibir del mismo. Los costos inevitables del contrato reflejarán los menores costos netos por resolver el mismo, o lo que es igual, el importe menor entre el costo de cumplir sus cláusulas y la cuantía de las compensaciones o multas que se deriven de su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69 Antes de proceder a dotar una provisión independiente por causa de un contrato de carácter oneroso, la entidad reconocerá cualesquiera pérdidas por deterioro del valor que correspondan a los activos dedicados a cumplir las obligaciones derivadas del contrato (véase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70 Los siguientes ejemplos recogen sucesos que pueden caber dentro de la definición de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venta o liquidación de una línea de actividad;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clausura de un emplazamiento de la entidad en un país o región, o bien la reubicación de las actividades que se ejercían en un país o región a otros distintos;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cambios en la estructura de la gerencia, como por ejemplo la eliminación de un nivel o escala de directivos empresariales;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reorganizaciones importantes, que tienen un efecto significativo sobre la naturaleza y enfoque de las actividades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Se reconocerá una provisión por costos de reestructuración, sólo cuando se cumplan las condiciones generales de reconocimiento de provisiones establecidas en el párrafo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14. En los párrafos 72 a 83 se determina cómo aplicar los criterios generales de reconocimiento al caso de las reestructuraciones.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72 Surge, para la entidad, una obligación implícita, por causa de una reestructuración,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tenga un plan formal detallado para efectuar la reestructuración, en el que se identifiquen, al menos: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actividades empresariales, o la parte de las mismas, implicadas;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las principales ubicaciones afectadas;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localización, función y número aproximado de empleados que habrán de ser indemnizados por la rescisión de sus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los desembolsos que se llevarán a cabo;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las fechas en las que el plan será implementado;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haya creado una expectativa real, entre los afectados, respecto a que se llevará a cabo la reestructuración, ya sea por haber comenzado a ejecutar el plan o por haber anunciado sus principales características a los que se van a ver afectados por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La evidencia de que la entidad ha comenzado a llevar a cabo el plan de reestructuración podría venir dada, por ejemplo, por un plan de desmantelamiento de las instalaciones o de venta de los activos correspondientes, y también por el anuncio público de las principales características del plan. El anuncio público del plan detallado de reestructuración constituirá una obligación implícita para reestructurar, sólo si se hace de tal manera y con suficiente detalle (es decir, dando a conocer las principales características del mismo), que sea capaz de producir expectativas válidas entre los terceros implicados, esto es, entre los clientes, proveedores y empleados (o sus representantes), sobre el hecho de que la entidad va a llevar efectivamente a cabo la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Para que el plan sea suficiente como para dar lugar a una obligación implícita por la entidad, al comunicárselo a los que resulten afectados por él, es necesario que su implantación esté planeada para dar comienzo en cuanto sea posible, y además que el calendario de actuaciones haga improbable cualquier cambio significativo sobre lo inicialmente previsto. Si, por el contrario, se espera que transcurra un largo periodo de tiempo antes de que la reestructuración comience, o bien que la reestructuración requiera un intervalo de tiempo no razonable por dilatado, es improbable que el plan produzca expectativas válidas, entre los terceros afectados, sobre el hecho de que la entidad está comprometida en una reestructuración, puesto que el calendario de actuaciones da a la entidad oportunidades para cambiar sus planes iniciales.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75 La decisión de reestructurar, tomada por la gerencia o por el órgano de administración de la entidad antes del final del periodo sobre el que se informa, no dará lugar a una obligación implícita final del periodo sobre el que se informa, a menos que la entidad haya antes de esta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empezado a ejecutar el plan de reestructuración;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anunciado las principales características del plan de reestructuración, a todos los que vayan a resultar afectados por el mismo, de una manera suficientemente concreta como para producir, en los mismos, expectativas válidas en el sentido de que la entidad va a llevar a cabo la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Si una entidad comienza a ejecutar el plan de reestructuración, o anuncia sus principales características a los afectados por el mismo, solo después de la fecha de cierre del periodo sobre el que se informa, se requiere que revele este hecho, según lo establecido por la NIC 10 </w:t>
      </w:r>
      <w:r w:rsidRPr="00401DFF">
        <w:rPr>
          <w:rFonts w:ascii="Times New Roman" w:eastAsia="Times New Roman" w:hAnsi="Times New Roman" w:cs="Times New Roman"/>
          <w:i/>
          <w:iCs/>
          <w:sz w:val="24"/>
          <w:szCs w:val="24"/>
          <w:lang w:eastAsia="es-CO"/>
        </w:rPr>
        <w:t>Hechos Ocurridos Después del Periodo sobre el que se Informa,</w:t>
      </w:r>
      <w:r w:rsidRPr="00401DFF">
        <w:rPr>
          <w:rFonts w:ascii="Times New Roman" w:eastAsia="Times New Roman" w:hAnsi="Times New Roman" w:cs="Times New Roman"/>
          <w:sz w:val="24"/>
          <w:szCs w:val="24"/>
          <w:lang w:eastAsia="es-CO"/>
        </w:rPr>
        <w:t xml:space="preserve"> si la reestructuración es significativa y no revelar información podría afectar a las decisiones económicas que los usuarios toman a partir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Una obligación implícita no se genera sólo por la decisión tomada por la gerencia de la entidad, no obstante puede surgir de otros sucesos anteriores asociados con tal decisión. Por ejemplo, las negociaciones con los representantes de los empleados para discutir las indemnizaciones por despido colectivo, o con posibles compradores para la venta de las instalaciones que constituyen una operación, pueden haber producido acuerdos firmes que para su efectividad necesiten sólo la aprobación correspondiente del órgano de administración. Una vez que se ha conseguido esta aprobación, y ha sido comunicada a los terceros implicados, la entidad tiene una obligación implícita para reestructurar, siempre y cuando se cumplan las condiciones del párrafo 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77 En algunos países, la decisión última de la reestructuración descansa en un órgano o junta entre cuyos miembros se incluyen representantes de intereses distintos de los que corresponden a la gerencia (por ejemplo, de empleados), o bien es preciso informar convenientemente a tales representantes antes de que el órgano de administración tome la decisión. En tanto en cuanto la decisión tomada por este órgano implica la comunicación a los anteriores representantes, puede dar lugar a una obligación implícita para reestructurar.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78 No surge ningún tipo de obligación para la entidad por causa de la venta de una de sus operaciones, hasta que la entidad se ha comprometido en vender, es decir, hasta que exista un compromiso firme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79 Incluso en el caso de que la entidad haya tomado la decisión de vender una determinada operación, y haya anunciado públicamente su decisión, no estará comprometida a la venta hasta que haya identificado al comprador y exista un compromiso firme con él. Hasta el momento en que se produzca tal compromiso firme, la entidad puede cambiar sus intenciones iniciales, y por otra parte tendrá que tomar otro curso de acción si no puede encontrar un comprador que le ofrezca condiciones aceptables. Cuando se contempla la venta de una operación, como una parte de la reestructuración, se comprobará, en primer </w:t>
      </w:r>
      <w:r w:rsidRPr="00401DFF">
        <w:rPr>
          <w:rFonts w:ascii="Times New Roman" w:eastAsia="Times New Roman" w:hAnsi="Times New Roman" w:cs="Times New Roman"/>
          <w:sz w:val="24"/>
          <w:szCs w:val="24"/>
          <w:lang w:eastAsia="es-CO"/>
        </w:rPr>
        <w:lastRenderedPageBreak/>
        <w:t>lugar, el posible deterioro del valor de los activos pertenecientes a la misma, atendiendo a lo establecido en la NIC 36. En este caso hay que tener en cuenta que, al ser la venta sólo una parte de la reestructuración, podría aparecer una obligación implícita por otros aspectos de la reestructuración antes de que existiera un compromiso firme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La provisión por reestructuración debe incluir sólo los desembolsos que surjan directamente de la reestructuración, que son aquellos que de forma simultánea están: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que se produzcan necesariamente en la reestructuración;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no asociados con las actividades que continúan en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Una provisión por reestructuración no incluye costos tales como los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formación o reubicación del personal que permanezca dentro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comercialización o publicidad;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inversión en nuevos sistemas y redes de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Tales desembolsos tienen relación con la gestión futura de la actividad, y por tanto no son pasivos derivados de la reestructuración al final del periodo sobre el que se informa. Estos gastos o inversiones se tratarán, contablemente, de la misma manera que si se produjeran con independencia de la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Las pérdidas identificables, derivadas de la operación de las actividades afectadas por la reestructuración, no se incluirán en el importe de la provisión, salvo que estén relacionadas con un contrato de carácter oneroso, tal como se define en el párrafo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Como se exige en el párrafo 51, las posibles ganancias derivadas de la venta de activos no se tendrán en consideración al medir el importe de la provisión por reestructuración, incluso aunque las mismas se consideren como una parte integrante de la propia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84 Para cada tipo de provisión, la entidad debe informar acerca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en libros al principio y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dotaciones efectuadas en el periodo, incluyendo también los incrementos en las provisiones existentes;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importes utilizados (esto es, aplicados o cargados contra la provisión) en el transcurso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 los importes no utilizados que han sido objeto de liquidación o reversión en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incremento durante el periodo en el importe descontado que surge del paso del tiempo y el efecto de cualquier cambio en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 se requiere 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85 La entidad debe revelar, por cada tipo de provisión, información sobre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breve descripción de la naturaleza de la obligación contraída, así como el calendario esperado de las salidas de beneficios económicos, producidos por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indicación acerca de las incertidumbres relativas al importe o al calendario de las salidas de esos recursos. En los casos en que sea necesario para suministrar la información adecuada, la entidad debe revelar la información correspondiente a las principales hipótesis realizadas sobre los sucesos futuros a los que se refiere el párrafo 48;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de cualquier eventual reembolso, informando además de la cuantía de los activos que hayan sido reconocidos para recoger los eventuales reembolsos esperados.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86 A menos que la posibilidad de una eventual salida de recursos para liquidarla sea remota, la entidad debe dar, para cada tipo de pasivo contingente al final del periodo sobre el que se informa, una breve descripción de la naturaleza del mismo y, cuando fuese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estimación de sus efectos financieros, medidos según lo establecido en los párrafos 36 a 52;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indicación de las incertidumbres relacionadas con el importe o el calendario de las salidas de recursos correspondientes;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 posibilidad de obtener eventuales reembolsos.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Para determinar qué provisiones o qué pasivos contingentes pueden agregarse en cada uno de los tipos o clases, es necesario considerar si la naturaleza de las partidas es lo suficientemente similar como para admitir una información común que las abarque todas, para cumplir con los requisitos establecidos en los párrafos 85, (a) y (b), y 86,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y (b). De esta forma, puede resultar apropiado considerar como un sólo tipo de provisión, las partidas relativas a las garantías de los diferentes productos, pero podría no resultar apropiado agrupar en un solo tipo de provisión los importes relativos a las garantías comunes y las referidas a procesos legales.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88 Cuando nacen, de un mismo conjunto de circunstancias, una provisión y un pasivo contingente, la entidad revelará información complementaria exigida por los párrafos 84 a 86, de manera que se muestren la relación existente entre una y otro.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89 En el caso de que sea probable la entrada de beneficios económicos, la entidad revelará en las notas una breve descripción de la naturaleza de los activos contingentes correspondientes, existentes al final del periodo sobre el que se informa y, cuando ello sea posible, una estimación de sus efectos financieros, medidos utilizando los principios establecidos para las provisiones en los párrafos 36 a 52.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 Es muy importante que, la información que se suministre sobre los activos de carácter contingente, evite las indicaciones que puedan confundir respecto a la posibilidad de la obtención de los ingresos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91 En aquellos casos en los que no se revele la información exigida por los párrafos 86 y 89, porque no sea posible hacerlo, este hecho debe ser revelado en las notas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92 En ciertos casos posibles, pero extremadamente raros en la práctica, puede esperarse que la información a revelar relativa a algunos de los extremos exigidos en los párrafos 84 a 89, perjudique seriamente a la posición de la entidad, en disputas con terceros relativas a las situaciones que contemplan las provisiones, los pasivos contingentes o los activos de igual naturaleza. En tales casos, no es preciso que la entidad revele esta información, pero debe describir la naturaleza genérica de la disputa, junto con el hecho de que se ha omitido la información y las razones que han llevado a tomar tal decisión.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93 La entidad debe contabilizar el efecto de adoptar esta Norma, ya sea en la fecha de entrada en vigencia o con anterioridad a la misma, ajustando el saldo inicial de ganancias acumuladas, en el periodo en que se decida su aplicación contable. Se aconseja a las entidades, pero no se exige, que ajusten el saldo inicial de las ganancias acumuladas correspondientes al periodo más antiguo para el que presenten datos, reexpresando de nuevo toda la información comparativa ofrecida. En el caso de no reexpresar la información comparativa, este hecho debe ser objeto se revelará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Esta Norma tendrá vigencia para los estados financieros anuales que cubran periodos que comiencen a partir del 1 de julio de 1999. Se aconseja su aplicación anticipada. Si una entidad aplica esta Norma en periodos que comiencen antes del 1 de julio de 1999,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 La NIIF 9 emitida en octubre de 2010, modificó el párrafo 2.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La interpretación del término “probable” en esta Norma como “mayor posibilidad de que un evento se presente que de lo contrario” no es necesariamente de aplicación a otras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el tratamiento contable de los activos intangibles que no estén contemplados específicamente en otra Norma. Esta Norma requiere que las entidades reconozcan un activo intangible si, y sólo si, se cumplen ciertos criterios. La Norma también especifica cómo determinar el importe en libros de los activos intangibles, y exige revelar información específica sobre estos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 aplicará al contabilizar los activos intangibles, excepto en los siguientes casos: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activos intangibles que estén tratados en otras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activos financieros, definidos en la NIC 32 </w:t>
      </w:r>
      <w:r w:rsidRPr="00401DFF">
        <w:rPr>
          <w:rFonts w:ascii="Times New Roman" w:eastAsia="Times New Roman" w:hAnsi="Times New Roman" w:cs="Times New Roman"/>
          <w:b/>
          <w:bCs/>
          <w:i/>
          <w:iCs/>
          <w:sz w:val="24"/>
          <w:szCs w:val="24"/>
          <w:lang w:eastAsia="es-CO"/>
        </w:rPr>
        <w:t>Instrumentos Financieros: Presentación</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el reconocimiento y medición de activos para exploración y evaluación (véase la NIIF 6 </w:t>
      </w:r>
      <w:r w:rsidRPr="00401DFF">
        <w:rPr>
          <w:rFonts w:ascii="Times New Roman" w:eastAsia="Times New Roman" w:hAnsi="Times New Roman" w:cs="Times New Roman"/>
          <w:b/>
          <w:bCs/>
          <w:i/>
          <w:iCs/>
          <w:sz w:val="24"/>
          <w:szCs w:val="24"/>
          <w:lang w:eastAsia="es-CO"/>
        </w:rPr>
        <w:t>Exploración y Evaluación de Recursos Minerales);</w:t>
      </w:r>
      <w:r w:rsidRPr="00401DFF">
        <w:rPr>
          <w:rFonts w:ascii="Times New Roman" w:eastAsia="Times New Roman" w:hAnsi="Times New Roman" w:cs="Times New Roman"/>
          <w:b/>
          <w:bCs/>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desembolsos relacionados con el desarrollo y extracción de minerales, petróleo, gas natural y recursos no renovables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el caso de que otra Norma se ocupe de la contabilización de una clase específica de activo intangible, la entidad aplicará esa Norma en lugar de la presente. Por ejemplo, esta Norma no es aplicable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Activos intangibles mantenidos por la entidad para su venta en el curso ordinario de sus actividades (véase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y la NIC 11 </w:t>
      </w:r>
      <w:r w:rsidRPr="00401DFF">
        <w:rPr>
          <w:rFonts w:ascii="Times New Roman" w:eastAsia="Times New Roman" w:hAnsi="Times New Roman" w:cs="Times New Roman"/>
          <w:i/>
          <w:iCs/>
          <w:sz w:val="24"/>
          <w:szCs w:val="24"/>
          <w:lang w:eastAsia="es-CO"/>
        </w:rPr>
        <w:t>Contratos de Construcción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Activos por impuestos diferidos (véase la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Arrendamientos que se incluyan en el alcance de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(d) Activos que surjan por beneficios a los empleados (véase la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Activos financieros, según se definen en la NIC 32. El reconocimiento y la medición de algunos activos financieros están cubiertos por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xml:space="preserve"> en la NIC 27 </w:t>
      </w:r>
      <w:r w:rsidRPr="00401DFF">
        <w:rPr>
          <w:rFonts w:ascii="Times New Roman" w:eastAsia="Times New Roman" w:hAnsi="Times New Roman" w:cs="Times New Roman"/>
          <w:i/>
          <w:iCs/>
          <w:sz w:val="24"/>
          <w:szCs w:val="24"/>
          <w:lang w:eastAsia="es-CO"/>
        </w:rPr>
        <w:t>Estados Financieros Separados;</w:t>
      </w:r>
      <w:r w:rsidRPr="00401DFF">
        <w:rPr>
          <w:rFonts w:ascii="Times New Roman" w:eastAsia="Times New Roman" w:hAnsi="Times New Roman" w:cs="Times New Roman"/>
          <w:sz w:val="24"/>
          <w:szCs w:val="24"/>
          <w:lang w:eastAsia="es-CO"/>
        </w:rPr>
        <w:t xml:space="preserve"> y NIC 28 </w:t>
      </w:r>
      <w:r w:rsidRPr="00401DFF">
        <w:rPr>
          <w:rFonts w:ascii="Times New Roman" w:eastAsia="Times New Roman" w:hAnsi="Times New Roman" w:cs="Times New Roman"/>
          <w:i/>
          <w:iCs/>
          <w:sz w:val="24"/>
          <w:szCs w:val="24"/>
          <w:lang w:eastAsia="es-CO"/>
        </w:rPr>
        <w:t>Inversiones en Asociadas y Negocios Conjuntos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Plusvalía adquirida en una combinación de negocios (véase la NIIF 3 </w:t>
      </w:r>
      <w:r w:rsidRPr="00401DFF">
        <w:rPr>
          <w:rFonts w:ascii="Times New Roman" w:eastAsia="Times New Roman" w:hAnsi="Times New Roman" w:cs="Times New Roman"/>
          <w:i/>
          <w:iCs/>
          <w:sz w:val="24"/>
          <w:szCs w:val="24"/>
          <w:lang w:eastAsia="es-CO"/>
        </w:rPr>
        <w:t>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Costos de adquisición diferidos, y activos intangibles, surgidos de los derechos contractuales de una entidad aseguradora en los contratos de seguro que están dentro del alcance de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La NIIF 4 establece requerimientos de revelación de información específicos para los citados costos de adquisición diferidos, pero no para los activos intangibles. Por ello, los requerimientos de revelación de información de esta Norma se aplican a dichos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(h) Activos intangibles no corrientes (o incluido en un grupo de activos para su disposición) clasificados como mantenidos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Descontinuadas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Algunos activos intangibles pueden estar contenidos en, o contener, un soporte de naturaleza o apariencia física, como es el caso de un disco compacto (en el caso de programas informáticos), de documentación legal (en el caso de una licencia o patente) o de una película. Al determinar si un activo, que incluye elementos tangibles e intangibles, se tratará según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o como un activo intangible según la presente Norma, la entidad realizará el oportuno juicio para evaluar cuál de los dos elementos tiene un peso más significativo. Por ejemplo, los programas informáticos para un ordenador que no pueda funcionar sin un programa específico, son una parte integrante del equipo y serán tratados como elementos de las propiedades, planta y equipo. Lo mismo se aplica al sistema operativo de un ordenador. Cuando los programas informáticos no constituyan parte integrante del equipo, serán tratados como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Norma es de aplicación, entre otros elementos, a los desembolsos por gastos de publicidad, formación del personal, comienzo de la actividad o de la entidad y a los correspondientes a las actividades de investigación y desarrollo. Las actividades de investigación y desarrollo están orientadas al desarrollo de nuevos conocimientos. Por tanto, aunque de este tipo de actividades pueda derivarse un activo con apariencia física (por ejemplo, un prototipo), la sustancia material del elemento es de importancia secundaria con respecto a su componente intangible, que viene constituido por el conocimiento incorporado al activo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En el caso de un arrendamiento financiero, el activo subyacente puede ser tangible o intangible. Después del reconocimiento inicial, el arrendatario contabilizará un activo intangible, mantenido bajo la forma de un arrendamiento financiero, conforme a lo establecido en esta Norma. Los derechos de concesión o licencia, para productos tales </w:t>
      </w:r>
      <w:r w:rsidRPr="00401DFF">
        <w:rPr>
          <w:rFonts w:ascii="Times New Roman" w:eastAsia="Times New Roman" w:hAnsi="Times New Roman" w:cs="Times New Roman"/>
          <w:sz w:val="24"/>
          <w:szCs w:val="24"/>
          <w:lang w:eastAsia="es-CO"/>
        </w:rPr>
        <w:lastRenderedPageBreak/>
        <w:t>como películas, grabaciones en vídeo, obras de teatro, manuscritos, patentes y derechos reprográficos, están excluidos del alcance de la NIC 17, pero están dentro del alcance de la presente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Las exclusiones del alcance de una Norma pueden producirse en ciertas actividades u operaciones en las que, por ser de una naturaleza muy especializada, surjan aspectos contables que necesitan un tratamiento diferente. Este es el caso de la contabilización de los desembolsos por exploración, desarrollo o extracción de petróleo, gas y otros depósitos minerales, en las industrias extractivas, así como en el caso de los contratos de seguro. Por tanto, esta Norma no es de aplicación a los desembolsos realizados en estas operaciones y contratos. No obstante, esta Norma será de aplicación a otros activos intangibles utilizados (como los programas informáticos) y otros desembolsos realizados (como los que correspondan al inicio de la actividad), en las industrias extractivas o en las entidades aseguradoras.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Amortización</w:t>
      </w:r>
      <w:r w:rsidRPr="00401DFF">
        <w:rPr>
          <w:rFonts w:ascii="Times New Roman" w:eastAsia="Times New Roman" w:hAnsi="Times New Roman" w:cs="Times New Roman"/>
          <w:b/>
          <w:bCs/>
          <w:sz w:val="24"/>
          <w:szCs w:val="24"/>
          <w:lang w:eastAsia="es-CO"/>
        </w:rPr>
        <w:t xml:space="preserve"> es la distribución sistemática del importe depreciable de un activo intangible durante los años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activo</w:t>
      </w:r>
      <w:r w:rsidRPr="00401DFF">
        <w:rPr>
          <w:rFonts w:ascii="Times New Roman" w:eastAsia="Times New Roman" w:hAnsi="Times New Roman" w:cs="Times New Roman"/>
          <w:b/>
          <w:bCs/>
          <w:sz w:val="24"/>
          <w:szCs w:val="24"/>
          <w:lang w:eastAsia="es-CO"/>
        </w:rPr>
        <w:t xml:space="preserve"> es un recurso: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controlado por la entidad como resultado de sucesos pasados;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del que la entidad espera obtener, en el futuro, beneficios económicos.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en libros</w:t>
      </w:r>
      <w:r w:rsidRPr="00401DFF">
        <w:rPr>
          <w:rFonts w:ascii="Times New Roman" w:eastAsia="Times New Roman" w:hAnsi="Times New Roman" w:cs="Times New Roman"/>
          <w:b/>
          <w:bCs/>
          <w:sz w:val="24"/>
          <w:szCs w:val="24"/>
          <w:lang w:eastAsia="es-CO"/>
        </w:rPr>
        <w:t xml:space="preserve"> es el importe por el que un activo se reconoce en el estado de situación financiera, después de deducir la amortización acumulada y las pérdidas por deterioro acumuladas, que se refieran al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w:t>
      </w:r>
      <w:r w:rsidRPr="00401DFF">
        <w:rPr>
          <w:rFonts w:ascii="Times New Roman" w:eastAsia="Times New Roman" w:hAnsi="Times New Roman" w:cs="Times New Roman"/>
          <w:b/>
          <w:bCs/>
          <w:sz w:val="24"/>
          <w:szCs w:val="24"/>
          <w:lang w:eastAsia="es-CO"/>
        </w:rPr>
        <w:t xml:space="preserve"> es el importe de efectivo equivalentes al efectivo pagados, o el valor razonable de la contraprestación entregada para adquirir un activo, en el momento de su adquisición o construcción, o, cuando sea aplicable, el importe atribuido a ese activo cuando sea inicialmente reconocido de acuerdo con los requerimientos específicos de otras NIIF, como por ejemplo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depreciable</w:t>
      </w:r>
      <w:r w:rsidRPr="00401DFF">
        <w:rPr>
          <w:rFonts w:ascii="Times New Roman" w:eastAsia="Times New Roman" w:hAnsi="Times New Roman" w:cs="Times New Roman"/>
          <w:b/>
          <w:bCs/>
          <w:sz w:val="24"/>
          <w:szCs w:val="24"/>
          <w:lang w:eastAsia="es-CO"/>
        </w:rPr>
        <w:t xml:space="preserve"> es el costo de un activo, u otro importe que lo haya sustituido, menos su valor residual.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Desarrollo</w:t>
      </w:r>
      <w:r w:rsidRPr="00401DFF">
        <w:rPr>
          <w:rFonts w:ascii="Times New Roman" w:eastAsia="Times New Roman" w:hAnsi="Times New Roman" w:cs="Times New Roman"/>
          <w:b/>
          <w:bCs/>
          <w:sz w:val="24"/>
          <w:szCs w:val="24"/>
          <w:lang w:eastAsia="es-CO"/>
        </w:rPr>
        <w:t xml:space="preserve"> es la aplicación de los resultados de la investigación o de cualquier otro tipo de conocimiento científico, a un plan o diseño en particular para la producción de materiales, productos, métodos, procesos o sistemas nuevos, o sustancialmente mejorados, antes del comienzo de su producción o utilización comercial.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Valor específico para una entidad</w:t>
      </w:r>
      <w:r w:rsidRPr="00401DFF">
        <w:rPr>
          <w:rFonts w:ascii="Times New Roman" w:eastAsia="Times New Roman" w:hAnsi="Times New Roman" w:cs="Times New Roman"/>
          <w:b/>
          <w:bCs/>
          <w:sz w:val="24"/>
          <w:szCs w:val="24"/>
          <w:lang w:eastAsia="es-CO"/>
        </w:rPr>
        <w:t xml:space="preserve"> es el valor presente de los flujos de efectivo que la entidad espera obtener del uso continuado de un activo y de su disposición al término de su vida útil, o bien de los desembolsos que espera realizar para cancelar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Una </w:t>
      </w:r>
      <w:r w:rsidRPr="00401DFF">
        <w:rPr>
          <w:rFonts w:ascii="Times New Roman" w:eastAsia="Times New Roman" w:hAnsi="Times New Roman" w:cs="Times New Roman"/>
          <w:b/>
          <w:bCs/>
          <w:i/>
          <w:iCs/>
          <w:sz w:val="24"/>
          <w:szCs w:val="24"/>
          <w:lang w:eastAsia="es-CO"/>
        </w:rPr>
        <w:t>pérdida por deterioro</w:t>
      </w:r>
      <w:r w:rsidRPr="00401DFF">
        <w:rPr>
          <w:rFonts w:ascii="Times New Roman" w:eastAsia="Times New Roman" w:hAnsi="Times New Roman" w:cs="Times New Roman"/>
          <w:b/>
          <w:bCs/>
          <w:sz w:val="24"/>
          <w:szCs w:val="24"/>
          <w:lang w:eastAsia="es-CO"/>
        </w:rPr>
        <w:t xml:space="preserve"> es el exceso del importe en libros de un activo sobre su importe recuperable.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activo intangible </w:t>
      </w:r>
      <w:r w:rsidRPr="00401DFF">
        <w:rPr>
          <w:rFonts w:ascii="Times New Roman" w:eastAsia="Times New Roman" w:hAnsi="Times New Roman" w:cs="Times New Roman"/>
          <w:b/>
          <w:bCs/>
          <w:sz w:val="24"/>
          <w:szCs w:val="24"/>
          <w:lang w:eastAsia="es-CO"/>
        </w:rPr>
        <w:t>es un activo identificable, de carácter no monetario y sin apariencia física.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Son </w:t>
      </w:r>
      <w:r w:rsidRPr="00401DFF">
        <w:rPr>
          <w:rFonts w:ascii="Times New Roman" w:eastAsia="Times New Roman" w:hAnsi="Times New Roman" w:cs="Times New Roman"/>
          <w:b/>
          <w:bCs/>
          <w:i/>
          <w:iCs/>
          <w:sz w:val="24"/>
          <w:szCs w:val="24"/>
          <w:lang w:eastAsia="es-CO"/>
        </w:rPr>
        <w:t>activos monetarios</w:t>
      </w:r>
      <w:r w:rsidRPr="00401DFF">
        <w:rPr>
          <w:rFonts w:ascii="Times New Roman" w:eastAsia="Times New Roman" w:hAnsi="Times New Roman" w:cs="Times New Roman"/>
          <w:b/>
          <w:bCs/>
          <w:sz w:val="24"/>
          <w:szCs w:val="24"/>
          <w:lang w:eastAsia="es-CO"/>
        </w:rPr>
        <w:t xml:space="preserve"> tanto el dinero en efectivo como otros activos, por los que se van a recibir unas cantidades fijas o determinables de dinero.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Investigación</w:t>
      </w:r>
      <w:r w:rsidRPr="00401DFF">
        <w:rPr>
          <w:rFonts w:ascii="Times New Roman" w:eastAsia="Times New Roman" w:hAnsi="Times New Roman" w:cs="Times New Roman"/>
          <w:b/>
          <w:bCs/>
          <w:sz w:val="24"/>
          <w:szCs w:val="24"/>
          <w:lang w:eastAsia="es-CO"/>
        </w:rPr>
        <w:t xml:space="preserve"> es todo aquel estudio original y planificado, emprendido con la finalidad de obtener nuevos conocimientos científicos o tecnológicos.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Valor residual </w:t>
      </w:r>
      <w:r w:rsidRPr="00401DFF">
        <w:rPr>
          <w:rFonts w:ascii="Times New Roman" w:eastAsia="Times New Roman" w:hAnsi="Times New Roman" w:cs="Times New Roman"/>
          <w:b/>
          <w:bCs/>
          <w:sz w:val="24"/>
          <w:szCs w:val="24"/>
          <w:lang w:eastAsia="es-CO"/>
        </w:rPr>
        <w:t>de un activo intangible es el importe estimado que la entidad podría obtener de un activo por su disposición, después de haber deducido los costos estimados para su disposición, si el activo tuviera ya la edad y condición esperadas al término de su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Vida útil</w:t>
      </w:r>
      <w:r w:rsidRPr="00401DFF">
        <w:rPr>
          <w:rFonts w:ascii="Times New Roman" w:eastAsia="Times New Roman" w:hAnsi="Times New Roman" w:cs="Times New Roman"/>
          <w:b/>
          <w:bCs/>
          <w:sz w:val="24"/>
          <w:szCs w:val="24"/>
          <w:lang w:eastAsia="es-CO"/>
        </w:rPr>
        <w:t xml:space="preserve"> 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periodo durante el cual se espera utilizar el activo por parte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número de unidades de producción o similares que se espera obtener del mismo por parte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Con frecuencia, las entidades emplean recursos, o incurren en pasivos, para la adquisición, desarrollo, mantenimiento o mejora de recursos intangibles tales como el conocimiento científico o tecnológico, el diseño e implementación de nuevos procesos o nuevos sistemas, las licencias o concesiones, la propiedad intelectual, los conocimientos comerciales o marcas (incluyendo denominaciones comerciales y derechos editoriales). Otros ejemplos comunes de partidas que están comprendidas en esta amplia denominación son los programas informáticos, las patentes, los derechos de autor, las películas, las listas de clientes, los derechos por servicios hipotecarios, las licencias de pesca, las cuotas de importación, las franquicias, las relaciones comerciales con clientes o proveedores, la lealtad de los clientes, las cuotas de mercado y los derechos de comercialización.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10 No todos los activos descritos en el párrafo 9 cumplen la definición de activo intangible, esto es, identificabilidad, control sobre el recurso en cuestión y existencia de beneficios económicos futuros. Si un elemento incluido en el alcance de esta Norma no cumpliese la definición de activo intangible, el importe derivado de su adquisición o de su generación interna, por parte de la entidad, se reconocerá como un gasto del periodo en el que se haya incurrido. No obstante, si el elemento se hubiese adquirido dentro de una combinación de negocios, formará parte del plusvalía reconocida en la fecha de adquisición (véase el párrafo 68).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definición de un activo intangible requiere que éste sea identificable para poderlo distinguir de la plusvalía. La plusvalía reconocida en una combinación de negocios es un activo que representa los beneficios económicos futuros que surgen de otros activos adquiridos en una combinación de negocios que no están identificados individualmente y reconocidos de forma separada. Los beneficios económicos futuros pueden proceder de sinergias entre los activos identificables adquiridos o de activos que, individualmente, no cumplen las condiciones para su reconocimiento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Un activo es identificable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 separable, es decir, es susceptible de ser separado o escindido de la entidad y vendido, transferido, dado en explotación, arrendado o intercambiado, ya sea individualmente o junto con un contrato, activo identificable o pasivo con los que guarde relación, independientemente de que la entidad tenga la intención de llevar a cabo la separación;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surge de derechos contractuales o de otros derechos de tipo legal, con independencia de que esos derechos sean transferibles o separables de la entidad o de otros derechos y obligaciones.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entidad controlará un determinado activo siempre que tenga el poder de obtener los beneficios económicos futuros que procedan de los recursos que subyacen en el mismo, y además pueda restringir el acceso de terceras personas a tales beneficios. La capacidad que la entidad tiene para controlar los beneficios económicos futuros de un activo intangible tiene su justificación, normalmente, en derechos de tipo legal que son exigibles ante los tribunales. En ausencia de tales derechos de tipo legal, será más difícil demostrar que existe control. No obstante, la exigibilidad legal de un derecho sobre el elemento no es una condición necesaria para la existencia de control, puesto que la entidad puede ejercer el control sobre los citados beneficios económicos de alguna otra manera.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Los conocimientos técnicos y de mercado pueden dar lugar a beneficios económicos futuros. La entidad controlará esos beneficios si, por ejemplo, tiene protegidos tales conocimientos por derechos legales como la propiedad intelectual o el derecho de copia, la </w:t>
      </w:r>
      <w:r w:rsidRPr="00401DFF">
        <w:rPr>
          <w:rFonts w:ascii="Times New Roman" w:eastAsia="Times New Roman" w:hAnsi="Times New Roman" w:cs="Times New Roman"/>
          <w:sz w:val="24"/>
          <w:szCs w:val="24"/>
          <w:lang w:eastAsia="es-CO"/>
        </w:rPr>
        <w:lastRenderedPageBreak/>
        <w:t>restricción de los acuerdos comerciales (si estuvieran permitidos), o bien por una obligación legal de los empleados de mantener la confidencialidad.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Una entidad puede poseer un equipo de personas capacitadas, de manera que pueda identificar posibilidades de mejorar su nivel de competencia mediante la mejora de su formación especializada, lo que producirá beneficios económicos en el futuro. La entidad puede también esperar que su personal continúe prestando sus servicios dentro de la entidad. No obstante, y con carácter general, la entidad tendrá un control insuficiente sobre los beneficios futuros esperados que pueda producir un equipo de empleados con mayor especialización, como para poder considerar que los importes dedicados a la formación cumplen la definición de activo intangible. Por razones similares, es improbable que las habilidades técnicas o de gerencia, de carácter específico, cumplan con la definición de activo intangible, a menos que estén protegidas por derechos legales para ser utilizadas y alcanzar los beneficios económicos que se espera de ellas, y además cumplan el resto de condiciones de la definición de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 entidad puede tener una cartera de clientes o una determinada cuota de mercado, y esperar que debido a los esfuerzos empleados en desarrollar las relaciones con los clientes y su lealtad, éstos vayan a continuar demandando los bienes y servicios que se les vienen ofreciendo. Sin embargo, en ausencia de derechos legales u otras formas de control que protejan esta expectativa de relaciones o de lealtad continuada por parte de los clientes, la entidad tendrá, por lo general, un grado de control insuficiente sobre los beneficios económicos que se podrían derivar de las mismas, como para poder considerar que tales partidas (cartera de clientes, cuotas de mercado, relaciones con la clientela, lealtad de los clientes) cumplen la definición de activo intangible. Cuando no se tengan derechos legales para proteger las relaciones con los clientes, las transacciones de intercambio por las mismas o similares relaciones no contractuales con la clientela (distintas de las que sean parte de una combinación de negocios) demuestran que la entidad es, no obstante, capaz de controlar los futuros beneficios económicos esperados de la relación con los clientes. Como esas transacciones de intercambio también demuestran que las relaciones con el cliente son separables, dichas relaciones con la clientela se ajustan a la definición de un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económicos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Entre los beneficios económicos futuros procedentes de un activo intangible se incluyen los ingresos de actividades ordinarias procedentes de la venta de productos o servicios, los ahorros de costo y otros rendimientos diferentes que se deriven del uso del activo por parte de la entidad. Por ejemplo, el uso de la propiedad intelectual, dentro del proceso de producción puede reducir los costos de producción futuros, en lugar de aumentar los ingresos de actividades ordinarias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El reconocimiento de una partida como activo intangible exige, para la entidad, demostrar que el elemento en cuestión cumple: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definición de activo intangible (véanse los párrafos 8 a 17);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criterios para su reconocimiento (véanse los párrafos 21 a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Este requerimiento se aplicará a los costos soportados inicialmente, para adquirir o generar internamente un activo intangible, y para aquéllos en los que se haya incurrido posteriormente para añadir, sustituir partes del mismo o realizar su mantenimiento.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Los párrafos 25 a 32 abordan la aplicación de los criterios de reconocimiento a los activos intangibles adquiridos de forma separada, y los párrafos 33 a 43 tratan su aplicación a los activos intangibles adquiridos en una combinación de negocios. El párrafo 44 trata la medición inicial de activos intangibles adquiridos a través de una subvención del gobierno, los párrafos 45 a 47 abordan el intercambio de activos intangibles y los párrafos 48 a 50, el tratamiento de la plusvalía generada internamente. Los párrafos 51 a 67 tratan del reconocimiento inicial y la medición de los activos intangibles generados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La naturaleza de los activos intangibles es tal que, en muchos casos, no existe posibilidad de realizar adiciones al activo en cuestión o sustituciones de partes del mismo. Consiguientemente, la mayoría de los desembolsos posteriores se hacen, probablemente, para mantener los futuros beneficios económicos esperados incorporados a un activo intangible existente, pero no satisfacen la definición de activo intangible ni los criterios de reconocimiento contenidos en esta Norma. Además, a menudo es más difícil atribuir un desembolso posterior directamente a un activo intangible determinado que a la entidad como un todo. Por tanto, sólo en raras ocasiones, los desembolsos posteriores —desembolsos efectuados tras el reconocimiento inicial de un activo intangible adquirido o después de completar un activo intangible generado internamente— se reconocerán en el importe en libros del activo. De acuerdo con el párrafo 63, los desembolsos posteriores sobre marcas, cabeceras de periódicos o revistas, denominaciones editoriales, listas de clientes u otras partidas similares (hayan sido adquiridas externamente o generadas internamente) se reconocerán siempre en el resultado del periodo en el que se incurran. Esto es así porque tales desembolsos no pueden distinguirse de los desembolsos para desarrollar el negocio considerado en su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21 Un activo intangible se reconocerá si, y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 probable que los beneficios económicos futuros que se han atribuido al mismo fluyan a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costo del activo puede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La entidad evaluará la probabilidad de obtener beneficios económicos futuros utilizando hipótesis razonables y fundadas, que representen las mejores estimaciones de la gerencia respecto al conjunto de condiciones económicas que existirán durante la vida útil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23 Una entidad utilizará su juicio para evaluar el grado de certidumbre asociado al flujo de beneficios económicos futuros que sea atribuible a la utilización del activo, sobre la base de la evidencia disponible en el momento del reconocimiento inicial, otorgando un peso mayor a la evidencia procedente de fuentes externas.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Un activo intangible se medirá inicialmente por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Adquisición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Normalmente, el precio que una entidad paga para adquirir separadamente un activo intangible reflejará las expectativas acerca de la probabilidad de que los beneficios económicos futuros incorporados al activo fluyan a la entidad. En otras palabras, la entidad esperará que haya una entrada de beneficios económicos, incluso si existe incertidumbre sobre la fecha o el importe de éstos. Por tanto, el criterio de reconocimiento de la probabilidad que figura en el párrafo 21(a), se considerará siempre satisfecho en el caso de activos intangibles adquiridos de forma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Además, el costo de un activo intangible adquirido de forma independiente puede, habitualmente, ser medido con fiabilidad. Esto es particularmente válido cuando la contrapartida por la compra adopta la forma de efectivo o de otros activos monetarios.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El costo de un activo intangible adquirido de forma separada comprende: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precio de adquisición, incluidos los aranceles de importación y los impuestos no recuperables que recaigan sobre la adquisición, después de deducir los descuentos comerciales y las rebajas;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costo directamente atribuible a la preparación del activo para su uso previsto.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Son ejemplos de costos atribuibles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de las remuneraciones a los empleados (según se definen en la NIC 19), derivados directamente de poner el activo en sus condiciones de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honorarios profesionales surgidos directamente de poner el activo en sus condiciones de uso;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de comprobación de que el activo funciona adecuadamente.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Ejemplos de desembolsos que no forman parte del costo de un activo intangible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de introducción de un nuevo producto o servicio (incluyendo los costos de actividades publicitarias y promocionales);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apertura del negocio en una nueva localización o dirigirlo a un nuevo segmento de clientela (incluyendo los costos de formación del personal);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los costos de administración y otros costos indirectos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El reconocimiento de los costos en el importe en libros de un activo intangible finalizará cuando el activo se encuentre en el lugar y condiciones necesarias para operar de la forma prevista por la gerencia. Por ello, los costos soportados por la utilización o por la reprogramación del uso de un activo intangible no se incluirán en el importe en libros del activo. Por ejemplo, los siguientes costos no se incluirán en el importe en libros del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costos soportados cuando el activo, capaz de operar de la forma prevista por la gerencia, no ha comenzado a utilizarse;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pérdidas operativas iniciales, como las generadas mientras se desarrolla la demanda de los productos que se elaboran con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Algunas operaciones, si bien relacionadas con el desarrollo de un activo intangible, no son necesarias para ubicar al activo en las condiciones necesarias para que pueda operar de la forma prevista por la gerencia. Estas operaciones accesorias pueden tener lugar antes o durante las actividades de desarrollo. Puesto que estas operaciones accesorias no son imprescindibles para que el activo pueda operar de la forma prevista por la gerencia, los ingresos y gastos asociados a las mismas se reconocerán en el resultado del periodo, mediante su inclusión dentro de la clase apropiada de ingresos y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Cuando el pago de un activo intangible se aplace más allá de los términos normales de crédito, su costo será el equivalente al precio de contado. La diferencia entre este importe y el total de pagos a efectuar se reconocerá como un gasto por intereses, a lo largo del periodo del crédito, a menos que se lo capitalice de acuerdo con la NIC 23 </w:t>
      </w:r>
      <w:r w:rsidRPr="00401DFF">
        <w:rPr>
          <w:rFonts w:ascii="Times New Roman" w:eastAsia="Times New Roman" w:hAnsi="Times New Roman" w:cs="Times New Roman"/>
          <w:i/>
          <w:iCs/>
          <w:sz w:val="24"/>
          <w:szCs w:val="24"/>
          <w:lang w:eastAsia="es-CO"/>
        </w:rPr>
        <w:t>Costos por Préstamos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Adquisición como parte de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De acuerdo con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cuando se adquiera un activo intangible en una combinación de negocios, su costo será su valor razonable en la fecha de adquisición. El valor razonable de un activo intangible reflejará las expectativas de los participantes del mercado en la fecha de la adquisición acerca de la probabilidad de que los beneficios económicos futuros incorporados al activo fluyan a la entidad. En otras palabras, la entidad esperará que haya una entrada de beneficios económicos, incluso si existe incertidumbre sobre la fecha o el importe de éstos. Por tanto, el criterio de reconocimiento de la probabilidad que figura en el párrafo 21(a), se considerará siempre satisfecho en el caso de activos intangibles adquiridos en una combinación de negocios. Cuando un activo adquirido en una combinación de negocios sea separable o surja de derechos contractuales o de otro tipo legal, existirá información suficiente para medir con fiabilidad su valor razonable. Por tanto, el criterio de valoración de la fiabilidad incluido en el párrafo 21(b), se considerará siempre satisfecho en el caso de activos intangibles adquiridos en las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34 De acuerdo con esta Norma y la NIIF 3 (revisada en 2008), una adquirente reconocerá un activo intangible de la adquirida, en la fecha de la adquisición, de forma separada de la plusvalía, con independencia de que el activo haya sido reconocido por la adquirida antes de la combinación de negocios. Esto significa que la adquirente reconocerá como un activo, de forma separada de la plusvalía, un proyecto de investigación y desarrollo en curso de la adquirida si el proyecto satisface la definición de activo intangible. Un proyecto de investigación y desarrollo en proceso de la entidad adquirida cumplirá la definición de activo intangible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cumpla la definición de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sea identificable, es decir, sea separable o surja de derechos contractuales o de otro tipo legal.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 adquiridos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Cuando un activo intangible adquirido en una combinación de negocios sea separable o surja de derechos contractuales o de otro tipo, existirá información suficiente para medir con fiabilidad su valor razonable. Cuando exista un rango de posibles resultados con diferentes probabilidades para las estimaciones empleadas para medir el valor razonable de un activo intangible, esa incertidumbre se tendrá en cuenta en la medición del valor razonable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Un activo intangible adquirido en una combinación de negocios podría ser separable, pero solo junto con un contrato relacionado, activo o pasivo identificable. En tales casos, el adquirente reconocerá el activo intangible independientemente de la plusvalía, pero junto con la partida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entidad adquirente podrá reconocer un grupo de activos intangibles complementarios como un solo activo siempre que los activos individuales tengan vidas útiles similares. Por ejemplo, los términos “marca” y “denominación comercial” se emplean a menudo como sinónimos de marca registrada y otro tipo de marcas. Sin embargo, los primeros son términos comerciales generales, normalmente usados para hacer referencia a un grupo de activos complementarios como una marca registrada (o marca de servicios) junto a un nombre comercial, fórmulas, componentes y experiencia tecnológica asociados a dicha marca.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38-41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Desembolsos posteriores en un proyecto adquirido de investigación y desarrollo en proceso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Los desembolsos por investigación o desarrollo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estén asociados con un proyecto de investigación y desarrollo en proceso, adquirido de forma independiente o en una combinación de negocios y reconocido como un activo intangible;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hayan generado después de la adquisición del citado proyecto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 contabilizarán de acuerdo con lo establecido en los párrafos 54 a 62.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La aplicación de lo exigido en los párrafos 54 a 62 implica que los desembolsos posteriores, asociados a un proyecto de investigación y desarrollo en curso adquirido de forma independiente o en una combinación de negocios y reconocidos como un activo intangible, serán: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reconocidos como un gasto cuando se incurre en ellos, si se trata de desembolsos de investigación;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reconocidos como un gasto cuando se incurra en ellos, si se trata de desembolsos por desarrollo que no cumplan los criterios, que figuran en el párrafo 57 para su reconocimiento como activo intangible;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añadidos al importe en libros del proyecto de investigación y desarrollo en proceso adquirido, si los desembolsos por desarrollo cumplen los criterios de reconocimiento establecidos en el párrafo 57.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Adquisición mediante una subvención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 En algunos casos, un activo intangible puede ser adquirido sin cargo alguno, o por una contraprestación simbólica, mediante una subvención del gobierno. Esto puede suceder cuando un gobierno transfiere o asigna a una entidad activos intangibles, tales como derechos de aterrizaje, licencias para explotar emisoras de radio o televisión, licencias de importación o bien cuotas o derechos de acceso a otros recursos de carácter restringido. De acuerdo con la NIC 20 </w:t>
      </w:r>
      <w:r w:rsidRPr="00401DFF">
        <w:rPr>
          <w:rFonts w:ascii="Times New Roman" w:eastAsia="Times New Roman" w:hAnsi="Times New Roman" w:cs="Times New Roman"/>
          <w:i/>
          <w:iCs/>
          <w:sz w:val="24"/>
          <w:szCs w:val="24"/>
          <w:lang w:eastAsia="es-CO"/>
        </w:rPr>
        <w:t>Contabilización de las Subvenciones del Gobierno e Información a Revelar sobre Ayudas Gubernamentales,</w:t>
      </w:r>
      <w:r w:rsidRPr="00401DFF">
        <w:rPr>
          <w:rFonts w:ascii="Times New Roman" w:eastAsia="Times New Roman" w:hAnsi="Times New Roman" w:cs="Times New Roman"/>
          <w:sz w:val="24"/>
          <w:szCs w:val="24"/>
          <w:lang w:eastAsia="es-CO"/>
        </w:rPr>
        <w:t xml:space="preserve"> una entidad puede optar por reconocer, en el momento inicial, tanto el activo intangible como la subvención, por sus valores razonables. Si la entidad decidiese no reconocer inicialmente el activo por su valor razonable, reconocerá el activo, inicialmente, por un importe nominal, (el otro tratamiento permitido en la NIC 20), más cualquier desembolso que sea directamente atribuible a la preparación del activo para el uso que se pretende darle.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Permutas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Algunos activos intangibles pueden haber sido adquiridos a cambio de uno o varios activos no monetarios, o de una combinación de activos monetarios y no monetarios. La siguiente discusión se refiere solamente a la permuta de un activo no monetario por otro, pero también es aplicable a todas las permutas descritas en el primer inciso de este párrafo. El costo de dicho activo intangible se medirá por su valor razonable, a menos que (a) la </w:t>
      </w:r>
      <w:r w:rsidRPr="00401DFF">
        <w:rPr>
          <w:rFonts w:ascii="Times New Roman" w:eastAsia="Times New Roman" w:hAnsi="Times New Roman" w:cs="Times New Roman"/>
          <w:sz w:val="24"/>
          <w:szCs w:val="24"/>
          <w:lang w:eastAsia="es-CO"/>
        </w:rPr>
        <w:lastRenderedPageBreak/>
        <w:t>transacción de intercambio no tenga carácter comercial, o (b) no pueda medirse con fiabilidad el valor razonable del activo recibido ni el del activo entregado. El activo adquirido se medirá de esta forma incluso cuando la entidad no pueda dar de baja inmediatamente el activo entregado. Si el activo adquirido no se mide por su valor razonable, su costo se medirá por el importe en libros del activo entregado.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Una entidad determinará si una transacción de intercambio tiene carácter comercial mediante la consideración de la medida en que se espera que cambien sus flujos de efectivo futuros como resultado de la transacción. Una transacción de intercambio tiene naturaleza comercial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configuración (riesgo, calendario e importe) de los flujos de efectivo del activo recibido difiere de la configuración de los flujos de efectivo del activo transferido;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específico para la entidad, de la parte de sus actividades afectadas por la permuta, se ve modificado como consecuencia del intercambio;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diferencia identificada en (a) o en (b) es significativa al compararla con el valor razonable de los activos intercambiados.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Al determinar si una permuta tiene carácter comercial, el valor específico para la entidad de la parte de sus actividades afectadas por la transacción deberá tener en cuenta los flujos de efectivo después de impuestos. El resultado de estos análisis puede ser claro sin que una entidad tenga que realizar cálculos detallados.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En el apartado (b) del párrafo 21 se especifica que una condición para el reconocimiento de un activo intangible es que el costo de dicho activo pueda ser medido con fiabilidad. El valor razonable de un activo intangible, puede medirse con fiabilidad si (a) la variabilidad en el rango de las mediciones del valor razonable del activo no es significativa, o (b) las probabilidades de las diferentes estimaciones, dentro de ese rango, pueden ser evaluadas razonablemente y utilizadas en la medición del valor razonable. Si la entidad es capaz de medir de forma fiable los valores razonables del activo recibido o del activo entregado, se utilizará el valor razonable del activo entregado para medir el costo del activo recibido, a menos que se tenga una evidencia más clara del valor razonable del activo recibido.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Plusvalía generada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48 La plusvalía generada internamente no se reconocerá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En algunos casos, se incurre en desembolsos para generar beneficios económicos futuros, sin que por ello se genere un activo intangible que cumpla con los criterios de reconocimiento establecidos en esta Norma. A menudo, se dice que estos desembolsos contribuyen a formar una plusvalía generada internamente. Este plusvalía generada por la propia entidad no se reconocerá como un activo porque no constituye un recurso identificable (es decir, no es separable ni surge de derechos contractuales o derechos legales de otro tipo), controlado por la entidad, que pueda ser medido de forma fiable por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50 Las diferencias existentes, en un momento determinado, entre el valor razonable de la entidad y el importe en libros de sus activos netos identificables, pueden captar una amplia variedad de factores que afectan al valor razonable de la entidad en su conjunto. Sin embargo, no se puede considerar que estas diferencias representen el costo de activos intangibles controlados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activos intangibles generados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En ocasiones, es difícil evaluar si un activo intangible generado internamente cumple los criterios para su reconocimiento como activo, a consecuencia de los problemas para: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Determinar si, y en qué momento, surge un activo identificable del que se vaya a derivar, de forma probable, la generación de beneficios económicos en el futuro,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Establecer el costo del activo de forma fiable. En ciertos casos, el costo de generar un activo intangible internamente no puede distinguirse del costo de mantener o mejorar la plusvalía generada internamente, ni tampoco del costo que supone llevar a cabo día a día las actividades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 tanto, además de cumplir con los requisitos para el reconocimiento y medición inicial de un activo intangible, la entidad aplicará las condiciones y guías establecidas en los párrafos 52 a 67, para todos los activos generados de forma interna.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Para evaluar si un activo intangible generado internamente cumple los criterios para su reconocimiento, la entidad clasificará la generación del activo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fase de investigación;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fase de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pesar de que los términos “investigación” y “desarrollo” han sido definidos en esta Norma, los de “fase de investigación” y “fase de desarrollo” tienen, a efectos de la misma, un significado más amplio.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Si la entidad no fuera capaz de distinguir la fase de investigación de la fase de desarrollo en un proyecto interno para crear un activo intangible, tratará los desembolsos que ocasione ese proyecto como si hubiesen sido soportados sólo en la fase de investigación.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Fase de investigación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No se reconocerán activos intangibles surgidos de la investigación (o de la fase de investigación en proyectos internos). Los desembolsos por investigación (o en la fase de investigación, en el caso de proyectos internos), se reconocerán como gastos del periodo en el que se incurran.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55 En la fase de investigación de un proyecto interno, la entidad no puede demostrar que exista un activo intangible que pueda generar probables beneficios económicos en el futuro. Por lo tanto, los desembolsos correspondientes se reconocerán como gastos en el momento en que se produzcan.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Son ejemplos de actividades de investigación: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actividades dirigidas a obtener nuevos conocimientos;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búsqueda, evaluación y selección final de aplicaciones de resultados de la investigación u otro tipo de conocimientos;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búsqueda de alternativas para materiales, aparatos, productos, procesos, sistemas o servicios;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formulación, diseño, evaluación y selección final, de posibles alternativas para materiales, dispositivos, productos, procesos, sistemas o servicios que sean nuevos o se hayan mejorado.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Fase de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 Un activo intangible surgido del desarrollo (o de la fase de desarrollo en un proyecto interno), se reconocerá como tal si, y sólo si, la entidad puede demostrar todos los extremos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Técnicamente, es posible completar la producción del activo intangible de forma que pueda estar disponible para su utilización o su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 intención de completar el activo intangible en cuestión, para usarlo o venderlo.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Su capacidad para utilizar o vender el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forma en que el activo intangible vaya a generar probables beneficios económicos en el futuro. Entre otras cosas, la entidad debe demostrar la existencia de un mercado para la producción que genere el activo intangible o para el activo en sí, o bien, en el caso de que vaya a ser utilizado internamente, la utilidad del mismo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 disponibilidad de los adecuados recursos técnicos, financieros o de otro tipo, para completar el desarrollo y para utilizar o vender el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Su capacidad para medir, de forma fiable, el desembolso atribuible al activo intangible durante su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58 En la fase de desarrollo de un proyecto interno, la entidad puede, en algunos casos, identificar un activo intangible y demostrar que el mismo puede generar probables </w:t>
      </w:r>
      <w:r w:rsidRPr="00401DFF">
        <w:rPr>
          <w:rFonts w:ascii="Times New Roman" w:eastAsia="Times New Roman" w:hAnsi="Times New Roman" w:cs="Times New Roman"/>
          <w:sz w:val="24"/>
          <w:szCs w:val="24"/>
          <w:lang w:eastAsia="es-CO"/>
        </w:rPr>
        <w:lastRenderedPageBreak/>
        <w:t>beneficios económicos en el futuro. Esto se debe a que la fase de desarrollo en un proyecto cubre etapas más avanzadas que la fase de investigación.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Son ejemplos de actividades de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diseño, construcción y prueba, anterior a la producción o utilización, de modelos y prototipos;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diseño de herramientas, troqueles, moldes y plantillas que impliquen tecnología nueva;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diseño, construcción y operación de una planta piloto que no tenga una escala económicamente rentable para la producción comercial;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diseño, construcción y prueba de una alternativa elegida para materiales, dispositivos, productos, procesos, sistemas o servicios que sean nuevos o se hayan mejorado.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 Para demostrar si un activo intangible puede generar probables beneficios económicos futuros, la entidad evaluará los rendimientos económicos que se recibirán del mismo, utilizando los principios establecidos en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Si el activo sólo generase rendimientos cuando actúe en combinación con otros activos, la entidad aplicará el concepto de unidad generadora de efectivo, establecido en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La disponibilidad de recursos para completar, utilizar y obtener beneficios procedentes de un activo intangible puede ser demostrada, por ejemplo, mediante la existencia de un plan de negocio que ponga de manifiesto los recursos técnicos, financieros o de otro tipo, necesarios, así como la capacidad de la entidad para proveerse de tales recursos. En ciertos casos, la entidad demostrará la disponibilidad de la financiación externa, a través de la obtención de una indicación del prestamista sobre su voluntad para financiar el plan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Con frecuencia, el sistema de costos de la entidad puede medir de forma fiable los costos que conlleva la generación interna de un activo intangible, tales como los sueldos y otros desembolsos en los que se incurre para asegurar los derechos de la propiedad intelectual o las licencias, o bien para desarrollar programas informáticos.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No se reconocerán como activos intangibles las marcas, las cabeceras de periódicos o revistas, los sellos o denominaciones editoriales, las listas de clientes u otras partidas similares que se hayan generado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Los desembolsos incurridos para la generación interna de marcas, cabeceras de periódicos, sellos o denominaciones editoriales, listas de clientes u otras partidas similares, no pueden distinguirse del costo de desarrollar la actividad empresarial en su conjunto. Por lo tanto, estas partidas no se reconocerán como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de un activo intangible generado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65 El costo de un activo intangible generado internamente, a efectos del párrafo 24, será la suma de los desembolsos incurridos desde el momento en que el elemento cumple las condiciones para su reconocimiento, establecidas en los párrafos 21, 22 y 57. El párrafo 71 prohíbe la reintegración, en forma de elementos del activo, de los desembolsos reconocidos previamente como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 El costo de un activo intangible generado internamente comprenderá todos los costos directamente atribuibles necesarios para crear, producir y preparar el activo para que pueda operar de la forma prevista por la gerencia. Son ejemplos de costos atribuibles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de materiales y servicios utilizados o consumidos en la generación del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costos de las remuneraciones a los empleados (según se definen en la NIC 19) derivadas de la generación del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honorarios para registrar los derechos legales;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amortización de patentes y licencias que se utilizan para generar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la NIC 23, se establecen los criterios para el reconocimiento de los costos por intereses como componentes del costo de los activos intangibles generados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Los siguientes conceptos no son componentes del costo de los activos intangibles generados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gastos administrativos, de venta u otros gastos indirectos de carácter general, salvo que su desembolso pueda ser directamente atribuido a la preparación del activo para su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ineficiencias identificadas y las pérdidas operativas iniciales en las que se haya incurrido antes de que el activo alcance el rendimiento normal planificado;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desembolsos de formación del personal que ha de trabajar con el activo.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00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ilustrativo del párrafo 65</w:t>
            </w:r>
          </w:p>
        </w:tc>
      </w:tr>
      <w:tr w:rsidR="00401DFF" w:rsidRPr="00401DFF" w:rsidTr="00401DFF">
        <w:trPr>
          <w:tblCellSpacing w:w="15" w:type="dxa"/>
          <w:jc w:val="center"/>
        </w:trPr>
        <w:tc>
          <w:tcPr>
            <w:tcW w:w="900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está desarrollando un nuevo proceso productivo. A lo largo del año 20X5, los desembolsos realizados fueron de 1.000 u.m.</w:t>
            </w:r>
            <w:hyperlink r:id="rId48" w:anchor="bf1f529035bdb324d1a8f61411fefc88475nf9" w:tgtFrame="_self" w:history="1">
              <w:r w:rsidRPr="00401DFF">
                <w:rPr>
                  <w:rFonts w:ascii="Times New Roman" w:eastAsia="Times New Roman" w:hAnsi="Times New Roman" w:cs="Times New Roman"/>
                  <w:color w:val="0000FF"/>
                  <w:sz w:val="20"/>
                  <w:szCs w:val="20"/>
                  <w:u w:val="single"/>
                  <w:vertAlign w:val="superscript"/>
                  <w:lang w:eastAsia="es-CO"/>
                </w:rPr>
                <w:t>(44)</w:t>
              </w:r>
            </w:hyperlink>
            <w:r w:rsidRPr="00401DFF">
              <w:rPr>
                <w:rFonts w:ascii="Times New Roman" w:eastAsia="Times New Roman" w:hAnsi="Times New Roman" w:cs="Times New Roman"/>
                <w:sz w:val="24"/>
                <w:szCs w:val="24"/>
                <w:lang w:eastAsia="es-CO"/>
              </w:rPr>
              <w:t>, de las cuales 900 u.m. fueron soportadas antes del 1 de diciembre del 20X5, mientras que las 100 u.m. restantes lo fueron entre esa fecha y el 31 de diciembre de 20X5. La entidad es capaz de demostrar que, a 1 de diciembre de 20X5, el proceso productivo cumplía los criterios para su reconocimiento como activo intangible. Se estima que el importe recuperable del conjunto de conocimientos incorporados en el proceso, hasta el momento, es de 500 u.m. (considerando, en el cálculo del mismo, los desembolsos futuros de efectivo para completar el desarrollo del proceso productivo antes de poder ser utilizado).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Al final de 20X5, se reconocerá el proceso productivo como un activo intangible, con un </w:t>
            </w:r>
            <w:r w:rsidRPr="00401DFF">
              <w:rPr>
                <w:rFonts w:ascii="Times New Roman" w:eastAsia="Times New Roman" w:hAnsi="Times New Roman" w:cs="Times New Roman"/>
                <w:i/>
                <w:iCs/>
                <w:sz w:val="24"/>
                <w:szCs w:val="24"/>
                <w:lang w:eastAsia="es-CO"/>
              </w:rPr>
              <w:lastRenderedPageBreak/>
              <w:t>costo de 100 u.m. (igual a los desembolsos realizados desde el momento en que se cumplieron los criterios para el reconocimiento, esto es, desde el 1 de diciembre). Los desembolsos, por importe de 900 u.m., en los que se incurrió antes del 1 de diciembre de 20X5, se reconocerán como gastos del periodo, puesto que los criterios de reconocimiento no se cumplieron hasta esa fecha. Estos importes no formarán parte del costo del proceso productivo, una vez reconocido en el estado de situación financiera.</w:t>
            </w:r>
            <w:r w:rsidRPr="00401DFF">
              <w:rPr>
                <w:rFonts w:ascii="Times New Roman" w:eastAsia="Times New Roman" w:hAnsi="Times New Roman" w:cs="Times New Roman"/>
                <w:sz w:val="24"/>
                <w:szCs w:val="24"/>
                <w:lang w:eastAsia="es-CO"/>
              </w:rPr>
              <w:br/>
              <w:t>A lo largo del año 20X6, los desembolsos realizados han sido por importe de 2.000 u.m. Al final del año 20X6 se estima que el importe recuperable del conjunto de conocimientos incorporados en el proceso, hasta el momento, asciende a 1.900 u.m. (considerando, en el cálculo del mismo, los desembolsos futuros de efectivo para completar el desarrollo del proceso productivo antes de poder ser utilizado).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i/>
                <w:iCs/>
                <w:sz w:val="24"/>
                <w:szCs w:val="24"/>
                <w:lang w:eastAsia="es-CO"/>
              </w:rPr>
              <w:t xml:space="preserve">Al final de 20X6, el costo del proceso productivo será de 2.100 u.m. (100 por desembolsos reconocidos al final de 20X5, más las 2.000 u.m. generadas en 20X6). La entidad reconocerá una pérdida por deterioro del valor, por importe de 200 u.m., con el fin de ajustar el importe en libros antes del deterioro de su valor (que eran 2.100 u.m.), hasta alcanzar su importe recuperable (que es de 1.900 u.m.). Esta pérdida por deterioro del valor podrá revertir, en un periodo posterior, siempre que se cumplan los requisitos para su reversión, según se establecen en la NIC 36.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Reconocimiento como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68 Los desembolsos sobre una partida intangible deberán reconocerse como un gasto cuando se incurra en ellos,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formen parte del costo de un activo intangible que cumpla con los criterios de reconocimiento (véanse los párrafos 18 a 67);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partida sea adquirida en una combinación de negocios, y no pueda ser reconocida como un activo intangible. Cuando éste sea el caso, formará parte del importe reconocido como plusvalía en la fecha de la adquisición (véase la NIIF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69 En algunos casos, se incurre en desembolsos para suministrar beneficios económicos futuros a una entidad, pero no se adquiere, ni se crea ningún activo, ni intangible ni de otro tipo que pueda ser reconocido como tal. En el caso del suministro de bienes, la entidad reconocerá estos desembolsos como un gasto siempre que tenga un derecho a acceder a esos bienes. En el caso de suministro de servicios, la entidad reconocerá el desembolso como un gasto siempre que reciba los servicios. Por ejemplo, los desembolsos para investigación se reconocerán como un gasto en el momento en que se incurra en ellos (véase el párrafo 54), excepto en el caso de que se adquieran como parte de una combinación de negocios. Otros ejemplos de desembolsos que se reconocen como un gasto en el momento en que se incurre en ellos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Gastos de establecimiento (esto es, costos de puesta en marcha de operaciones), salvo que las partidas correspondientes formen parte del costo de un elemento del propiedades, planta y equipo, siguiendo lo establecido en la NIC 16. Los gastos de establecimiento pueden consistir en costos de inicio de actividades, tales como costos legales y </w:t>
      </w:r>
      <w:r w:rsidRPr="00401DFF">
        <w:rPr>
          <w:rFonts w:ascii="Times New Roman" w:eastAsia="Times New Roman" w:hAnsi="Times New Roman" w:cs="Times New Roman"/>
          <w:sz w:val="24"/>
          <w:szCs w:val="24"/>
          <w:lang w:eastAsia="es-CO"/>
        </w:rPr>
        <w:lastRenderedPageBreak/>
        <w:t>administrativos soportados en la creación de una entidad con personalidad jurídica, desembolsos necesarios para abrir una nueva instalación, una actividad o para comenzar una operación (costos de preapertura), o bien costos de lanzamiento de nuevos productos o procesos (costos previos a la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Desembolsos por actividades formativas.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Desembolsos por publicidad y actividades de promoción (incluyendo los catálogos para pedidos por correo).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Desembolsos por reubicación o reorganización de una parte o la totalidad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69A Una entidad tiene el derecho de acceso a los bienes cuando los posea. De forma similar, tendrá derecho de acceso a esos bienes si éstos han sido construidos por un proveedor de acuerdo con los términos de un contrato de suministro y la entidad puede exigir la entrega de los mismos a cambio de su pago. Los servicios se reciben cuando han sido prestados por el proveedor de acuerdo con un contrato de entrega a la entidad y no cuando la entidad los utiliza para prestar otro servicio, por ejemplo, para realizar un anuncio comercial para sus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70 El párrafo 68 no impide que la entidad reconozca un pago anticipado como activo, cuando el pago por los bienes se haya realizado antes de que la entidad obtenga el derecho de acceso a esos bienes. De forma similar, el párrafo 68 no impide que ésta reconozca el pago anticipado como un activo, cuando dicho pago por servicios se haya realizado antes de que la entidad reciba esos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gastos de periodos anteriores no deben reconocerse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71 Los desembolsos sobre un activo intangible reconocidos inicialmente como gastos del periodo no se reconocerán posteriormente como parte del costo de un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al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72 La entidad elegirá como política contable entre el modelo del costo del párrafo 74 o el modelo de revaluación del párrafo 75. Si un activo intangible se contabiliza según el modelo de revaluación, todos los demás activos pertenecientes a la misma clase también se contabilizarán utilizando el mismo modelo, a menos que no exista un mercado activo para esa clase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Una clase de activos intangibles es un conjunto de activos de similar naturaleza y uso en las actividades de la entidad. Las partidas pertenecientes a la misma clase de activos intangibles se revaluarán simultáneamente, para evitar revaluaciones selectivas de activos y también que los importes de los activos intangibles en los estados financieros representen una mezcla de costos y valores referidos a fechas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74 Con posterioridad a su reconocimiento inicial, un activo intangible se contabilizará por su costo menos la amortización acumulada y el importe acumulado de las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75 Con posterioridad al reconocimiento inicial, un activo intangible se contabilizará por su valor revaluado, que es su valor razonable, en el momento de la revaluación, menos la amortización acumulada, y el importe acumulado de las pérdidas por deterioro del valor que haya sufrido. Para fijar el importe de las revaluaciones según esta Norma, el valor razonable se medirá por referencia a un mercado activo. Las revaluaciones se harán con suficiente regularidad, para asegurar que el importe en libros del activo, al final del periodo sobre el que se informa, no difiera significativamente del que podría determinarse utilizando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El modelo de revaluación no contempla: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revaluación de los activos intangibles que no hayan sido reconocidos previamente como activos;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reconocimiento inicial de activos intangibles por valores diferentes de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77 El modelo de revaluación se aplicará después de que el activo haya sido reconocido inicialmente por su costo. No obstante, si sólo se llega a reconocer, como activo, una parte del costo total del elemento, por no cumplir éste los criterios de reconocimiento hasta alcanzar una etapa intermedia del proceso de su producción (véase el párrafo 65), el modelo de revaluación se podrá aplicar a la totalidad del activo. Por otra parte, el modelo de revaluación puede ser aplicado también a un activo intangible que haya sido recibido mediante una subvención del gobierno y se haya reconocido por un valor simbólico (véase el párrafo 44).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Es poco común la existencia de un mercado activo para los activos intangibles, si bien cabe la posibilidad de que exista. Por ejemplo, en ciertos países pueden existir mercados activos para las licencias de taxi libremente transferibles, así como para las licencias o cuotas de pesca y producción. Sin embargo, no existen mercados activos para las marcas, cabeceras de periódicos o revistas, derechos sobre películas o partituras musicales, patentes o las marcas registradas, porque cada uno de estos activos tiene peculiaridades que los hacen únicos. Por otra parte, aunque los activos intangibles sean objeto de compraventa, los contratos se negocian entre compradores y vendedores que actúan aisladamente, y por ello las transacciones son relativamente infrecuentes. Por estas razones, el precio que se paga por un activo puede no suministrar la suficiente evidencia del valor razonable de otro distinto. Además, con mucha frecuencia, los precios no están disponibles para el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79 La frecuencia de las revaluaciones depende de la volatilidad de los valores razonables de los activos intangibles que sean objeto de revaluación. Si el valor razonable de un activo revaluado difiere, sustancialmente, de su importe en libros, será necesaria una nueva revaluación. Algunos activos intangibles pueden experimentar movimientos significativos y de carácter volátil en su valor razonable, de forma que sea preciso practicar revaluaciones anuales. Estas revaluaciones frecuentes serán innecesarias para activos intangibles con movimientos insignificantes en sus valores razonables.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80 Cuando se revalúa un activo intangible, la amortización acumulada hasta la fecha de la revaluación puede ser tratada de dos maneras: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reexpresada proporcionalmente al cambio en el importe en libros bruto del activo, de manera que el importe en libros del mismo después de la revaluación sea igual a su importe revaluado;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eliminada contra el importe en libros bruto del activo, de manera que lo que se reexpresa es el importe neto resultante, hasta alcanzar el importe revaluado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81 Si un activo intangible, dentro de una clase de activos intangibles revaluados, no pudiera ser objeto de revaluación porque no existe un mercado activo para el mismo, el elemento en cuestión se contabilizará según su costo, menos la amortización acumulada y las pérdidas por deterioro del valor acumuladas que le hayan podido afectar.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82 Si no pudiera seguir midiéndose el valor razonable de un activo intangible, por faltar el mercado activo que sirve de referencia, el importe en libros del elemento será el importe revaluado, en la fecha de la última revaluación por referencia al mercado activo, menos la amortización acumulada y las pérdidas por deterioro del valor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El hecho de que no siga existiendo un mercado activo para proceder a revaluar un elemento del activo intangible, puede indicar que el valor de dicho activo se ha deteriorado, y por tanto que es preciso aplicar el contenido de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Si, en alguna fecha posterior, el valor razonable del activo intangible pudiera medirse de nuevo por referencia a un mercado activo, se aplicará el modelo de revaluación desde esa misma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85 Si se incrementa el importe en libros de un activo intangible como consecuencia de una revaluación, dicho aumento se reconocerá en otro resultado global y acumulado en el patrimonio en una cuenta de superávit de revaluación. Sin embargo, el incremento se reconocerá en el resultado del periodo en la medida en que sea una reversión de un decremento por una revaluación del mismo activo reconocido anteriormente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86 Cuando se reduzca el importe en libros de un activo intangible como consecuencia de una revaluación, dicha disminución se reconocerá en el resultado del periodo. Sin embargo, la disminución se reconocerá en otro resultado global en la medida en que existiera saldo acreedor en el superávit de revaluación en relación con ese activo. La disminución reconocida en otro resultado integral reduce el importe acumulado en el patrimonio contra la cuenta de superávit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Cuando se consideren realizados, los superávit de revaluación acumulados que formen parte del patrimonio pueden ser transferidos directamente a ganancias acumuladas. El importe total de los superávit de revaluación puede realizarse cuando se produzca la disposición del activo. No obstante, también puede considerarse realizada una parte del importe del superávit por revaluación, a medida que éste sea utilizado por la entidad; en cuyo caso el importe que se entenderá como realizado será la diferencia entre la amortización correspondiente al periodo corriente, calculada a partir del importe en libros revaluado, y la que hubiera sido calculada utilizando el costo histórico del activo. Esta transferencia del superávit de revaluación a las ganancias acumuladas no se hará a través de los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88 Una entidad evaluará si la vida útil de un activo intangible es finita o indefinida y, si es finita, evaluará la duración o el número de unidades productivas u otras similares que constituyan su vida útil. La entidad considerará que un activo intangible tiene una vida útil indefinida cuando, sobre la base de un análisis de todos los factores relevantes, no exista un límite previsible al periodo a lo largo del cual se espera que el activo genere entradas de flujos netos de efectivo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89 La contabilización de un activo intangible se basa en su vida útil. Un activo intangible con una vida útil finita se amortiza (véase los párrafos 97 a 106), mientras que un activo intangible con una vida útil indefinida no se amortiza (véanse los párrafos 107 a 110). Los ejemplos ilustrativos que acompañan a esta Norma ilustran la determinación de la vida útil para diferentes activos intangibles, y la posterior contabilización de dichos activos sobre la base de las determinaciones de la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 Para determinar la vida útil de un activo intangible, es preciso considerar muchos factores, entre los que figuran: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utilización esperada del activo por parte de la entidad, así como si el elemento podría ser gestionado de forma eficiente por otro equipo directivo distinto;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ciclos típicos de vida del producto, así como la información pública disponible sobre estimaciones de la vida útil, para tipos similares de activos que tengan una utilización parecida;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incidencia de la obsolescencia técnica, tecnológica, comercial o de otro tipo;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la estabilidad de la industria en la que opere el activo, así como los cambios en la demanda de mercado para los productos o servicios fabricados con el activo en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actuaciones esperadas de los competidores, ya sean actuales o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el nivel de los desembolsos por mantenimiento necesarios para conseguir los beneficios económicos esperados del activo, así como la capacidad y voluntad de la entidad para alcanzar ese nivel;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el periodo en que se controle el activo, si estuviera limitado, así como los límites, ya sean legales o de otro tipo, sobre el uso del elemento, tales como las fechas de caducidad de los arrendamientos relacionados con él;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si la vida útil del activo depende de las vidas útiles de otros activos poseídos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 El término “indefinido” no significa “infinito”. La vida útil de un activo intangible refleja sólo el nivel de los desembolsos para mantenimiento futuros necesarios para preservar el activo en su nivel normal de rendimiento, evaluado en la fecha en la que se estima la vida útil del activo, así como la capacidad de la entidad y su intención de alcanzar dicho nivel. La conclusión de que la vida útil de un activo intangible es indefinida, no debe depender del exceso de los desembolsos futuros planeados sobre los inicialmente requeridos para mantener el activo a ese nivel de desempeño.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92 Dada la experiencia actual de cambios rápidos en la tecnología, los programas informáticos así como otros activos intangibles estarán sometidos a una rápida obsolescencia tecnológica. Por tanto, es probable que su vida útil sea corta.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93 La vida útil de un activo intangible puede ser muy larga, o incluso indefinida. La incertidumbre existente justifica una estimación prudente de la vida útil del activo intangible, aunque no justifica la elección de un periodo de amortización que sea tan corto que resulte irreal.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94 La vida útil de un activo intangible que surja de un derecho contractual o legal de otro tipo no excederá el periodo de esos derechos pero puede ser inferior, dependiendo del periodo a lo largo del cual la entidad espera utilizar el activo. Si el derecho contractual o legal de otro tipo se hubiera fijado por un plazo limitado que puede ser renovado, la vida útil del activo intangible solo incluirá el periodo o periodos de renovación cuando exista evidencia que respalde la renovación por parte de la entidad sin un costo significativo. La vida útil de un derecho readquirido que haya sido reconocido como un activo intangible en una combinación de negocios es el periodo contractual restante del contrato en el que se concedió el derecho y no incluirá los periodos de renovación.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95 Pueden existir factores económicos y legales que ejerzan influencia sobre la vida útil de un activo intangible. Los factores económicos determinarán el periodo a lo largo del cual se </w:t>
      </w:r>
      <w:r w:rsidRPr="00401DFF">
        <w:rPr>
          <w:rFonts w:ascii="Times New Roman" w:eastAsia="Times New Roman" w:hAnsi="Times New Roman" w:cs="Times New Roman"/>
          <w:sz w:val="24"/>
          <w:szCs w:val="24"/>
          <w:lang w:eastAsia="es-CO"/>
        </w:rPr>
        <w:lastRenderedPageBreak/>
        <w:t>recibirán los beneficios económicos futuros. Los factores legales pueden restringir el intervalo de tiempo en el que la entidad controlará el acceso a estos beneficios. La vida útil será el periodo más corto de los determinados por estos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La existencia de los siguientes factores, entre otros, indicarán que la renovación de los derechos legales es prácticamente segura, sin incurrir en un costo significativo: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existe evidencia, posiblemente basada en la experiencia, de que se renovarán los derechos contractuales u otros derechos legales. Si la renovación es contingente porque precise del consentimiento de un tercero, es necesario contar con la evidencia de que el tercero accederá;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existe evidencia de que las condiciones necesarias para obtener la renovación serán satisfechas;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costo de renovación para la entidad no es significativo en comparación con los beneficios económicos futuros que se espera que fluyan a la entidad a causa de la renovación.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el costo de la renovación es significativo en comparación con los beneficios económicos futuros que se espera que fluyan a la entidad a raíz de la renovación, los costos de “renovación” representarán, en el fondo, el costo de adquisición de un nuevo activo intangible en la fecha de renovación.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 con vidas útiles finitas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Periodo y método de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97 El importe depreciable de un activo intangible con una vida útil finita, se distribuirá sobre una base sistemática a lo largo de su vida útil. La amortización comenzará cuando el activo esté disponible para su utilización, es decir, cuando se encuentre en la ubicación y condiciones necesarias para que pueda operar de la forma prevista por la gerencia. La amortización cesará en la fecha más temprana entre aquélla en que el activo se clasifique como mantenido para la venta (o incluido en un grupo de activos para su disposición que se haya clasificado como mantenido para la venta) de acuerdo con la NIIF 5, y la fecha en que se produzca la baja en cuentas del mismo. El método de amortización utilizado reflejará el patrón de consumo esperado, por parte de la entidad, de los beneficios económicos futuros derivados del activo. Si este patrón no pudiera ser determinado de forma fiable, se adoptará el método lineal de amortización. El cargo por amortización de cada período se reconocerá en el resultado del periodo, a menos que otra Norma permita o exija que dicho importe se incluya en el importe en libros de otro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 Pueden utilizarse diferentes métodos para distribuir el importe depreciable de un activo, de forma sistemática, a lo largo de su vida útil. Estos métodos incluyen el método lineal, el de depreciación decreciente y el de las unidades de producción. El método utilizado se </w:t>
      </w:r>
      <w:r w:rsidRPr="00401DFF">
        <w:rPr>
          <w:rFonts w:ascii="Times New Roman" w:eastAsia="Times New Roman" w:hAnsi="Times New Roman" w:cs="Times New Roman"/>
          <w:sz w:val="24"/>
          <w:szCs w:val="24"/>
          <w:lang w:eastAsia="es-CO"/>
        </w:rPr>
        <w:lastRenderedPageBreak/>
        <w:t>seleccionará a partir del patrón esperado de consumo de los beneficios económicos futuros esperados incorporados en el activo, y se aplicará de forma coherente de periodo a periodo, a menos que se produzca una variación en los patrones esperados de consumo de dichos beneficios económicos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99 Normalmente, la amortización se reconocerá en el resultado del periodo. No obstante, en ocasiones, los beneficios económicos futuros incorporados a un activo se absorben dentro de la entidad, en la producción de otros activos. En estos casos, el cargo por amortización formará parte del costo de esos otros activos y se incluirá en su importe en libros. Por ejemplo, la amortización de los activos intangibles utilizados en el proceso de producción se incorporará al importe en libros de las inventarios (véase la NIC 2 </w:t>
      </w:r>
      <w:r w:rsidRPr="00401DFF">
        <w:rPr>
          <w:rFonts w:ascii="Times New Roman" w:eastAsia="Times New Roman" w:hAnsi="Times New Roman" w:cs="Times New Roman"/>
          <w:i/>
          <w:iCs/>
          <w:sz w:val="24"/>
          <w:szCs w:val="24"/>
          <w:lang w:eastAsia="es-CO"/>
        </w:rPr>
        <w:t>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residual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100 Se supondrá que el valor residual de un activo intangible es nulo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haya un compromiso, por parte de un tercero, de comprar el activo al final de su vida útil;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existe un mercado activo (tal como se define en la NIIF 13) para 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pueda determinarse el valor residual con referencia a este mercado;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sea probable que este mercado existirá al final de la vida útil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101 El importe depreciable de un activo con vida útil finita se determinará después de deducir su valor residual. Un valor residual distinto de cero implica que la entidad espera disponer el activo intangible antes de que termine su vida económica.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102 La estimación del valor residual de un activo se basa en el importe recuperable a través de la disposición, utilizando los precios existentes en la fecha de la estimación de la venta para un activo similar que haya alcanzado el término de su vida útil y haya operado en condiciones similares a aquellas en las que el activo se utilizará. El valor residual se revisará al término de cada periodo anual. Un cambio en el valor residual del activo se contabilizará como un cambio en una estimación,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 El valor residual de un activo intangible podría aumentar hasta un importe igual o mayor que el importe en libros del activo. En ese caso, el cargo por amortización del activo será nulo, a menos y hasta que, su valor residual disminuya posteriormente hasta un importe inferior al importe en libros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Revisión del periodo y del método de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104 Tanto el periodo como el método de amortización utilizado para un activo intangible con vida útil finita se revisarán, como mínimo, al final de cada periodo. Si </w:t>
      </w:r>
      <w:r w:rsidRPr="00401DFF">
        <w:rPr>
          <w:rFonts w:ascii="Times New Roman" w:eastAsia="Times New Roman" w:hAnsi="Times New Roman" w:cs="Times New Roman"/>
          <w:b/>
          <w:bCs/>
          <w:sz w:val="24"/>
          <w:szCs w:val="24"/>
          <w:lang w:eastAsia="es-CO"/>
        </w:rPr>
        <w:lastRenderedPageBreak/>
        <w:t>la nueva vida útil esperada difiere de las estimaciones anteriores, se cambiará el periodo de amortización para reflejar esta variación. Si se ha experimentado un cambio en el patrón esperado de generación de beneficios económicos futuros por parte del activo, el método de amortización se modificará para reflejar estos cambios. Los efectos de estas modificaciones en el periodo y en el método de amortización, se tratarán como cambios en las estimaciones contables, según lo establecido en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105 A lo largo de la vida del activo intangible, puede ponerse de manifiesto que la estimación de la vida útil resulta inadecuada. Por ejemplo, el reconocimiento de una pérdida por deterioro del valor podría indicar que el periodo de amortización debe modificarse.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106 Con el transcurso del tiempo, el patrón de aparición de los beneficios futuros esperados por la entidad, para un determinado activo intangible, puede cambiar. Por ejemplo, puede ponerse de manifiesto que, en lugar de aplicar el método de amortización lineal, resulta más apropiado el método de amortización basado en aplicar un porcentaje constante sobre el importe en libros al comienzo de cada periodo. Otro ejemplo se produce cuando se aplaza el uso de los derechos representados por una licencia a la espera de actuaciones ligadas a otros componentes del plan de actividad. En ese caso, los beneficios económicos procedentes del activo pueden no empezar a recibirse hasta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 con vidas útiles indefinidas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107 Los activos intangibles con una vida útil indefinida no se amortizarán.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 Según la NIC 36, la entidad comprobará si un activo intangible con una vida útil indefinida ha experimentado una pérdida por deterioro del valor comparando su importe recuperable con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anualmente,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cualquier momento en el que exista un indicio de que el activo puede haber deteriorado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Revisión de la evaluación de la vida útil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109 La vida útil de un activo intangible que no está siendo amortizado se revisará cada periodo para determinar si existen hechos y circunstancias que permitan seguir manteniendo una vida útil indefinida para ese activo. Si no existen esas circunstancias, el cambio en la vida útil de indefinida a finita se contabilizará como un cambio en una estimación contable,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110 Con arreglo a la NIC 36, reconsiderar la vida útil de un activo intangible como finita, en lugar de como indefinida, es un indicio de que el activo puede haber visto deteriorado su valor. Como consecuencia, la entidad comprobará si el valor del activo se ha deteriorado, comparando su importe recuperable, determinado de acuerdo con la NIC 36, con su importe </w:t>
      </w:r>
      <w:r w:rsidRPr="00401DFF">
        <w:rPr>
          <w:rFonts w:ascii="Times New Roman" w:eastAsia="Times New Roman" w:hAnsi="Times New Roman" w:cs="Times New Roman"/>
          <w:sz w:val="24"/>
          <w:szCs w:val="24"/>
          <w:lang w:eastAsia="es-CO"/>
        </w:rPr>
        <w:lastRenderedPageBreak/>
        <w:t>en libros, y reconociendo cualquier exceso del importe en libros sobre el importe recuperable como una pérdida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Recuperación del importe en libros -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111 Para determinar si se ha deteriorado el valor de los activos intangibles, la entidad aplicará la NIC 36. En dicha Norma se explica cuándo y cómo ha de proceder la entidad para revisar el importe en libros de sus activos, y también cómo ha de determinar el importe recuperable de un determinado activo, para reconocer o revertir una pérdida por deterioro en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Retiros y disposiciones de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112 Un activo intangible se dará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por su disposición;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cuando no se espere obtener beneficios económicos futuros por su uso o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113 La pérdida o ganancia surgida al dar de baja un activo intangible se determinará como la diferencia entre el importe neto obtenido por su disposición, y el importe en libros del activo. Se reconocerá en el resultado del periodo cuando la partida sea dada de baja en cuentas (a menos que la NIC 17 establezca otra cosa, en caso de una venta con arrendamiento posterior). Las ganancias no se clasificarán como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114 La disposición de un activo intangible puede llevarse a cabo de diversas maneras (por ejemplo mediante una venta, realizando sobre la misma un contrato de arrendamiento financiero, o por donación). Para determinar la fecha de la venta o disposición por otra vía del activo, la entidad aplicará los criterios establecidos en la NIC 18 </w:t>
      </w:r>
      <w:r w:rsidRPr="00401DFF">
        <w:rPr>
          <w:rFonts w:ascii="Times New Roman" w:eastAsia="Times New Roman" w:hAnsi="Times New Roman" w:cs="Times New Roman"/>
          <w:i/>
          <w:iCs/>
          <w:sz w:val="24"/>
          <w:szCs w:val="24"/>
          <w:lang w:eastAsia="es-CO"/>
        </w:rPr>
        <w:t xml:space="preserve">Ingresos de Actividades Ordinarias, </w:t>
      </w:r>
      <w:r w:rsidRPr="00401DFF">
        <w:rPr>
          <w:rFonts w:ascii="Times New Roman" w:eastAsia="Times New Roman" w:hAnsi="Times New Roman" w:cs="Times New Roman"/>
          <w:sz w:val="24"/>
          <w:szCs w:val="24"/>
          <w:lang w:eastAsia="es-CO"/>
        </w:rPr>
        <w:t>para el reconocimiento de ingresos de actividades ordinarias por venta de bienes. La NIC 17 se aplicará a las disposiciones por una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115 Si, de acuerdo con el criterio de reconocimiento del párrafo 21, la entidad reconociera dentro del importe en libros de un activo el costo de derivado de la sustitución de parte del activo intangible, dará de baja el importe en libros de la parte sustituida. Si no fuera practicable para la entidad la determinación del importe en libros de la parte sustituida, podrá utilizar el costo de la sustitución como indicativo de cuál podría ser el costo de la parte sustituida, en la fecha en la que fue adquirido o generado internamente.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115A En el caso de un derecho readquirido en una combinación de negocios que se revenda posteriormente a un tercero, el importe en libros relacionado, si lo hubiera, se deberá utilizar para determinar la ganancia o pérdida de la reventa.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116 La contrapartida a cobrar por la venta o disposición por otra vía de un activo intangible se reconocerá inicialmente por su valor razonable. Si se aplazase el pago a recibir por el activo intangible, la contrapartida recibida se reconocerá inicialmente al precio equivalente de contado. La diferencia entre el importe nominal de la contrapartida y el precio equivalente de contado se reconocerá como un ingreso por intereses, de acuerdo con la NIC 18, de forma que refleje el rendimiento efectivo derivado de la cuenta por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117 La amortización de un activo intangible con una vida útil finita no terminará cuando el activo intangible no vaya a ser usado más, a menos que el activo haya sido completamente amortizado o se clasifique como mantenido para la venta (o incluido en un grupo de activos para su disposición que se clasifique como disponible para la venta) de acuerdo con la 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118 La entidad revelará la siguiente información para cada una de las clases de activos intangibles, distinguiendo entre los activos que se hayan generado internamente y los 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las vidas útiles son indefinidas o finitas y, en este caso, las vidas útiles o los porcentajes de amortización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métodos de amortización utilizados para los activos intangibles con vidas útiles finitas;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en libros bruto y la amortización acumulada (junto con el importe acumulado de las pérdidas por deterioro del valor), tanto al principio como al final de cada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partida o partidas, del estado de resultado integral, en las que está incluida la amortización de los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una conciliación entre los valores en libros al principio y al final del periodo, mostrando: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los incrementos, con indicación separada de los que procedan de desarrollos internos, aquéllos adquiridos por separado y los adquiridos en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los activos clasificados como mantenidos para la venta o incluidos en un grupo de activos para su disposición que haya sido clasificado como mantenido para la venta, de acuerdo con la NIIF 5, así como otras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(iii) los incrementos y decrementos, durante el periodo, procedentes de revaluaciones efectuadas según se indica en los párrafos 75, 85 y 86, así como de pérdidas por deterioro del valor reconocidas o revertidas en otro resultado integral siguiendo las reglas de la NIC 36 (si las hubiere);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las pérdidas por deterioro del valor reconocidas, en el resultado del periodo aplicando la NIC 36 (si las hubiere);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 las reversiones de anteriores pérdidas por deterioro del valor, a lo largo del periodo, de acuerdo con la NIC 36 (si las hubiere);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el importe de la amortización reconocida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 las diferencias netas de cambio derivadas de la conversión de estados financieros a la moneda de presentación, y de la conversión de una operación en el extranjero a la moneda de presentación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(viii) otros cambios habidos en el importe en libros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119 Una clase de activos intangibles es un conjunto de activos de similar naturaleza y uso en las actividades de la entidad. Los siguientes son ejemplos de clases separadas: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marcas;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cabeceras de periódicos o revistas y sellos o denominaciones editoriales;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programas y aplicaciones informáticas;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concesiones y franquicias;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derechos de propiedad intelectual, patentes y otras manifestaciones de la propiedad industrial o derechos de explotación;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recetas o fórmulas, modelos, diseños y prototipos;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activos intangibles en proceso.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clases mencionadas arriba pueden ser desagregadas (o agregadas) en otras más pequeñas (más grandes), siempre que ello genere una información más relevante para los usuarios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120 La entidad incluirá información sobre los activos intangibles que hayan sufrido pérdidas por deterioro del valor, de acuerdo con la NIC 36, además de la requerida en el párrafo 118(e)(iii) a (v).</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121 La NIC 8 exige que la entidad revele la naturaleza y efecto de los cambios en las estimaciones contables que tengan un efecto significativo en el periodo corriente, o que se espera que tengan repercusión significativa en futuros periodos. Estas revelaciones de información pueden surgir por cambios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periodo de amortización fijado para un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método de amortización;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valores residuales.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122 Una entidad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En el caso de un activo intangible con vida útil indefinida, el importe en libros de dicho activo y las razones sobre las que se apoya la estimación de una vida útil indefinida. Al aportar estas razones, la entidad describirá el factor o los factores que han jugado un papel significativo al determinar que el activo tiene una vida útil indefinida.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descripción, el importe en libros y del periodo restante de amortización de cualquier activo intangible individual que sea significativo en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Para los activos intangibles adquiridos mediante una subvención del gobierno y reconocidos inicialmente por su valor razonable (véase el párrafo 44):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valor razonable por el que se han registrado inicialmente tales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su importe en libros;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si la medición posterior al reconocimiento inicial se realiza utilizando el modelo del costo o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existencia y el importe en libros de los activos intangibles cuya titularidad tiene alguna restricción, así como el importe en libros de los activos intangibles que sirven como garantías de deudas.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importe de los compromisos contractuales para la adquisición de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123 Cuando la entidad proceda a describir el factor, o los factores, que han jugado un papel importante en la determinación del hecho de que el activo intangible tiene una vida útil indefinida, considerará la lista de los factores del párrafo 90.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 medidos posteriormente según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124 En el caso de activos intangibles contabilizados por sus valores revaluados, la entidad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para cada clase de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fecha efectiva de la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en libros de los activos intangibles revaluados;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importe en libros que se habría reconocido si los activos intangibles se hubieran medido posteriormente utilizando el modelo del costo del párrafo 74;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del superávit de revaluación, tanto al principio como al final del periodo, que procedan de los activos intangibles, indicando los cambios habidos durante el periodo, así como cualquier restricción para la distribución de su saldo entre los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125 Puede ser necesario, para cumplir con las revelaciones exigidas en el párrafo anterior, proceder a la agregación de las clases de activos intangibles revaluados. No obstante, las citadas clases no se agregarán si de esta presentación pudieran resultar saldos mixtos, que incluyeran activos medidos según el modelo del costo junto con otros medidos según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Desembolsos por investigación y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126 La entidad revelará el importe agregado de los desembolsos por investigación y desarrollo que se hayan reconocido como gastos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127 Los desembolsos por investigación y desarrollo incluirán todos los que sean directamente atribuibles a las actividades de investigación y desarrollo, (véanse los párrafos 66 y 67, donde figuran las indicaciones sobre los tipos de desembolsos que se pueden incluir para cumplir los objetivos de las exigencias informativas señaladas en el párrafo 126).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128 Se aconseja, pero no se exige, que las entidades aporten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los activos intangibles completamente amortizados que se encuentren todavía en uso;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una breve descripción de los activos intangibles significativos controlados por la entidad, pero que no se reconozcan como activos por no cumplir los criterios de </w:t>
      </w:r>
      <w:r w:rsidRPr="00401DFF">
        <w:rPr>
          <w:rFonts w:ascii="Times New Roman" w:eastAsia="Times New Roman" w:hAnsi="Times New Roman" w:cs="Times New Roman"/>
          <w:sz w:val="24"/>
          <w:szCs w:val="24"/>
          <w:lang w:eastAsia="es-CO"/>
        </w:rPr>
        <w:lastRenderedPageBreak/>
        <w:t xml:space="preserve">reconocimiento fijados en esta Norma, o porque fueron adquiridos o generados antes de que tuviese vigencia la versión de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emitida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 y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 Una entidad aplicará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la contabilización de activos intangibles adquiridos en combinaciones de negocios en las que la fecha del acuerdo sea a partir del 31 de marzo de 2004;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la contabilización de todos los demás activos intangibles de forma prospectiva desde el comienzo del primer periodo anual a partir del 31 de marzo de 2004. Así, la entidad no ajustará el importe en libros de los activos intangibles reconocidos en esa fecha. Sin embargo, la entidad aplicará, en esa misma fecha, esta Norma al reconsiderar las vidas útiles de dichos activos intangibles. Si, como resultado de esa reestimación, la entidad cambia su evaluación de la vida útil de un activo, ese cambio se contabilizará como un cambio en la estimación contable,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130A Una entidad aplicará las modificaciones contenidas en el párrafo 2 para periodos anuales que comiencen a partir del 1 de enero de 2006. Si una entidad aplica la NIIF 6 para un periodo anterior, dichas modificaciones deben ser aplicadas para ese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130B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 modificó la terminología utilizada en las NIIF. Además, modificó los párrafos 85, 86 y 118(e)(iii).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130C La NIIF 3 (revisada en 2008) modificó los párrafos 12, 33 a 35, 68, 69, 94 y 130, eliminó los párrafos 38 y 129 y se añadió el párrafo 115A.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los párrafos 36 y 37. Una entidad aplicará esas modificaciones de forma prospectiva a los periodos anuales que comiencen a partir del 1 de julio de 2009. Por ello, no se ajustarán los importes reconocidos para los activos intangibles y la plusvalía en combinaciones de negocios anteriores. Si una entidad aplica la NIIF 3 (revisada en 2008) a un periodo anterior, las modificaciones se aplicarán a ese periodo y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130D Se modificaron los párrafos 69, 70 y 98 y se añadió el párrafo 69A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2008. Una entidad aplicará esas modificaciones a periodos anuales que comiencen a partir del 1 de enero de 2009.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130E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130F Las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el párrafo 3(e).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130G La NIIF 13, emitida en mayo de 2011, modificó los párrafos 8, 33, 47, 50, 75, 78, 82, 84, 100 y 124, eliminó los párrafos 39 a 41 y 130E.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Permutas de activos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131 La exigencia, contenida en los párrafos 129 y en el apartado (b) del párrafo 130, de aplicar esta Norma de forma prospectiva, significa que si una permuta de activos fue medida, antes de la fecha de vigencia de esta Norma, sobre la base del importe en libros del activo entregado, la entidad no reexpresará el importe en libros del activo adquirido para reflejar su valor razonable en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132 Se aconseja a las entidades a las que se aplique el párrafo 130, que apliquen los requerimientos de esta Norma antes de las fechas de vigencia especificadas en el párrafo 130. No obstante, si la entidad aplicase esta Norma antes de esas fechas efectivas, también aplicará al mismo tiempo la NIIF 3 y la NIC 36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38 (aprobada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133 Esta Norma deroga a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(emitida en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En esta Norma,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Instrumentos Financieros: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 aplicará por todas las entidades y a todos los tipos de instrumentos financieros, excepto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aquellas participaciones en subsidiarias, asociadas o negocios conjuntos, que se contabilicen de acuerdo con la NIIF 10 </w:t>
      </w:r>
      <w:r w:rsidRPr="00401DFF">
        <w:rPr>
          <w:rFonts w:ascii="Times New Roman" w:eastAsia="Times New Roman" w:hAnsi="Times New Roman" w:cs="Times New Roman"/>
          <w:b/>
          <w:bCs/>
          <w:i/>
          <w:iCs/>
          <w:sz w:val="24"/>
          <w:szCs w:val="24"/>
          <w:lang w:eastAsia="es-CO"/>
        </w:rPr>
        <w:t>Estados Financieros Consolidados,</w:t>
      </w:r>
      <w:r w:rsidRPr="00401DFF">
        <w:rPr>
          <w:rFonts w:ascii="Times New Roman" w:eastAsia="Times New Roman" w:hAnsi="Times New Roman" w:cs="Times New Roman"/>
          <w:b/>
          <w:bCs/>
          <w:sz w:val="24"/>
          <w:szCs w:val="24"/>
          <w:lang w:eastAsia="es-CO"/>
        </w:rPr>
        <w:t xml:space="preserve"> NIC 27 </w:t>
      </w:r>
      <w:r w:rsidRPr="00401DFF">
        <w:rPr>
          <w:rFonts w:ascii="Times New Roman" w:eastAsia="Times New Roman" w:hAnsi="Times New Roman" w:cs="Times New Roman"/>
          <w:b/>
          <w:bCs/>
          <w:i/>
          <w:iCs/>
          <w:sz w:val="24"/>
          <w:szCs w:val="24"/>
          <w:lang w:eastAsia="es-CO"/>
        </w:rPr>
        <w:t>Estados Financieros Separados,</w:t>
      </w:r>
      <w:r w:rsidRPr="00401DFF">
        <w:rPr>
          <w:rFonts w:ascii="Times New Roman" w:eastAsia="Times New Roman" w:hAnsi="Times New Roman" w:cs="Times New Roman"/>
          <w:b/>
          <w:bCs/>
          <w:sz w:val="24"/>
          <w:szCs w:val="24"/>
          <w:lang w:eastAsia="es-CO"/>
        </w:rPr>
        <w:t xml:space="preserve"> NIC 28 </w:t>
      </w:r>
      <w:r w:rsidRPr="00401DFF">
        <w:rPr>
          <w:rFonts w:ascii="Times New Roman" w:eastAsia="Times New Roman" w:hAnsi="Times New Roman" w:cs="Times New Roman"/>
          <w:b/>
          <w:bCs/>
          <w:i/>
          <w:iCs/>
          <w:sz w:val="24"/>
          <w:szCs w:val="24"/>
          <w:lang w:eastAsia="es-CO"/>
        </w:rPr>
        <w:t>Inversiones en Asociadas y Negocios Conjuntos</w:t>
      </w:r>
      <w:r w:rsidRPr="00401DFF">
        <w:rPr>
          <w:rFonts w:ascii="Times New Roman" w:eastAsia="Times New Roman" w:hAnsi="Times New Roman" w:cs="Times New Roman"/>
          <w:b/>
          <w:bCs/>
          <w:sz w:val="24"/>
          <w:szCs w:val="24"/>
          <w:lang w:eastAsia="es-CO"/>
        </w:rPr>
        <w:t xml:space="preserve">. No obstante, las entidades aplicarán esta Norma a las participaciones en subsidiarias, asociadas o negocios conjuntos que, de acuerdo con la NIC 27 o NIC 28 se contabilicen de acuerdo con esta Norma. Las entidades también aplicarán esta Norma a los </w:t>
      </w:r>
      <w:r w:rsidRPr="00401DFF">
        <w:rPr>
          <w:rFonts w:ascii="Times New Roman" w:eastAsia="Times New Roman" w:hAnsi="Times New Roman" w:cs="Times New Roman"/>
          <w:b/>
          <w:bCs/>
          <w:sz w:val="24"/>
          <w:szCs w:val="24"/>
          <w:lang w:eastAsia="es-CO"/>
        </w:rPr>
        <w:lastRenderedPageBreak/>
        <w:t xml:space="preserve">derivados sobre las participaciones en subsidiarias, asociadas o negocios conjuntos, salvo cuando el derivado cumpla la definición de instrumento de patrimonio de la entidad que contiene la NIC 32 </w:t>
      </w:r>
      <w:r w:rsidRPr="00401DFF">
        <w:rPr>
          <w:rFonts w:ascii="Times New Roman" w:eastAsia="Times New Roman" w:hAnsi="Times New Roman" w:cs="Times New Roman"/>
          <w:b/>
          <w:bCs/>
          <w:i/>
          <w:iCs/>
          <w:sz w:val="24"/>
          <w:szCs w:val="24"/>
          <w:lang w:eastAsia="es-CO"/>
        </w:rPr>
        <w:t>Instrumentos Financieros: Presentación</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Derechos y obligaciones surgidos de los contratos de arrendamiento a los que se aplique la NIC 17 </w:t>
      </w:r>
      <w:r w:rsidRPr="00401DFF">
        <w:rPr>
          <w:rFonts w:ascii="Times New Roman" w:eastAsia="Times New Roman" w:hAnsi="Times New Roman" w:cs="Times New Roman"/>
          <w:b/>
          <w:bCs/>
          <w:i/>
          <w:iCs/>
          <w:sz w:val="24"/>
          <w:szCs w:val="24"/>
          <w:lang w:eastAsia="es-CO"/>
        </w:rPr>
        <w:t>Arrendamientos</w:t>
      </w:r>
      <w:r w:rsidRPr="00401DFF">
        <w:rPr>
          <w:rFonts w:ascii="Times New Roman" w:eastAsia="Times New Roman" w:hAnsi="Times New Roman" w:cs="Times New Roman"/>
          <w:b/>
          <w:bCs/>
          <w:sz w:val="24"/>
          <w:szCs w:val="24"/>
          <w:lang w:eastAsia="es-CO"/>
        </w:rPr>
        <w:t>. Sin embargo: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las cuentas por cobrar de arrendamientos reconocidas por el arrendador están sujetas a la baja en cuentas y las disposiciones sobre deterioro de valor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las cuentas por pagar de arrendamientos financieros reconocidas por el arrendatario están sujetas a las disposiciones de baja en cuentas de esta Norma;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los derivados implícitos en los arrendamientos están sujetos a las disposiciones sobre derivados implícitos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Los derechos y obligaciones de los empleadores derivados de planes de beneficios a los empleados, a los que se aplique la NIC 19 </w:t>
      </w:r>
      <w:r w:rsidRPr="00401DFF">
        <w:rPr>
          <w:rFonts w:ascii="Times New Roman" w:eastAsia="Times New Roman" w:hAnsi="Times New Roman" w:cs="Times New Roman"/>
          <w:b/>
          <w:bCs/>
          <w:i/>
          <w:iCs/>
          <w:sz w:val="24"/>
          <w:szCs w:val="24"/>
          <w:lang w:eastAsia="es-CO"/>
        </w:rPr>
        <w:t>Beneficios a los Empleados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Los instrumentos financieros emitidos por la entidad que cumplan la definición de un instrumento de patrimonio de la NIC 32 (incluyendo opciones y certificados de opción para la suscripción de acciones) o que se requiera que sean clasificados como un instrumento de patrimonio de acuerdo con los párrafos 16A y 16B o los párrafos 16C y 16D de la NIC 32. No obstante, el tenedor de este instrumento de patrimonio aplicará esta Norma a esos instrumentos, a menos que cumplan la excepción mencionada en el apartado (a)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 Derechos y obligaciones surgidos de (i) un contrato de seguro, según lo define la NIIF 4 </w:t>
      </w:r>
      <w:r w:rsidRPr="00401DFF">
        <w:rPr>
          <w:rFonts w:ascii="Times New Roman" w:eastAsia="Times New Roman" w:hAnsi="Times New Roman" w:cs="Times New Roman"/>
          <w:b/>
          <w:bCs/>
          <w:i/>
          <w:iCs/>
          <w:sz w:val="24"/>
          <w:szCs w:val="24"/>
          <w:lang w:eastAsia="es-CO"/>
        </w:rPr>
        <w:t>Contratos de Seguro,</w:t>
      </w:r>
      <w:r w:rsidRPr="00401DFF">
        <w:rPr>
          <w:rFonts w:ascii="Times New Roman" w:eastAsia="Times New Roman" w:hAnsi="Times New Roman" w:cs="Times New Roman"/>
          <w:b/>
          <w:bCs/>
          <w:sz w:val="24"/>
          <w:szCs w:val="24"/>
          <w:lang w:eastAsia="es-CO"/>
        </w:rPr>
        <w:t xml:space="preserve"> que sean diferentes de los derechos y obligaciones de un emisor procedentes de los contratos de seguros que cumplan la definición de contrato de garantía financiera del Apéndice A de la NIIF 9 </w:t>
      </w:r>
      <w:r w:rsidRPr="00401DFF">
        <w:rPr>
          <w:rFonts w:ascii="Times New Roman" w:eastAsia="Times New Roman" w:hAnsi="Times New Roman" w:cs="Times New Roman"/>
          <w:b/>
          <w:bCs/>
          <w:i/>
          <w:iCs/>
          <w:sz w:val="24"/>
          <w:szCs w:val="24"/>
          <w:lang w:eastAsia="es-CO"/>
        </w:rPr>
        <w:t>Instrumentos Financieros,</w:t>
      </w:r>
      <w:r w:rsidRPr="00401DFF">
        <w:rPr>
          <w:rFonts w:ascii="Times New Roman" w:eastAsia="Times New Roman" w:hAnsi="Times New Roman" w:cs="Times New Roman"/>
          <w:b/>
          <w:bCs/>
          <w:sz w:val="24"/>
          <w:szCs w:val="24"/>
          <w:lang w:eastAsia="es-CO"/>
        </w:rPr>
        <w:t xml:space="preserve"> o (ii) un contrato que esté dentro del alcance de la NIIF 4 por contener un componente de participación discrecional. Sin embargo, esta Norma se aplicará a un derivado que esté implícito en un contrato que quede dentro del alcance de la NIIF 4 si el derivado no es en sí mismo un contrato que quede dentro del alcance de la NIIF 4. Además, si un emisor de contratos de garantía financiera ha manifestado previa y explícitamente que considera a tales contratos como de seguro y ha usado la contabilidad aplicable a los contratos de seguros, podrá optar entre aplicar esta Norma o la NIIF 4 a dichos contratos de garantía financiera (véanse los párrafos GA4 y GA4A). El emisor podrá efectuar la elección contrato por contrato, pero la elección que haga para cada contrato será irrevocable.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(g) los contratos a término entre un adquirente y un accionista que vende para comprar o vender una adquirida que dará lugar a una combinación de negocios en </w:t>
      </w:r>
      <w:r w:rsidRPr="00401DFF">
        <w:rPr>
          <w:rFonts w:ascii="Times New Roman" w:eastAsia="Times New Roman" w:hAnsi="Times New Roman" w:cs="Times New Roman"/>
          <w:b/>
          <w:bCs/>
          <w:sz w:val="24"/>
          <w:szCs w:val="24"/>
          <w:lang w:eastAsia="es-CO"/>
        </w:rPr>
        <w:lastRenderedPageBreak/>
        <w:t>una fecha de adquisición futura. El plazo del contrato a término no debería superar un periodo razonable normalmente necesario para obtener las aprobaciones requeridas y para completar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(h) Compromisos de préstamo diferentes a los descritos en el párrafo 4. El emisor de un compromiso de préstamo aplicará la NIC 37 </w:t>
      </w:r>
      <w:r w:rsidRPr="00401DFF">
        <w:rPr>
          <w:rFonts w:ascii="Times New Roman" w:eastAsia="Times New Roman" w:hAnsi="Times New Roman" w:cs="Times New Roman"/>
          <w:b/>
          <w:bCs/>
          <w:i/>
          <w:iCs/>
          <w:sz w:val="24"/>
          <w:szCs w:val="24"/>
          <w:lang w:eastAsia="es-CO"/>
        </w:rPr>
        <w:t xml:space="preserve">Provisiones, Pasivos Contingentes y Activos Contingentes </w:t>
      </w:r>
      <w:r w:rsidRPr="00401DFF">
        <w:rPr>
          <w:rFonts w:ascii="Times New Roman" w:eastAsia="Times New Roman" w:hAnsi="Times New Roman" w:cs="Times New Roman"/>
          <w:b/>
          <w:bCs/>
          <w:sz w:val="24"/>
          <w:szCs w:val="24"/>
          <w:lang w:eastAsia="es-CO"/>
        </w:rPr>
        <w:t>a los que no estén dentro del alcance de esta Norma. Sin embargo, todos los compromisos de préstamo están sujetos a las disposiciones de baja en cuentas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 Instrumentos financieros, contratos y obligaciones derivados de transacciones con pagos basados en acciones, a los que se aplica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 xml:space="preserve"> excepto los contratos que estén dentro del alcance de los párrafos 5 a 7 de esta Norma, a los que es de aplicación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(j) Derechos a recibir pagos para reembolsar a la entidad por desembolsos realizados para cancelar un pasivo que ella reconoce (o ha reconocido en un periodo anterior) como una provisión de acuerdo con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Los siguientes compromisos de préstamo están dentro del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Compromisos de préstamo que la entidad designe como pasivos financieros al valor razonable con cambios en resultados (véase el párrafo 4.2.2 de la NIIF 9). Una entidad que tenga una práctica anterior de venta de los activos procedentes de sus compromisos de préstamo inmediatamente después de su nacimiento, aplicará esta Norma a todos los compromisos de préstamo de la misma clase.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Compromisos de préstamo que puedan liquidarse, por el neto, en efectivo, o emitiendo otro instrumento financiero. Estos compromisos de préstamo son derivados. No se considerará que un compromiso de préstamo se liquide por el neto simplemente porque el desembolso del préstamo se haga en plazos (por ejemplo, un préstamo hipotecario para la construcción que se pague a plazos de acuerdo con el avance de la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Compromisos de proporcionar un préstamo a una tasa de interés por debajo de la de mercado (véase el párrafo 4.2.1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Esta Norma se aplicará a aquellos contratos de compra o venta de partidas no financieras que se liquiden por el importe neto, en efectivo o en otro instrumento financiero, o mediante el intercambio de instrumentos financieros, como si dichos contratos fuesen instrumentos financieros, con la excepción de los contratos que se celebraron y se mantienen con el objetivo de recibir o entregar una partida no financiera, de acuerdo con las compras, ventas o necesidades de utilización esperadas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Existen diversas formas por las que un contrato de compra o de venta de partidas no financieras puede liquidarse por el importe neto, en efectivo o en otro instrumento financiero, o mediante el intercambio de instrumentos financieros. Entre ellas 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las cláusulas del contrato permitan a cualquiera de las partes liquidar por el importe neto, en efectivo o en otro instrumento financiero o mediante el intercambio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la capacidad para liquidar por el importe neto, en efectivo o en otro instrumento financiero o mediante el intercambio de instrumentos financieros, no esté explícitamente recogida en las cláusulas del contrato, pero la entidad liquide habitualmente contratos similares por el importe neto, en efectivo u otro instrumento financiero o mediante el intercambio de instrumentos financieros (ya sea con la contraparte, mediante acuerdos de compensación o mediante la venta del contrato antes de su ejercicio o caducidad del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cuando, para contratos similares, la entidad exija habitualmente la entrega del subyacente y lo venda en un periodo corto con el objetivo de generar ganancias por las fluctuaciones del precio a corto plazo o un margen de intermediación;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el elemento no financiero objeto del contrato sea fácilmente convertible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al que le sean de aplicación los apartados (b) o (c), no se celebra con el objetivo de recibir o entregar el elemento no financiero, de acuerdo con las compras, ventas o necesidades de utilización esperadas por la entidad y, en consecuencia, estará dentro del alcance de esta Norma. Los demás contratos, a los que sea de aplicación el párrafo 5, se evaluarán para determinar si han sido celebrados y se mantienen con el objetivo de recibir o entregar un elemento no financiero de acuerdo con las compras, ventas o necesidades de utilización esperadas por la entidad y si, por ello, están dentro del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Una opción emitida de compra o venta de elementos no financieros, que pueda ser liquidada por el importe neto, en efectivo o en otro instrumento financiero, o mediante el intercambio de instrumentos financieros, de acuerdo con los apartados (a) o (d) del párrafo 6, está dentro del alcance de esta Norma. Dicho contrato no puede haberse celebrado con el objetivo de recibir o entregar una partida no financiera de acuerdo con las compras, ventas o necesidades de utilización esperadas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Las definiciones de términos de la NIIF 9 y la NIC 32 se utilizan en esta Norma con el significado especificado en el Apéndice A de la NIIF 9 y el párrafo 11 de la NIC 32. La NIIF 9 y la NIC 32 definen los siguientes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derivado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contrato de garantía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y suministran guías para la aplicación de esas 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relativas al reconocimiento y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 amortizado de un activo financiero o de un pasivo financiero</w:t>
      </w:r>
      <w:r w:rsidRPr="00401DFF">
        <w:rPr>
          <w:rFonts w:ascii="Times New Roman" w:eastAsia="Times New Roman" w:hAnsi="Times New Roman" w:cs="Times New Roman"/>
          <w:b/>
          <w:bCs/>
          <w:sz w:val="24"/>
          <w:szCs w:val="24"/>
          <w:lang w:eastAsia="es-CO"/>
        </w:rPr>
        <w:t xml:space="preserve"> es la medida inicial de dicho activo o pasivo menos los reembolsos del principal, más o menos la amortización acumulada —calculada con el método de la tasa de interés efectiva— de cualquier diferencia entre el importe inicial y el valor de reembolso en el vencimiento, y menos cualquier disminución por deterioro del valor o incobrabilidad (reconocida directamente o mediante el uso de una cuenta correctora).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El método de la tasa de interés efectiva</w:t>
      </w:r>
      <w:r w:rsidRPr="00401DFF">
        <w:rPr>
          <w:rFonts w:ascii="Times New Roman" w:eastAsia="Times New Roman" w:hAnsi="Times New Roman" w:cs="Times New Roman"/>
          <w:b/>
          <w:bCs/>
          <w:sz w:val="24"/>
          <w:szCs w:val="24"/>
          <w:lang w:eastAsia="es-CO"/>
        </w:rPr>
        <w:t xml:space="preserve"> es un método de cálculo del costo amortizado de un activo o un pasivo financieros (o de un grupo de activos o pasivos financieros) y de imputación del ingreso o gasto financiero a lo largo del periodo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tasa de interés efectiva es la tasa de descuento que iguala exactamente los flujos de efectivo por cobrar o por pagar estimados a lo largo de la vida esperada del instrumento financiero (o, cuando sea adecuado, en un periodo más corto) con el importe neto en libros del activo financiero o pasivo financiero. Para calcular la tasa de interés efectiva, una entidad estimará los flujos de efectivo teniendo en cuenta todas las condiciones contractuales del instrumento financiero (por ejemplo, pagos anticipados, rescates y opciones de compra o similares), pero no tendrá en cuenta las pérdidas crediticias futuras. El cálculo incluirá todas las comisiones y puntos de interés pagados o recibidos por las partes del contrato, que integren la tasa de interés efectiva (ver la NIC 18 </w:t>
      </w:r>
      <w:r w:rsidRPr="00401DFF">
        <w:rPr>
          <w:rFonts w:ascii="Times New Roman" w:eastAsia="Times New Roman" w:hAnsi="Times New Roman" w:cs="Times New Roman"/>
          <w:b/>
          <w:bCs/>
          <w:i/>
          <w:iCs/>
          <w:sz w:val="24"/>
          <w:szCs w:val="24"/>
          <w:lang w:eastAsia="es-CO"/>
        </w:rPr>
        <w:t>Ingresos de Actividades Ordinarias),</w:t>
      </w:r>
      <w:r w:rsidRPr="00401DFF">
        <w:rPr>
          <w:rFonts w:ascii="Times New Roman" w:eastAsia="Times New Roman" w:hAnsi="Times New Roman" w:cs="Times New Roman"/>
          <w:b/>
          <w:bCs/>
          <w:sz w:val="24"/>
          <w:szCs w:val="24"/>
          <w:lang w:eastAsia="es-CO"/>
        </w:rPr>
        <w:t xml:space="preserve"> así como los costos de transacción y cualquier otra prima o descuento. Se presume que los flujos de efectivo y la vida esperada de un grupo de instrumentos financieros similares pueden ser estimados con fiabilidad. Sin embargo, en aquellos raros casos en que esos flujos de efectivo o la vida esperada de un instrumento financiero (o de un grupo de instrumentos financieros) no puedan ser estimados con fiabilidad, la entidad utilizará </w:t>
      </w:r>
      <w:r w:rsidRPr="00401DFF">
        <w:rPr>
          <w:rFonts w:ascii="Times New Roman" w:eastAsia="Times New Roman" w:hAnsi="Times New Roman" w:cs="Times New Roman"/>
          <w:b/>
          <w:bCs/>
          <w:sz w:val="24"/>
          <w:szCs w:val="24"/>
          <w:lang w:eastAsia="es-CO"/>
        </w:rPr>
        <w:lastRenderedPageBreak/>
        <w:t>los flujos de efectivo contractuales a lo largo del periodo contractual completo del instrumento financiero (o grupo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Costos de transacción</w:t>
      </w:r>
      <w:r w:rsidRPr="00401DFF">
        <w:rPr>
          <w:rFonts w:ascii="Times New Roman" w:eastAsia="Times New Roman" w:hAnsi="Times New Roman" w:cs="Times New Roman"/>
          <w:b/>
          <w:bCs/>
          <w:sz w:val="24"/>
          <w:szCs w:val="24"/>
          <w:lang w:eastAsia="es-CO"/>
        </w:rPr>
        <w:t xml:space="preserve"> son los costos incrementales directamente atribuibles a la adquisición, emisión, o disposición de un activo o pasivo financiero (véase el párrafo GA13 del Apéndice A). Un costo incremental es aquél en el que no se habría incurrido si la entidad no hubiese adquirido, emitido, dispuesto del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relativas a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Compromiso en firme</w:t>
      </w:r>
      <w:r w:rsidRPr="00401DFF">
        <w:rPr>
          <w:rFonts w:ascii="Times New Roman" w:eastAsia="Times New Roman" w:hAnsi="Times New Roman" w:cs="Times New Roman"/>
          <w:b/>
          <w:bCs/>
          <w:sz w:val="24"/>
          <w:szCs w:val="24"/>
          <w:lang w:eastAsia="es-CO"/>
        </w:rPr>
        <w:t xml:space="preserve"> es un acuerdo vinculante para intercambiar una determinada cantidad de recursos a un precio determinado, en una fecha o fechas futuras especificadas.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Transacción prevista </w:t>
      </w:r>
      <w:r w:rsidRPr="00401DFF">
        <w:rPr>
          <w:rFonts w:ascii="Times New Roman" w:eastAsia="Times New Roman" w:hAnsi="Times New Roman" w:cs="Times New Roman"/>
          <w:b/>
          <w:bCs/>
          <w:sz w:val="24"/>
          <w:szCs w:val="24"/>
          <w:lang w:eastAsia="es-CO"/>
        </w:rPr>
        <w:t>es una operación futura anticipada pero no comprometida.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Instrumento de cobertura</w:t>
      </w:r>
      <w:r w:rsidRPr="00401DFF">
        <w:rPr>
          <w:rFonts w:ascii="Times New Roman" w:eastAsia="Times New Roman" w:hAnsi="Times New Roman" w:cs="Times New Roman"/>
          <w:b/>
          <w:bCs/>
          <w:sz w:val="24"/>
          <w:szCs w:val="24"/>
          <w:lang w:eastAsia="es-CO"/>
        </w:rPr>
        <w:t xml:space="preserve"> es un derivado designado o bien (sólo en el caso de la cobertura del riesgo de tasa de cambio) un activo financiero o un pasivo financiero no derivado cuyo valor razonable o flujos de efectivo generados se espera que compensen los cambios en el valor razonable o los flujos de efectivo de la partida cubierta (los párrafos 72 a 77 y los párrafos GA94 a GA97 del Apéndice A desarrollan la definición de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Partida cubierta</w:t>
      </w:r>
      <w:r w:rsidRPr="00401DFF">
        <w:rPr>
          <w:rFonts w:ascii="Times New Roman" w:eastAsia="Times New Roman" w:hAnsi="Times New Roman" w:cs="Times New Roman"/>
          <w:b/>
          <w:bCs/>
          <w:sz w:val="24"/>
          <w:szCs w:val="24"/>
          <w:lang w:eastAsia="es-CO"/>
        </w:rPr>
        <w:t xml:space="preserve"> es un activo, un pasivo, un compromiso en firme, una transacción prevista altamente probable o una inversión neta en un negocio en el extranjero que (a) expone a la entidad al riesgo de cambio en el valor razonable o en los flujos de efectivo futuros, y (b) es designada para ser cubierta (los párrafos 78 a 84 y los párrafos GA98 a GA101 del Apéndice A desarrollan la definición de 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Eficacia de la cobertura</w:t>
      </w:r>
      <w:r w:rsidRPr="00401DFF">
        <w:rPr>
          <w:rFonts w:ascii="Times New Roman" w:eastAsia="Times New Roman" w:hAnsi="Times New Roman" w:cs="Times New Roman"/>
          <w:b/>
          <w:bCs/>
          <w:sz w:val="24"/>
          <w:szCs w:val="24"/>
          <w:lang w:eastAsia="es-CO"/>
        </w:rPr>
        <w:t xml:space="preserve"> es el grado en el que los cambios en el valor razonable o en los flujos de efectivo de la partida cubierta, directamente atribuibles al riesgo cubierto, se compensan con los cambios en el valor razonable o en los flujos de efectivo del instrumento de cobertura (véanse los párrafos GA105 a GA113 del 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10-57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Deterioro del valor e incobrabilidad de activos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58 Una entidad evaluará al final de cada periodo sobre el que se informa si existe evidencia objetiva de que un activo financiero o un grupo de ellos medidos al costo amortizado esté deteriorado. Si existe cualquier evidencia, la entidad aplicará el párrafo 63 para determinar el importe de las pérdidas por deterioro de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59 Un activo financiero o un grupo de ellos estará deteriorado, y se habrá producido una pérdida por deterioro del valor si, y solo si, existe evidencia objetiva del deterioro como consecuencia de uno o más eventos que hayan ocurrido después del reconocimiento inicial del activo (un ‘evento que causa la pérdida’) y ese evento o eventos causantes de la pérdida tienen un impacto sobre los flujos de efectivo futuros estimados del activo financiero o del grupo de ellos, que pueda ser estimado con fiabilidad. La identificación de un único evento que individualmente sea la causa del deterioro podría ser imposible. Más bien, el deterioro podría haber sido causado por el efecto combinado de diversos eventos. Las pérdidas esperadas como resultado de eventos futuros, sea cual fuere su probabilidad, no se reconocerán. La evidencia objetiva de que un activo o un grupo de activos están deteriorados incluye la información observable que requiera la atención del tenedor del activo sobre los siguientes eventos que causan la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dificultades financieras significativas del emisor o del obligado;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infracciones de las cláusulas contractuales, tales como incumplimientos o moras en el pago de los intereses o el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prestamista, por razones económicas o legales relacionadas con dificultades financieras del prestatario, le otorga concesiones o ventajas que no habría otorgado bajo otras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es probable que el prestatario entre en quiebra o en otra forma de reorganización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desaparición de un mercado activo para el activo financiero en cuestión, debido a dificultades financieras;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los datos observables indican que desde el reconocimiento inicial de un grupo de activos financieros existe una disminución medible en sus flujos futuros estimados de efectivo, aunque no pueda todavía identificársela con activos financieros individuales del grupo, incluyendo entre tales 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cambios adversos en el estado de los pagos de los prestatarios incluidos en el grupo (por ejemplo, un número creciente de retrasos en los pagos o un número creciente de prestatarios por tarjetas de crédito que han alcanzado su límite de crédito y están pagando el importe mensual mínimo);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condiciones económicas locales o nacionales que se correlacionen con incumplimientos en los activos del grupo (por ejemplo, un incremento en la tasa de desempleo en el área geográfica de los prestatarios, un descenso en el precio de las propiedades hipotecadas en el área relevante, un descenso en los precios del petróleo para préstamos concedidos a productores de petróleo, o cambios adversos en las condiciones del sector que afecten a los prestatarios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60 La desaparición de un mercado activo debido a la discontinuación de la comercialización pública de los instrumentos financieros de una entidad no es por sí sola una evidencia de deterioro del valor. La rebaja en la calificación crediticia de una entidad tampoco es, por sí sola, una evidencia de pérdida del valor, aunque puede ser indicativa del deterioro cuando se la considere junto con otra información disponible. Un descenso del valor razonable de un activo financiero por debajo de su costo o costo amortizado, no es necesariamente evidencia de deterioro del valor (por ejemplo, un descenso en el valor razonable de un instrumento de deuda como consecuencia de un incremento en la tasa de interés libre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En algunos casos, los datos observables que se requieren para la estimación del importe de la pérdida por deterioro del valor de un activo financiero, pueden ser muy limitados o haber dejado de ser completamente relevantes en las actuales circunstancias. Este puede ser el caso, por ejemplo, cuando un prestatario esté en dificultades financieras y existan escasos datos históricos disponibles relativos a prestatarios similares. En tales casos, una entidad utilizará su juicio experto para estimar el importe de cualquier pérdida por deterioro del valor. De forma similar, una entidad utilizará su juicio experto para ajustar los datos observables de un grupo de activos financieros para que reflejen las actuales circunstancias (véase el párrafo GA89). La utilización de estimaciones razonables es una parte esencial de la elaboración de los estados financieros, y no menoscaba su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Cuando exista evidencia objetiva de que se ha incurrido en una pérdida por deterioro del valor en activos financieros medidos al costo amortizado, el importe de la pérdida se medirá como la diferencia entre el importe en libros del activo y el valor presente de los flujos de efectivo futuros estimados (excluyendo las pérdidas crediticias futuras en las que no se haya incurrido), descontados con la tasa de interés efectiva original del activo financiero (es decir, la tasa de interés efectiva computada en el momento del reconocimiento inicial). El importe en libros del activo se reducirá directamente, o mediante una cuenta correctora. El importe de la pérdida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Una entidad evaluará primero si existe evidencia objetiva individual de deterioro del valor para activos financieros que sean individualmente significativos, e individual o colectivamente para activos financieros que no sean individualmente significativos (véase el párrafo 59). Si una entidad determina que no existe evidencia objetiva de deterioro del valor para un activo financiero que haya evaluado individualmente, ya sea significativo o no, incluirá al activo en un grupo de activos financieros con similares características de riesgo de crédito, y evaluará su deterioro de valor de forma colectiva. Los activos que hayan sido individualmente evaluados por deterioro y para los cuales se haya reconocido o se continúe reconociendo una pérdida por deterioro, no se incluirán en la evaluación colectiva del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65 Si, en periodos posteriores, el importe de la pérdida por deterioro del valor disminuyese y la disminución pudiera ser objetivamente relacionada con un evento posterior al reconocimiento del deterioro (tal como una mejora en la calificación </w:t>
      </w:r>
      <w:r w:rsidRPr="00401DFF">
        <w:rPr>
          <w:rFonts w:ascii="Times New Roman" w:eastAsia="Times New Roman" w:hAnsi="Times New Roman" w:cs="Times New Roman"/>
          <w:b/>
          <w:bCs/>
          <w:sz w:val="24"/>
          <w:szCs w:val="24"/>
          <w:lang w:eastAsia="es-CO"/>
        </w:rPr>
        <w:lastRenderedPageBreak/>
        <w:t>crediticia del deudor), la pérdida por deterioro reconocida previamente será revertida, ya sea directamente o mediante el ajuste de la cuenta correctora que se haya utilizado.</w:t>
      </w:r>
      <w:r w:rsidRPr="00401DFF">
        <w:rPr>
          <w:rFonts w:ascii="Times New Roman" w:eastAsia="Times New Roman" w:hAnsi="Times New Roman" w:cs="Times New Roman"/>
          <w:sz w:val="24"/>
          <w:szCs w:val="24"/>
          <w:lang w:eastAsia="es-CO"/>
        </w:rPr>
        <w:t>La reversión no dará lugar a un importe en libros del activo financiero que exceda al costo amortizado que habría sido determinado si no se hubiese contabilizado la pérdida por deterioro del valor en la fecha de reversión.</w:t>
      </w:r>
      <w:r w:rsidRPr="00401DFF">
        <w:rPr>
          <w:rFonts w:ascii="Times New Roman" w:eastAsia="Times New Roman" w:hAnsi="Times New Roman" w:cs="Times New Roman"/>
          <w:b/>
          <w:bCs/>
          <w:sz w:val="24"/>
          <w:szCs w:val="24"/>
          <w:lang w:eastAsia="es-CO"/>
        </w:rPr>
        <w:t>El importe de la reversión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66-70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71 Si existiese una relación de cobertura entre un instrumento de cobertura y una partida cubierta, tal como se describe en los párrafos 85 a 88 y en los párrafos GA102 a GA104 del Apéndice A, la contabilización de la ganancia o pérdida del instrumento de cobertura y de la partida cubierta seguirá lo establecido en los párrafos 89 a 102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que cumplen los requisitos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 Esta Norma no limita las circunstancias en las que un derivado puede ser designado como instrumento de cobertura, siempre que se cumplan las condiciones del párrafo 88, salvo en el caso de ciertas opciones emitidas (véase el párrafo GA94 del apéndice A). Sin embargo, un activo o un pasivo financieros que no sean derivados, sólo pueden designarse como instrumento de cobertura en el caso de cobertura de riesgo en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Para los propósitos de la contabilidad de coberturas, solo los instrumentos que involucren a una parte externa a la entidad que informa (es decir, externa al grupo o entidad individual sobre la que se está informando) pueden ser designados como instrumentos de cobertura. Aunque las entidades individuales dentro de un grupo consolidado o las divisiones de una entidad puedan realizar operaciones de cobertura con otras entidades dentro del grupo o divisiones de la entidad, cualquiera de dichas transacciones intragrupo se eliminará en la consolidación. Por ello, estas operaciones de cobertura no cumplen los requisitos para la contabilidad de coberturas en los estados financieros consolidados del grupo. Sin embargo, pueden cumplir los requisitos para la contabilidad de coberturas en los estados financieros separados o individuales de entidades individuales dentro del grupo, siempre que sean externos a la entidad individual sobre la que se esté informando.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instrumentos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Normalmente existe una única medida del valor razonable para cada instrumento de cobertura en su totalidad, y los factores que causan los cambios en dicho valor son codependientes. Así, una relación de cobertura se designa por la entidad para un instrumento de cobertura en su totalidad. Las únicas excepciones permitidas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separación del valor intrínseco y del valor temporal de un contrato de opción, y la designación como instrumento de cobertura del cambio en el valor intrínseco de una opción, mientras que se excluye el cambio en el valor temporal;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separación del componente de interés y el precio de contado en un contrato a término.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Estas excepciones se permiten porque el valor intrínseco en una opción y el valor de la prima de un contrato a término pueden, por lo general, ser medidos de forma separada. Una estrategia de cobertura dinámica que valore tanto el valor intrínseco como el valor temporal de un contrato de opción, puede cumplir con los requisitos para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75 Una proporción de un instrumento de cobertura completo, tal como el 50 por ciento del importe nocional, puede ser designada como instrumento de cobertura en una relación de cobertura. Sin embargo, una relación de cobertura no puede ser designada sólo para una parte del periodo durante el cual el instrumento de cobertura permanece emitido.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Un instrumento de cobertura único puede ser designado como cobertura de más de una clase de riesgo siempre que (a) los riesgos cubiertos puedan ser identificados claramente; (b) la eficacia de la cobertura puede ser demostrada; y (c) sea posible asegurar que existe una designación específica del instrumento de cobertura y de las diferentes posiciones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77 Dos o más derivados, o proporciones de ellos (o, en el caso de una cobertura del riesgo de cambio, dos o más partidas que no sean derivados, o proporciones de ellas, o una combinación de derivados y no derivados, o bien proporciones de unos y otros) pueden ser considerados en combinación y designarse conjuntamente como instrumentos de cobertura, incluyendo el caso en que los riesgos de unos derivados compensen los procedentes de otros. Sin embargo, un contrato que asegure unas tasas de interés máxima y mínima, u otro instrumento derivado que combine una opción emitida y una comprada, no cumplirá los requisitos como instrumento de cobertura si se trata, efectivamente, de una opción emitida neta (por la cual se recibe una prima neta). De forma similar, pueden designarse dos o más instrumentos (o proporciones de los mismos) como instrumentos de cobertura, pero sólo si ninguno de ellos es una opción emitida o una opción emitida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que cumplen los requisitos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78 Una partida cubierta puede ser un activo o pasivo reconocido, un compromiso en firme no reconocido, una transacción prevista altamente probable o una inversión neta en un negocio en el extranjero. Por otra parte, la partida cubierta puede ser (a) un único activo o pasivo, compromiso firme, transacción prevista altamente probable o inversión neta en un negocio en el extranjero (b) un grupo de activos, pasivos, compromisos firmes, transacciones previstas altamente probables o inversiones netas en negocios extranjeros con similares características de riesgo; o (c) en una cartera que cubre el riesgo de tasa de </w:t>
      </w:r>
      <w:r w:rsidRPr="00401DFF">
        <w:rPr>
          <w:rFonts w:ascii="Times New Roman" w:eastAsia="Times New Roman" w:hAnsi="Times New Roman" w:cs="Times New Roman"/>
          <w:sz w:val="24"/>
          <w:szCs w:val="24"/>
          <w:lang w:eastAsia="es-CO"/>
        </w:rPr>
        <w:lastRenderedPageBreak/>
        <w:t>interés, una porción de la cartera de activos o pasivos financieros que compartan el riesgo que se está cubriendo.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80 Para los propósitos de la contabilidad de coberturas, sólo podrán ser designados como partidas cubiertas, los activos, pasivos, compromisos firmes o las transacciones previstas altamente probables que impliquen a una parte externa a la entidad. Esto supone que la contabilidad de coberturas puede ser aplicada a transacciones entre entidades dentro del mismo grupo sólo en el caso de estados financieros separados o individuales de esas entidades pero no en los estados financieros consolidados del grupo. Como excepción, el riesgo de tasa de cambio de un elemento monetario intragrupo (por ejemplo, una partida por cobrar o pagar entre dos subsidiarias) puede cumplir los requisitos como partida cubierta en los estados financieros consolidados si provoca una exposición a las ganancias o pérdidas por tasa de cambio que no son completamente eliminadas en la consolidación de acuerdo con la NIC 21 </w:t>
      </w:r>
      <w:r w:rsidRPr="00401DFF">
        <w:rPr>
          <w:rFonts w:ascii="Times New Roman" w:eastAsia="Times New Roman" w:hAnsi="Times New Roman" w:cs="Times New Roman"/>
          <w:i/>
          <w:iCs/>
          <w:sz w:val="24"/>
          <w:szCs w:val="24"/>
          <w:lang w:eastAsia="es-CO"/>
        </w:rPr>
        <w:t>Efectos de las Variaciones en las Tasas de Cambio de la Moneda Extranjera</w:t>
      </w:r>
      <w:r w:rsidRPr="00401DFF">
        <w:rPr>
          <w:rFonts w:ascii="Times New Roman" w:eastAsia="Times New Roman" w:hAnsi="Times New Roman" w:cs="Times New Roman"/>
          <w:sz w:val="24"/>
          <w:szCs w:val="24"/>
          <w:lang w:eastAsia="es-CO"/>
        </w:rPr>
        <w:t>. De acuerdo con ésta, las ganancias o pérdidas de cambio causadas por elementos monetarios intragrupo no quedan completamente eliminadas en la consolidación cuando la partida monetaria intragrupo resulte de una transacción entre dos entidades del grupo que tengan monedas funcionales diferentes. Además, el riesgo de tasa de cambio en transacciones intragrupo previstas que sean altamente probables, podría cumplir los requisitos para ser una partida cubierta en los estados financieros consolidados siempre que la transacción se haya denominado en una moneda distinta a la funcional de la entidad que la haya realizado y que el riesgo de tasa de cambio afecte al resultado consolidado.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partidas financieras como 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Si la partida cubierta es un activo o un pasivo financiero, puede ser una partida cubierta con respecto a los riesgos que estén asociados únicamente con una porción de los flujos de efectivo o del valor razonable (tales como uno o más flujos de efectivo contractuales seleccionados o porciones de ellos o un porcentaje del valor razonable) siempre que la eficacia de la cobertura pueda medirse. Por ejemplo, puede designarse como riesgo cubierto una porción identificable, y medible de forma separada, de la exposición a la tasa de interés de un activo o pasivo que acumula (devenga) intereses (por ejemplo, puede designarse la tasa de interés libre de riesgo, o bien un componente de la tasa de interés de referencia, dentro de la exposición total a la tasa de interés de un instrumento financiero cubierto).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81A En una cobertura del valor razonable de la exposición a la tasa de interés de una cartera de activos o pasivos financieros (y sólo para esta forma de cobertura), la porción cubierta podrá designarse en términos de un importe monetario (por ejemplo un importe en dólares, euros, libras o rands), y no en términos de activos (o pasivos) individuales. Aunque la cartera en cuestión pueda incluir, a los fines de gestión del riesgo, tanto activos como pasivos, el importe designado será un importe de activos o de pasivos. No está permitida la designación de un importe neto que incluya activos y pasivos. La entidad puede cubrir una cartera de riesgo de tasa de interés que esté asociada con el importe designado. Por ejemplo, en el caso de la cobertura de una cartera que contenga activos con posibilidad de pago anticipado, la entidad podría cubrir el cambio en el valor razonable, que sea atribuible </w:t>
      </w:r>
      <w:r w:rsidRPr="00401DFF">
        <w:rPr>
          <w:rFonts w:ascii="Times New Roman" w:eastAsia="Times New Roman" w:hAnsi="Times New Roman" w:cs="Times New Roman"/>
          <w:sz w:val="24"/>
          <w:szCs w:val="24"/>
          <w:lang w:eastAsia="es-CO"/>
        </w:rPr>
        <w:lastRenderedPageBreak/>
        <w:t>a los cambios en la tasa de interés cubierta, considerando las fechas esperadas de revisión de los intereses y no las fechas contractuales. Cuando la porción cubierta esté basada en las fechas de revisión esperadas, el efecto que los cambios en los intereses cubiertos tengan en esas fechas de revisión, será incluido en la determinación del cambio en el valor razonable de la partida cubierta. En consecuencia, si una cartera, que contenga partidas con posibilidad de pagos anticipados se cubre con un derivado que no admita tal posibilidad, aparecerá ineficacia siempre que se produzca un cambio en las fechas esperadas de los pagos anticipados o cuando las fechas reales de pago difieran de las que se hubieran previsto.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partidas no financieras como 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82 Si la partida cubierta es un activo o un pasivo no financiero, será designado como partida cubierta, (a) por los riesgos asociados con las monedas extranjeras, o bien (b) por todos los riesgos que soporte, debido a la dificultad de aislar y medir de manera adecuada los cambios en los flujos de efectivo o en el valor razonable, atribuibles a riesgos específicos distintos de los relacionados con las monedas extranjeras.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grupos de elementos como 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Los activos y pasivos similares sólo serán agregados y cubiertos en grupo cuando compartan la exposición al riesgo que está designado como cubierto. Además, debe esperarse que el cambio en el valor razonable atribuible al riesgo cubierto para cada partida individual en el grupo sea aproximadamente proporcional al cambio total en el valor razonable que sea atribuible al riesgo cubierto del grupo de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Dado que la entidad evalúa la eficacia de una cobertura comparando el cambio en el valor razonable o en el flujo de efectivo del instrumento de cobertura (o grupo de instrumentos de cobertura similares) y de la partida cubierta (o grupo de partidas cubiertas similares), los requisitos de la contabilidad de coberturas no se cumplen si la comparación del instrumento de cobertura se realiza con la posición neta general (por ejemplo, el neto de todos los activos y pasivos de renta fija con vencimiento similar) en lugar de hacerlo con una partida cubierta específica.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En la contabilidad de coberturas se reconoce, en el resultado del periodo, el efecto de la compensación de los cambios en los valores razonables de los instrumentos de cobertura y de las partidas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86 Las relaciones de cobertura son de tres clases: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w:t>
      </w:r>
      <w:r w:rsidRPr="00401DFF">
        <w:rPr>
          <w:rFonts w:ascii="Times New Roman" w:eastAsia="Times New Roman" w:hAnsi="Times New Roman" w:cs="Times New Roman"/>
          <w:b/>
          <w:bCs/>
          <w:i/>
          <w:iCs/>
          <w:sz w:val="24"/>
          <w:szCs w:val="24"/>
          <w:lang w:eastAsia="es-CO"/>
        </w:rPr>
        <w:t>cobertura del valor razonable:</w:t>
      </w:r>
      <w:r w:rsidRPr="00401DFF">
        <w:rPr>
          <w:rFonts w:ascii="Times New Roman" w:eastAsia="Times New Roman" w:hAnsi="Times New Roman" w:cs="Times New Roman"/>
          <w:b/>
          <w:bCs/>
          <w:sz w:val="24"/>
          <w:szCs w:val="24"/>
          <w:lang w:eastAsia="es-CO"/>
        </w:rPr>
        <w:t xml:space="preserve"> es una cobertura de la exposición a los cambios en el valor razonable de activos o pasivos reconocidos o de compromisos en firme no reconocidos, o bien de una porción identificada de dichos activos, pasivos o </w:t>
      </w:r>
      <w:r w:rsidRPr="00401DFF">
        <w:rPr>
          <w:rFonts w:ascii="Times New Roman" w:eastAsia="Times New Roman" w:hAnsi="Times New Roman" w:cs="Times New Roman"/>
          <w:b/>
          <w:bCs/>
          <w:sz w:val="24"/>
          <w:szCs w:val="24"/>
          <w:lang w:eastAsia="es-CO"/>
        </w:rPr>
        <w:lastRenderedPageBreak/>
        <w:t>compromisos en firme, que puede atribuirse a un riesgo en particular y puede afectar al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w:t>
      </w:r>
      <w:r w:rsidRPr="00401DFF">
        <w:rPr>
          <w:rFonts w:ascii="Times New Roman" w:eastAsia="Times New Roman" w:hAnsi="Times New Roman" w:cs="Times New Roman"/>
          <w:b/>
          <w:bCs/>
          <w:i/>
          <w:iCs/>
          <w:sz w:val="24"/>
          <w:szCs w:val="24"/>
          <w:lang w:eastAsia="es-CO"/>
        </w:rPr>
        <w:t>cobertura del flujo de efectivo:</w:t>
      </w:r>
      <w:r w:rsidRPr="00401DFF">
        <w:rPr>
          <w:rFonts w:ascii="Times New Roman" w:eastAsia="Times New Roman" w:hAnsi="Times New Roman" w:cs="Times New Roman"/>
          <w:b/>
          <w:bCs/>
          <w:sz w:val="24"/>
          <w:szCs w:val="24"/>
          <w:lang w:eastAsia="es-CO"/>
        </w:rPr>
        <w:t xml:space="preserve"> es una cobertura de la exposición a la variación de los flujos de efectivo que (i) se atribuye a un riesgo particular asociado con un activo o pasivo reconocido (como la totalidad o algunos de los pagos futuros de interés de una deuda a interés variable), o a una transacción prevista altamente probable, y que (ii) puede afectar al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w:t>
      </w:r>
      <w:r w:rsidRPr="00401DFF">
        <w:rPr>
          <w:rFonts w:ascii="Times New Roman" w:eastAsia="Times New Roman" w:hAnsi="Times New Roman" w:cs="Times New Roman"/>
          <w:b/>
          <w:bCs/>
          <w:i/>
          <w:iCs/>
          <w:sz w:val="24"/>
          <w:szCs w:val="24"/>
          <w:lang w:eastAsia="es-CO"/>
        </w:rPr>
        <w:t>cobertura de la inversión neta en un negocio en el extranjero</w:t>
      </w:r>
      <w:r w:rsidRPr="00401DFF">
        <w:rPr>
          <w:rFonts w:ascii="Times New Roman" w:eastAsia="Times New Roman" w:hAnsi="Times New Roman" w:cs="Times New Roman"/>
          <w:b/>
          <w:bCs/>
          <w:sz w:val="24"/>
          <w:szCs w:val="24"/>
          <w:lang w:eastAsia="es-CO"/>
        </w:rPr>
        <w:t xml:space="preserve"> tal como se define en la NIC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La cobertura del riesgo de moneda extranjera de un compromiso en firme puede ser contabilizada como una cobertura del valor razonable o como una del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88 Una relación de cobertura cumplirá los requisitos para ser contabilizada de acuerdo con lo establecido en los párrafos 89 a 102, si y sólo si, se cumplen todas las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Al inicio de la cobertura, existe una designación y una documentación formales de la relación de cobertura y del objetivo y estrategia de gestión del riesgo de la entidad para emprender la cobertura. Esa documentación incluirá la identificación del instrumento de cobertura, de la partida cubierta o transacción, de la naturaleza del riesgo que se está cubriendo y de la forma en que la entidad medirá la eficacia del instrumento de cobertura para compensar la exposición a los cambios en el valor razonable de la partida cubierta o a los cambios en los flujos de efectivo atribuibles al riesgo cubierto.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espera que la cobertura sea altamente eficaz (véanse los párrafos GA105 a GA113 del Apéndice A) en la consecución de la compensación de los cambios en el valor razonable o en los flujos de efectivo atribuibles al riesgo cubierto, de manera congruente con la estrategia de gestión del riesgo para tal relación de cobertura en particular que se haya documentado inicialmente.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Para las coberturas del flujo de efectivo, la transacción prevista que es objeto de la cobertura, deberá ser altamente probable y presentar además una exposición a las variaciones en los flujos de efectivo que podrían, a la postre, afectar los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La eficacia de la cobertura puede medirse con fiabilidad, es decir el valor razonable o los flujos de efectivo de la partida cubierta que son atribuibles al riesgo cubierto y el valor razonable del instrumento de cobertura pueden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 cobertura se evalúa en un contexto de negocio en marcha, y realmente se puede concluir que ha sido altamente eficaz a lo largo de todos los periodos para los cuales ha sido designada.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Coberturas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89 Si una cobertura del valor razonable cumple, durante el periodo, con los requisitos establecidos en el párrafo 88, se contabilizará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ganancia o pérdida procedente de volver a medir el instrumento de cobertura al valor razonable (en el caso de un derivado que sea instrumento de cobertura) o del componente de moneda extranjera medido de acuerdo con la NIC 21 (en el caso de un instrumento de cobertura que no sea un derivado) se reconocerá en el resultado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ganancia o pérdida de la partida cubierta atribuible al riesgo cubierto ajustará el importe en libros de la partida cubierta y se reconocerá en el resultado del periodo. Esto se aplicará incluso si la partida cubierta se midiese al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89A En el caso de una cobertura del valor razonable de la exposición a la tasa de interés de una porción de una cartera de activos o pasivos financieros (y sólo para esta forma de cobertura), el requisito del apartado (b) del párrafo 89 puede cumplirse presentando la ganancia o pérdida atribuible a la partida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una única línea que contenga un partida separada dentro de los activos, para aquéllos periodos de revisión de intereses en los que la partida cubierta sea un activo;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una única línea que contenga una partida separada dentro de los pasivos, para aquéllos periodos de revisión de intereses en los que la partida cubierta sea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partidas separadas referidas en los apartados (a) y (b) anteriores, se presentarán junto a los activos financieros o los pasivos financieros. Los importes que se hayan incluido en estas partidas se eliminarán del estado de situación financiera cuando los activos o pasivos con los que se relacionan sean dados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 Cuando sólo se cubran riesgos particulares atribuibles a una partida cubierta, los cambios reconocidos en su valor razonable de la partida cubierta, que no se relacionen con el riesgo cubierto, se reconocerán de acuerdo con lo establecido en el párrafo 5.7.1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91 Una entidad interrumpirá de forma prospectiva la contabilidad de coberturas especificada en el párrafo 89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instrumento de cobertura expirase, fuese vendido, resuelto o ejercido (a este efecto, la sustitución o la renovación sucesiva de un instrumento de cobertura por otro no es una expiración o resolución si dicha sustitución o renovación es parte de la estrategia de cobertura documentada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cobertura dejase de cumplir los criterios del párrafo 88 para la contabilidad de coberturas;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 la entidad revocase la designación.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92 Cualquier ajuste que se derive de lo dispuesto en el apartado (b) del párrafo 89, en el importe en libros de un instrumento financiero cubierto que se lleve el método de la tasas de interés efectiva (o, en el caso de una cartera que cubre el riesgo de tasa de interés, en la partida separada del estado de situación financiera descrita en el párrafo 89A) se amortizará contra el resultado del periodo. La amortización podrá empezar tan pronto como se realice el ajuste, y deberá comenzar no después del momento en que la partida cubierta deje de ser ajustada por los cambios en el valor razonable que sean atribuibles al riesgo cubierto.</w:t>
      </w:r>
      <w:r w:rsidRPr="00401DFF">
        <w:rPr>
          <w:rFonts w:ascii="Times New Roman" w:eastAsia="Times New Roman" w:hAnsi="Times New Roman" w:cs="Times New Roman"/>
          <w:sz w:val="24"/>
          <w:szCs w:val="24"/>
          <w:lang w:eastAsia="es-CO"/>
        </w:rPr>
        <w:t xml:space="preserve">El ajuste estará basado en la tasa de interés efectiva, recalculada en la fecha que comience la amortización. </w:t>
      </w:r>
      <w:r w:rsidRPr="00401DFF">
        <w:rPr>
          <w:rFonts w:ascii="Times New Roman" w:eastAsia="Times New Roman" w:hAnsi="Times New Roman" w:cs="Times New Roman"/>
          <w:b/>
          <w:bCs/>
          <w:sz w:val="24"/>
          <w:szCs w:val="24"/>
          <w:lang w:eastAsia="es-CO"/>
        </w:rPr>
        <w:t>No obstante, cuando se trate de una cobertura del valor razonable de la exposición a la tasa de interés de una cartera de activos o pasivos financieros (y sólo para esta forma de cobertura) y la amortización utilizando una tasa de interés efectiva recalculada sea impracticable, el ajuste será amortizado utilizando un método lineal. En todo caso, los ajustes quedarán amortizados totalmente al vencimiento del instrumento financiero o bien, en el caso de una cartera que cubre el riesgo de tasa de interés, a la expiración del periodo de revisión de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93 Cuando un compromiso en firme no reconocido se designe como partida cubierta, el cambio posterior acumulativo en el valor razonable del mismo, que sea atribuible al riesgo cubierto, se reconocerá como un activo o pasivo con su correspondiente ganancia o pérdida reconocida en el resultado del periodo [véase el apartado (b) del párrafo 89]. Los cambios en el valor razonable del instrumento de cobertura también serán reconocidos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Cuando una entidad suscriba un compromiso en firme para adquirir un activo o asumir un pasivo que sea una partida cubierta, dentro de una cobertura del valor razonable, el importe en libros inicial del activo o pasivo que resulte del cumplimiento por parte de la entidad del compromiso en firme, se ajustará para incluir el cambio acumulado en el valor razonable de dicho compromiso que sea atribuible al riesgo cubierto que fue reconocido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Coberturas de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95 Cuando una cobertura del flujo de efectivo cumpla, durante el periodo, las condiciones establecidas en el párrafo 88, se la contabilizará de la manera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parte de la ganancia o pérdida del instrumento de cobertura que se determina que es una cobertura eficaz (véase párrafo 88) se reconocerá en otro resultado integral;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parte ineficaz de la ganancia o pérdida del instrumento de cobertura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Más específicamente, una cobertura del flujo de efectivo se contabilizará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El componente separado de patrimonio asociado con la partida cubierta se ajustará para que sea igual (en términos absolutos) al importe que sea menor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resultado acumulado del instrumento de cobertura desde el inicio de la cobertura;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cambio acumulado en el valor razonable (valor presente) de los flujos de efectivo futuros esperados de la partida cubierta, desde el inicio de la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ganancia o pérdida restante del instrumento de cobertura o del componente designado del mismo (que no constituye una cobertura eficaz) se reconocerá en el resultado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estrategia de gestión del riesgo, documentada por la entidad para una relación de cobertura particular, excluyese de la evaluación de la eficacia de la cobertura a un componente específico de la ganancia o pérdida o a flujos de efectivo relacionados del instrumento de cobertura [véanse los párrafos 74 y 75 y el párrafo 88(a)], ese componente excluido de la ganancia o pérdida se reconocerá de acuerdo con el párrafo 5.7.1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97 Si la cobertura de una transacción prevista diese lugar posteriormente al reconocimiento de un activo financiero o un pasivo financiero, las pérdidas o ganancias asociadas que hubieran sido reconocidas en otro resultado integral de acuerdo con lo establecido en el párrafo 95, se reclasificarán del patrimonio al resultado del periodo como un ajuste de reclasificación [véase la NIC 1 (revisada en 2007)] en el mismo periodo o periodos durante los cuales los flujos de efectivo previstos cubiertos afecten al resultado del periodo (tales como los periodos en los que se reconoce el ingreso o el gasto por intereses). Sin embargo, si una entidad espera que la totalidad o una parte de una pérdida reconocida en otro resultado integral no vaya a ser recuperada en uno o más periodos futuros, el importe que no se espere recuperar se reclasificará en el resultado del periodo como un ajuste de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98 Si la cobertura de una transacción prevista diese lugar posteriormente al reconocimiento de un activo o un pasivo no financiero, o bien si una transacción prevista para un activo o un pasivo no financiero se convirtiese en un compromiso en firme al que le sea aplicase la contabilidad de la cobertura del valor razonable, la entidad adoptará alguna de las siguientes alternativas: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Reclasificará las ganancias o pérdidas asociadas que se hubieran reconocido en otro resultado integral de acuerdo con el párrafo 95, llevándolas al resultado como un ajuste de reclasificación [véase la NIC 1 (revisada en 2007)] del mismo periodo o periodos durante los cuales el activo adquirido o el pasivo asumido afecte al resultado (tal como en los periodos en los que se reconozca el gasto por depreciación o el costo de las ventas). Sin embargo, si una entidad espera que la totalidad o una parte de una pérdida reconocida en otro resultado integral no vaya a ser recuperada en uno o más periodos futuros, el importe que no se espere recuperar se reclasificará del patrimonio al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Dará de baja las pérdidas o ganancias relacionadas que se hubieran reconocido en otro resultado integral de acuerdo con el párrafo 95 y las incluirá en el costo inicial o en el importe en libros del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99 Una entidad adoptará como política contable uno de los tratamientos indicados en los apartados (a) y (b) del párrafo 98, y la aplicará uniformemente para todas las coberturas a las que se refiere el párrafo 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100 Para las coberturas de flujos de efectivo distintas de las cubiertas por los párrafos 97 y 98, los importes que habían sido reconocidos en otro resultado integral, se reclasificarán del patrimonio al resultado del periodo como un ajuste por reclasificación [véase la NIC 1 (revisada en 2007)] en el mismo periodo o periodos durante los cuales los flujos de efectivo previstos cubiertos afecten al resultado del periodo (por ejemplo, cuando tenga lugar una venta prevista).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101 En cualquiera de las siguientes circunstancias una entidad interrumpirá la contabilidad de coberturas de forma prospectiva, según lo especificado en los párrafos 95 a 100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instrumento de cobertura expira, o es vendido, resuelto o ejercido (a estos efectos, la sustitución o la renovación sucesiva de un instrumento de cobertura por otro instrumento de cobertura no se considerará como expiración o resolución, siempre que dicha sustitución o renovación sea parte de la estrategia de cobertura documentada por la entidad). En este caso, la ganancia o pérdida acumulada del instrumento de cobertura que haya sido reconocida en otro resultado integral desde el periodo en que la cobertura fue eficaz [véase el párrafo 95(a)] continuará de manera separada en el patrimonio hasta que la transacción prevista tenga lugar. Cuando tenga lugar la transacción, se aplicarán los párrafos 97, 98 y 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cobertura deja de cumplir los requisitos establecidos en el párrafo 88 para la contabilidad de coberturas. En este caso, la ganancia o pérdida acumulada del instrumento de cobertura que haya sido reconocida en otro resultado integral desde el periodo en que la cobertura fue eficaz [véase el párrafo 95(a)] continuará de manera separada en el patrimonio hasta que la transacción prevista tenga lugar. Cuando tenga lugar la transacción, se aplicarán los párrafos 97, 98 y 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Ya no se espera que la transacción prevista ocurra, en cuyo caso cualquier ganancia o pérdida acumulada relacionada del instrumento de cobertura que haya sido reconocida en otro resultado integral desde el periodo en que la cobertura fue eficaz [véase el párrafo 95(a)] se reclasificarán del patrimonio al resultado como un ajuste por reclasificación. Una transacción prevista que deja de ser altamente probable [véase el apartado (c) del párrafo 88] puede esperarse todavía que ocurra.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(d) La entidad revoca la designación. En el caso de coberturas de una transacción prevista, la ganancia o pérdida acumulada del instrumento de cobertura que haya sido reconocida en otro resultado integral desde el periodo en que la cobertura fue eficaz [véase el párrafo 95(a)] continuará de manera separada en el patrimonio hasta </w:t>
      </w:r>
      <w:r w:rsidRPr="00401DFF">
        <w:rPr>
          <w:rFonts w:ascii="Times New Roman" w:eastAsia="Times New Roman" w:hAnsi="Times New Roman" w:cs="Times New Roman"/>
          <w:b/>
          <w:bCs/>
          <w:sz w:val="24"/>
          <w:szCs w:val="24"/>
          <w:lang w:eastAsia="es-CO"/>
        </w:rPr>
        <w:lastRenderedPageBreak/>
        <w:t>que la transacción ocurra o deje de esperarse que ocurra. Cuando tenga lugar la transacción, se aplicarán los párrafos 97, 98 y 100. Si deja de esperarse que ocurra la transacción, la ganancia o pérdida acumulada que haya sido reconocido en otro resultado integral se reclasificará del patrimonio al resultado como un ajuste por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Coberturas de una inversión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102 Las coberturas de una inversión neta en un negocio en el extranjero, incluyendo la cobertura de una partida monetaria que se contabilice como parte de una inversión neta (véase la NIC 21), se contabilizarán de manera similar a las coberturas de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parte de la ganancia o pérdida del instrumento de cobertura que se determina que es una cobertura eficaz (véase párrafo 88) se reconocerá en otro resultado integral;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parte ineficaz se reconocerá en 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 disponerse parcial o totalmente de un negocio en el extranjero, la ganancia o pérdida del instrumento de cobertura relacionado con la parte eficaz de la cobertura que ha sido reconocida en otro resultado integral, deberá reclasificarse del patrimonio a resultados como un ajuste por reclasificación [véase NIC 1 (revisada en 2007)] de acuerdo con los párrafos 48 y 49 de la NIC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 Una entidad aplicará esta Norma (incluyendo las modificaciones emitidas en marzo de 2004) en los periodos anuales que comiencen a partir del 1 de enero de 2005. Se permite su aplicación anticipada. Una entidad no aplicará esta Norma (incluyendo las modificaciones emitidas en marzo de 2004) para periodos que comiencen antes del 1 de enero de 2005 a menos que también aplique la NIC 32 (emitida en diciembre de 2003).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103A Una entidad aplicará la modificación en el párrafo 2(j) para los periodos que comiencen a partir del 1 de enero de 2006. Si una entidad aplica la CINIIF 5 </w:t>
      </w:r>
      <w:r w:rsidRPr="00401DFF">
        <w:rPr>
          <w:rFonts w:ascii="Times New Roman" w:eastAsia="Times New Roman" w:hAnsi="Times New Roman" w:cs="Times New Roman"/>
          <w:i/>
          <w:iCs/>
          <w:sz w:val="24"/>
          <w:szCs w:val="24"/>
          <w:lang w:eastAsia="es-CO"/>
        </w:rPr>
        <w:t>Derechos por la Participación en Fondos para el Retiro de Servicio, la Restauración y la Rehabilitación Medioambiental</w:t>
      </w:r>
      <w:r w:rsidRPr="00401DFF">
        <w:rPr>
          <w:rFonts w:ascii="Times New Roman" w:eastAsia="Times New Roman" w:hAnsi="Times New Roman" w:cs="Times New Roman"/>
          <w:sz w:val="24"/>
          <w:szCs w:val="24"/>
          <w:lang w:eastAsia="es-CO"/>
        </w:rPr>
        <w:t xml:space="preserve"> para un periodo anterior, esta modificación deberá ser aplicada a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103B </w:t>
      </w:r>
      <w:r w:rsidRPr="00401DFF">
        <w:rPr>
          <w:rFonts w:ascii="Times New Roman" w:eastAsia="Times New Roman" w:hAnsi="Times New Roman" w:cs="Times New Roman"/>
          <w:i/>
          <w:iCs/>
          <w:sz w:val="24"/>
          <w:szCs w:val="24"/>
          <w:lang w:eastAsia="es-CO"/>
        </w:rPr>
        <w:t>Contratos de Garantía Financiera</w:t>
      </w:r>
      <w:r w:rsidRPr="00401DFF">
        <w:rPr>
          <w:rFonts w:ascii="Times New Roman" w:eastAsia="Times New Roman" w:hAnsi="Times New Roman" w:cs="Times New Roman"/>
          <w:sz w:val="24"/>
          <w:szCs w:val="24"/>
          <w:lang w:eastAsia="es-CO"/>
        </w:rPr>
        <w:t xml:space="preserve"> (Modificaciones a la NIC 39 y la NIIF 4), emitida en agosto de 2005, modificó los párrafos 2(e) y (h), 4, y GA4, añadió el párrafo GA4A, añadió una nueva definición de contratos de garantías financieras, y eliminó el párrafo 3. Una entidad aplicará esas modificaciones a periodos anuales que comiencen a partir del 1 de enero de 2006. Se aconseja su aplicación anticipada. Si una entidad aplica estos cambios </w:t>
      </w:r>
      <w:r w:rsidRPr="00401DFF">
        <w:rPr>
          <w:rFonts w:ascii="Times New Roman" w:eastAsia="Times New Roman" w:hAnsi="Times New Roman" w:cs="Times New Roman"/>
          <w:sz w:val="24"/>
          <w:szCs w:val="24"/>
          <w:lang w:eastAsia="es-CO"/>
        </w:rPr>
        <w:lastRenderedPageBreak/>
        <w:t>para un periodo anterior, revelará ese hecho y al mismo tiempo aplicará las modificaciones relacionadas a la NIC 32</w:t>
      </w:r>
      <w:hyperlink r:id="rId49" w:anchor="bf1024d89c7198f419c8a7785f725e60976nf9" w:tgtFrame="_self" w:history="1">
        <w:r w:rsidRPr="00401DFF">
          <w:rPr>
            <w:rFonts w:ascii="Times New Roman" w:eastAsia="Times New Roman" w:hAnsi="Times New Roman" w:cs="Times New Roman"/>
            <w:color w:val="0000FF"/>
            <w:sz w:val="20"/>
            <w:szCs w:val="20"/>
            <w:u w:val="single"/>
            <w:vertAlign w:val="superscript"/>
            <w:lang w:eastAsia="es-CO"/>
          </w:rPr>
          <w:t>(45)</w:t>
        </w:r>
      </w:hyperlink>
      <w:r w:rsidRPr="00401DFF">
        <w:rPr>
          <w:rFonts w:ascii="Times New Roman" w:eastAsia="Times New Roman" w:hAnsi="Times New Roman" w:cs="Times New Roman"/>
          <w:sz w:val="24"/>
          <w:szCs w:val="24"/>
          <w:lang w:eastAsia="es-CO"/>
        </w:rPr>
        <w:t>y la 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103C La NIC 1 (revisada en 2007) modificó la terminología utilizada en las NIIF. Además modificó los párrafos 95(a), 97, 98, 100, 102, 108 y GA99B.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103D La NIIF 3 (revisada en 2008) eliminó el párrafo 2(f). Una entidad aplicará esa modificación para los periodos anuales que comiencen a partir del 1 de julio de 2009. Cuando una entidad aplique la NIIF 3 (revisada en 2008) a periodos anteriores, la modificación se aplicará también a ellos. Sin embargo, la modificación no se aplicará a contraprestaciones contingentes que surgieron de una combinación de negocios para la que la fecha de adquisición era anterior a la aplicación de la NIIF 3 (revisada en 2008). En su lugar, una entidad contabilizará esta contraprestación de acuerdo con los párrafos 65A a 65E de la NIIF 3 (modificada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103E La NIC 27 (modificada en 2008) modificó el párrafo 102. Una entidad aplicará esa modificación para los periodos anuales que comiencen a partir del 1 de julio de 2009. Si una entidad aplica la NIC 27 (modificada en 2008) a periodos anteriores, las modificaciones se aplicarán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103F Una entidad aplicará las modificaciones del párrafo 2 en los periodos anuales que comiencen a partir del 1 de enero de 2009. Si una entidad aplica a un periodo anterior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Liquidación </w:t>
      </w:r>
      <w:r w:rsidRPr="00401DFF">
        <w:rPr>
          <w:rFonts w:ascii="Times New Roman" w:eastAsia="Times New Roman" w:hAnsi="Times New Roman" w:cs="Times New Roman"/>
          <w:sz w:val="24"/>
          <w:szCs w:val="24"/>
          <w:lang w:eastAsia="es-CO"/>
        </w:rPr>
        <w:t>(Modificaciones a las NIC 32 y NIC 1), emitido en febrero de 2008, las modificaciones del párrafo 2 deberán aplicarse a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103G Una entidad aplicará retroactivamente los párrafos GA99BA, GA99E, GA99F, GA110A y GA110B en los periodos anuales que comiencen a partir del 1 de julio de 2009, de acuerdo con la NIC 8 </w:t>
      </w:r>
      <w:r w:rsidRPr="00401DFF">
        <w:rPr>
          <w:rFonts w:ascii="Times New Roman" w:eastAsia="Times New Roman" w:hAnsi="Times New Roman" w:cs="Times New Roman"/>
          <w:i/>
          <w:iCs/>
          <w:sz w:val="24"/>
          <w:szCs w:val="24"/>
          <w:lang w:eastAsia="es-CO"/>
        </w:rPr>
        <w:t>Políticas Contables, Cambios en Estimaciones Contables y Errores</w:t>
      </w:r>
      <w:r w:rsidRPr="00401DFF">
        <w:rPr>
          <w:rFonts w:ascii="Times New Roman" w:eastAsia="Times New Roman" w:hAnsi="Times New Roman" w:cs="Times New Roman"/>
          <w:sz w:val="24"/>
          <w:szCs w:val="24"/>
          <w:lang w:eastAsia="es-CO"/>
        </w:rPr>
        <w:t xml:space="preserve">. Se permite su aplicación anticipada. Si una entidad aplicase el contenido del documento </w:t>
      </w:r>
      <w:r w:rsidRPr="00401DFF">
        <w:rPr>
          <w:rFonts w:ascii="Times New Roman" w:eastAsia="Times New Roman" w:hAnsi="Times New Roman" w:cs="Times New Roman"/>
          <w:i/>
          <w:iCs/>
          <w:sz w:val="24"/>
          <w:szCs w:val="24"/>
          <w:lang w:eastAsia="es-CO"/>
        </w:rPr>
        <w:t xml:space="preserve">Partidas que Pueden Calificarse como Cubiertas </w:t>
      </w:r>
      <w:r w:rsidRPr="00401DFF">
        <w:rPr>
          <w:rFonts w:ascii="Times New Roman" w:eastAsia="Times New Roman" w:hAnsi="Times New Roman" w:cs="Times New Roman"/>
          <w:sz w:val="24"/>
          <w:szCs w:val="24"/>
          <w:lang w:eastAsia="es-CO"/>
        </w:rPr>
        <w:t>(modificación a la NIC 39) en periodos iniciados con anterioridad al 1 de julio de 2009,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103H-103J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103K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los párrafos 2(g), 97 y 100. Una entidad aplicará las modificaciones a esos párrafos prospectivamente a todos los contratos que no hayan vencido en los periodos anuales que comiencen a partir del 1 de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103L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103M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103N El párrafo 103D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 modificación para los periodos anuales que comiencen a partir del 1 de julio de 2010.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103O La NIIF emitida en octubre de 2010 modificó los párrafos 2, 4, 8, 9, 58, 63, 88(d), 89(b), 90, 96(c), 103B, 103C, 103K, 104, 108C, GA3 a GA4, GA8, GA84, GA95, GA114(a) y GA118(b) y eliminó los párrafos 1, 10 a 57, 61, 66 a 70, 79, 103H a 103J, 103L, 103M, 105 a 107A, GA4B a GA4K, GA9 a GA12A, GA14 a GA15, GA27 a GA83 y GA96.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103P La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los párrafos 2(a), 15, GA3, GA36 a GA38 y GA4I(a).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103Q La NIIF 13, emitida en mayo de 2011, modificó los párrafos 9, 13, 28, 47, 88, GA46, GA52, GA64, GA76, GA76A, GA80, GA81 y GA96, añadió el párrafo 43A y eliminó los párrafos 48 y 49, GA69 a GA75, GA77 a GA79 y GA82.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104 Esta Norma se aplicará de forma retroactiva, excepto por lo especificado en el párrafo 108. El saldo inicial de las ganancias acumuladas del periodo más antiguo que se presente y todos los otros importes comparativos serán ajustados como si esta Norma hubiera sido usada siempre, a menos que fuera impracticable la reexpresión de la información. Si la reexpresión fuera impracticable, la entidad revelará este hecho e indicará la medida en que la información haya sido reexpresada.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105-107A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 Una entidad no ajustará el importe en libros de los activos no financieros y pasivos no financieros para excluir ganancias o pérdidas relativas a coberturas de flujos de efectivo, que se hubieran incluido en el importe en libros antes del comienzo del periodo contable anual en que esta Norma se aplique por primera vez. Al comienzo del periodo contable en que esta Norma se aplique por primera vez, cualquier importe reconocido fuera del resultado (en otro resultado integral o directamente en patrimonio) por una cobertura de un compromiso en firme que, según esta Norma se contabilice como una cobertura de valor razonable, será reclasificada como un activo o pasivo, excepto en el caso de una cobertura de riesgo de moneda extranjera que continúe siendo tratada como una cobertura del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108A Una entidad aplicará la última frase del párrafo 80 y los párrafos GA99A y GA99B, en los periodos anuales que comiencen a partir del 1 de enero de 2006. Se aconseja su aplicación anticipada. Si una entidad hubiese designado como partida cubierta una transacción externa prevista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se haya denominado en la moneda funcional de la entidad que la haya realizado,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dé lugar a una exposición que tendrá un efecto en el resultado consolidado (es decir, que esté denominada en una moneda diferente a la moneda de presentación del grupo),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podría haber cumplido los requisitos de la contabilidad de coberturas si no se hubiese denominado en la moneda funcional de la entidad que la haya realizado, podrá aplicar la contabilidad de coberturas en los estados financieros consolidados en los períodos anteriores a la fecha de vigencia de la última frase del párrafo 80 y los párrafos GA99A y GA99B.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108B Una entidad no necesitará aplicar el párrafo GA99B a la información comparativa que se refiera a los ejercicios anteriores a la fecha de vigencia de la última frase del párrafo 80 y del párrafo GA99A.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108C El párrafo 73 y GA8 fueron modificados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 xml:space="preserve">emitido en mayo de 2008.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el párrafo 80. Una entidad aplicará esas modificaciones a periodos anuales que comiencen a partir del 1 de enero de 2009. Se permite la aplicación anticipada de todas las modificaciones.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otros Pronunciamientos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109 Esta Norma deroga a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revisada en octubre de 2000.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110 Esta Norma y la guía de implementación que la acompaña, derogan la guía de implementación emitida por el Comité para la Guía de Implementación de la NIC 39, establecido por el anterior IASC.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 (párrafos 2 a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 Algunos contratos requieren un pago basado en variables climáticas, geológicas u otro tipo de variables físicas. (Los basados en variables climáticas son a veces denominados “derivados climáticos”). Si esos contratos no están dentro del alcance de la NIIF 4, están dentro del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GA2 Esta Norma no cambia los requerimientos relativos a los planes de beneficios a los empleados que cumplen con la NIC 26 </w:t>
      </w:r>
      <w:r w:rsidRPr="00401DFF">
        <w:rPr>
          <w:rFonts w:ascii="Times New Roman" w:eastAsia="Times New Roman" w:hAnsi="Times New Roman" w:cs="Times New Roman"/>
          <w:i/>
          <w:iCs/>
          <w:sz w:val="24"/>
          <w:szCs w:val="24"/>
          <w:lang w:eastAsia="es-CO"/>
        </w:rPr>
        <w:t xml:space="preserve">Contabilización e Información Financiera sobre </w:t>
      </w:r>
      <w:r w:rsidRPr="00401DFF">
        <w:rPr>
          <w:rFonts w:ascii="Times New Roman" w:eastAsia="Times New Roman" w:hAnsi="Times New Roman" w:cs="Times New Roman"/>
          <w:i/>
          <w:iCs/>
          <w:sz w:val="24"/>
          <w:szCs w:val="24"/>
          <w:lang w:eastAsia="es-CO"/>
        </w:rPr>
        <w:lastRenderedPageBreak/>
        <w:t>Planes de Beneficios por Retiro,</w:t>
      </w:r>
      <w:r w:rsidRPr="00401DFF">
        <w:rPr>
          <w:rFonts w:ascii="Times New Roman" w:eastAsia="Times New Roman" w:hAnsi="Times New Roman" w:cs="Times New Roman"/>
          <w:sz w:val="24"/>
          <w:szCs w:val="24"/>
          <w:lang w:eastAsia="es-CO"/>
        </w:rPr>
        <w:t xml:space="preserve"> ni a los acuerdos de regalías basados en el volumen de ingresos por ventas o servicios que se contabilicen de acuerdo con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 A veces, una entidad realiza lo que ella ve como una “inversión estratégica” en instrumentos de patrimonio emitidos por otra entidad, con la intención de establecer o mantener una relación operativa a largo plazo con la entidad en la que ha realizado la inversión. La entidad inversora o participante en un negocio conjunto utilizará la NIC 28 para determinar si el método de la participación es adecuado para contabilizar dicha inversión. Si el método de la participación no resultase adecuado, la entidad aplicará esta Norma y la NIIF 9 a dicha inversión estratégica.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GA3A Esta Norma y la NIIF 9 se aplicarán a los activos financieros y pasivos financieros que mantengan las aseguradoras y sean distintos de los derechos y obligaciones que el párrafo 2(e) excluye por surgir de contratos que están bajo el alcance de la 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 Los contratos de garantía financiera pueden tener diversas formas legales, como por ejemplo una garantía, algunos tipos de carta de crédito, un contrato por incumplimiento de crédito o un contrato de seguro de crédito. Su tratamiento contable no depende de su forma legal. Los siguientes son ejemplos de su tratamiento adecuado [véanse el apartado (e) del párrafo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Aunque un determinado contrato de garantía financiera cumpla la definición de contrato de seguro de la NIIF 4, si el riesgo transferido es significativo, el emisor aplicará esta Norma y la NIIF 9. No obstante, si el emisor hubiese manifestado previa y explícitamente que considera tales contratos como de seguro y hubiese utilizado la contabilidad aplicable a los contratos de seguro, podrá optar entre aplicar esta Norma y la NIIF 9 o la NIIF 4 a esos contratos de garantía financiera. Si aplicase esta Norma, y la NIIF 9, el párrafo 5.1.1 de la NIIF 9 requiere que el emisor reconozca inicialmente un contrato de garantía financiera por su valor razonable. Si el contrato de garantía financiera se hubiese emitido a favor de un tercero no vinculado, dentro de una transacción aislada realizada en condiciones de independencia mutua, es probable que su valor razonable al comienzo sea igual a la prima recibida, salvo prueba en contrario. Posteriormente, a menos que el contrato de garantía financiera se hubiese designado en su comienzo como al valor razonable con cambios en resultados, o a menos que se apliquen los párrafos 3.2.15 a 3.2.23 y B3.2.12 a B3.2.17 de la NIIF 9 (cuando la transferencia de un activo financiero no cumpla los requisitos para la baja en cuentas o se aplique el enfoque de la implicación continuada), el emisor medirá dicho contrato por el mayor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importe determinado de acuerdo con la NIC 37;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reconocido inicialmente menos, cuando sea procedente, la amortización acumulada reconocida de acuerdo con la NIC 18 (véase el párrafo 4.2.1(c)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Algunas garantías relacionadas con créditos no requieren, como condición previa para el pago, que el tenedor esté expuesto y haya incurrido en una pérdida por el impago del deudor respecto al activo garantizado al llegar su vencimiento. Un ejemplo de esta garantía es uno que requiere pagos en respuesta a cambios en una calificación crediticia especificada </w:t>
      </w:r>
      <w:r w:rsidRPr="00401DFF">
        <w:rPr>
          <w:rFonts w:ascii="Times New Roman" w:eastAsia="Times New Roman" w:hAnsi="Times New Roman" w:cs="Times New Roman"/>
          <w:sz w:val="24"/>
          <w:szCs w:val="24"/>
          <w:lang w:eastAsia="es-CO"/>
        </w:rPr>
        <w:lastRenderedPageBreak/>
        <w:t>o índice de crédito. Estas garantías no son contratos de garantía financiera tal como se definen en la NIIF 9, y no son contratos de seguro tal como se definen en la NIIF 4. Esas garantías son derivados y el emisor les aplicará esta Norma y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contrato de garantía financiera hubiera sido emitido en conexión con una venta de bienes, el emisor aplicará la NIC 18 para determinar cuándo reconocer los ingresos procedentes de la garantía y de la 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GA4A Las manifestaciones de que un emisor considera ciertos contratos como contratos de seguro se encuentran, habitualmente, en sus comunicaciones a los consumidores y reguladores, en sus contratos, en la documentación de su actividad y en sus estados financieros. Además, los contratos de seguro están a menudo sujetos a exigencias contables que son distintas de las relativas a otros tipos de transacciones, como por ejemplo los contratos emitidos por bancos o por sociedades comerciales. En tales casos, los estados financieros del emisor, habitualmente, incluirán una declaración relativa a la aplicación de esas exigencias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(párrafos 8 y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GA4B-GA4K [Eliminado]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Tasa de interés efectiva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GA5 En algunos casos, los activos financieros se adquieren con un descuento importante que refleja las pérdidas crediticias incurridas. Las entidades incluyen dichas pérdidas crediticias incurridas en los flujos de efectivo estimados al computar la tasa de interés efectiva.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GA6 Al aplicar el método del interés efectivo, una entidad amortizará generalmente cualquier comisión, puntos básicos de intereses pagados o recibidos, costos de transacción y otras primas o descuentos que estén incluidos en el cálculo de la tasa de interés efectiva, a lo largo de la vida esperada del instrumento. Sin embargo, utilizará un periodo más corto cuando las comisiones, puntos básicos pagados o recibidos, costos de transacción, primas o descuentos se refieran a él. Éste sería el caso cuando la variable con la que se relacionan las comisiones, puntos básicos pagados o recibidos, costos de transacción, descuentos o primas sea ajustada a las tasas del mercado antes del vencimiento esperado de instrumento. En este caso, el periodo de amortización adecuado es periodo hasta la siguiente fecha de revisión de intereses. Por ejemplo, si una prima o descuento en un instrumento a tasa variable refleja el interés acumulado (devengado) por el mismo desde el pago del último interés, o los cambios en las tasas de mercado desde que la tasa variable fue revisada según las tasas de mercado, será amortizado hasta la próxima fecha en que el interés variable se vuelva a ajustar a las tasas de mercado. Esto es así porque la prima o descuento tiene relación con el periodo que transcurre hasta la próxima fecha de revisión, puesto que en esa fecha, la variable que se relaciona con la prima o descuento (es decir, la tasa de interés) se revisa para adecuarla a las tasas de mercado. Si, por el contrario, la prima o descuento resulta de un cambio en el diferencial crediticio sobre la tasa variable especificada en el contrato, o de </w:t>
      </w:r>
      <w:r w:rsidRPr="00401DFF">
        <w:rPr>
          <w:rFonts w:ascii="Times New Roman" w:eastAsia="Times New Roman" w:hAnsi="Times New Roman" w:cs="Times New Roman"/>
          <w:sz w:val="24"/>
          <w:szCs w:val="24"/>
          <w:lang w:eastAsia="es-CO"/>
        </w:rPr>
        <w:lastRenderedPageBreak/>
        <w:t>otras variables que no se revisan para ajustarlas a las tasas de mercado, se amortizará a lo largo de la vida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GA7 En los casos de los activos y pasivos financieros a tasa de interés variable, la reestimación periódica de los flujos de efectivo esperados que se haga para reflejar movimientos en las tasas de interés de mercado altera la tasa de interés efectiva. Si un activo o un pasivo financiero a interés variable se reconoce inicialmente por un importe igual al principal a cobrar o a pagar al vencimiento, la reestimación de los pagos por intereses futuros no tiene, normalmente, ningún efecto significativo en el importe en libros del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 Si una entidad revisa sus estimaciones de pagos o cobros, ajustará el importe en libros del activo financiero o pasivo financiero (o grupos de instrumentos financieros) para reflejar los flujos de efectivo reales y estimados ya revisados. La entidad calculará nuevamente el importe en libros computando el valor presente de los flujos de efectivo futuros estimados utilizando la tasa de interés efectiva original del instrumento financiero o, cuando proceda, la tasa de interés efectiva revisada calculada de acuerdo con el párrafo 92. El ajuste se reconocerá en el resultado del periodo como un ingreso o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GA9-GA12A [Eliminado]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GA13 Los costos de transacción incluyen honorarios y comisiones pagadas a los agentes (incluyendo a los empleados que actúen como agentes de venta), asesores, comisionistas e intermediarios, tasas establecidas por las agencias reguladoras y bolsas de valores, así como impuestos y otros derechos. Los costos de transacción no incluyen primas o descuentos sobre la deuda, costos financieros, costos internos de administración o costos de mantenimiento.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GA14-GA83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Deterioro del valor e incobrabilidad de activos financieros medidos al costo amortizado (párrafos 58 a 65)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GA84 El deterioro de un activo financiero medido al costo amortizado se medirá utilizando la tasa de interés efectiva del instrumento original del instrumento financiero, puesto que descontar a la tasa de interés de mercado actual impondría, de hecho, la medición al valor razonable en activos financieros que en otro caso se medirían al costo amortizado. Si las condiciones de un activo financiero medido al costo amortizado se renegocian o se modifican de otra forma por dificultades financieras del prestatario o emisor, el deterioro se medirá utilizando la tasa de interés efectiva original anterior a la modificación de las condiciones. Los flujos de efectivo relativos a las partidas por cobrar a corto plazo no se descontarán si el efecto del descuento no es importante. Si un activo financiero medido al costo amortizado tiene una tasa de interés variable, la tasa de descuento para medir cualquier pérdida por deterioro de acuerdo con el párrafo 63 será la tasa o tasas de interés efectivas actuales, determinadas de acuerdo al contrato. Como recurso práctico, el acreedor </w:t>
      </w:r>
      <w:r w:rsidRPr="00401DFF">
        <w:rPr>
          <w:rFonts w:ascii="Times New Roman" w:eastAsia="Times New Roman" w:hAnsi="Times New Roman" w:cs="Times New Roman"/>
          <w:sz w:val="24"/>
          <w:szCs w:val="24"/>
          <w:lang w:eastAsia="es-CO"/>
        </w:rPr>
        <w:lastRenderedPageBreak/>
        <w:t>puede medir el deterioro de un activo financiero, medido a costo amortizado, a partir del valor razonable del instrumento utilizando un precio de mercado observable. El cálculo del valor presente de los flujos de efectivo futuros estimados de un activo financiero con garantía colateral reflejará los flujos de efectivo que podrían resultar por la ejecución de la misma, menos los costos de obtención y de venta de la garantía colateral, con independencia de que la ejecución de ésta sea probable o no lo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GA85 El proceso de estimación del deterioro tendrá en cuenta todas las exposiciones crediticias, no sólo las que tengan baja calidad crediticia. Por ejemplo, si una entidad utiliza un sistema interno de graduación crediticia, considerará todos los grados de la escala que utilice, no solamente aquéllos que reflejen un deterioro crediticio severo.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GA86 El proceso de estimación del importe de una pérdida por deterioro puede resultar en un único importe o en un rango de posibles importes. En el último caso, la entidad reconocerá una pérdida por deterioro igual a la mejor estimación dentro del intervalo</w:t>
      </w:r>
      <w:hyperlink r:id="rId50" w:anchor="bf118b7fc9b5c88432cb3270bfee78b7855nf9" w:tgtFrame="_self" w:history="1">
        <w:r w:rsidRPr="00401DFF">
          <w:rPr>
            <w:rFonts w:ascii="Times New Roman" w:eastAsia="Times New Roman" w:hAnsi="Times New Roman" w:cs="Times New Roman"/>
            <w:color w:val="0000FF"/>
            <w:sz w:val="20"/>
            <w:szCs w:val="20"/>
            <w:u w:val="single"/>
            <w:vertAlign w:val="superscript"/>
            <w:lang w:eastAsia="es-CO"/>
          </w:rPr>
          <w:t>(46)</w:t>
        </w:r>
      </w:hyperlink>
      <w:r w:rsidRPr="00401DFF">
        <w:rPr>
          <w:rFonts w:ascii="Times New Roman" w:eastAsia="Times New Roman" w:hAnsi="Times New Roman" w:cs="Times New Roman"/>
          <w:sz w:val="24"/>
          <w:szCs w:val="24"/>
          <w:lang w:eastAsia="es-CO"/>
        </w:rPr>
        <w:t>, teniendo en cuenta toda la información relevante de que disponga, antes de la emisión de los estados financieros, sobre las condiciones existentes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GA87 Al objeto de realizar una evaluación colectiva del deterioro, los activos financieros se agruparán en función de la similitud en las características relativas al riesgo de crédito, indicativas de la capacidad del deudor para pagar todos los importes, de acuerdo con las condiciones del contrato (por ejemplo, sobre la base de una evaluación del riesgo de crédito o de un proceso de graduación que considere la clase de activo, el sector, la localización geográfica, el tipo de garantía colateral, el estado de morosidad y otros factores relevantes). Las características elegidas serán las relevantes para la estimación de los flujos de efectivo futuros por grupos de dichos activos, que habrán de ser indicativas de la capacidad de los deudores para pagar todos los importes debidos, de acuerdo con los términos del contrato que está siendo evaluado. No obstante, las probabilidades de pérdida y otras estadísticas de pérdidas diferirán según se trate de uno de los dos siguientes grupos: (a) activos que han sido evaluados de manera individual para el deterioro y no se ha encontrado ningún deterioro en ellos y (b) activos que no han sido individualmente evaluados por deterioro, para los que podría requerirse una cuantificación diferente del mismo. Cuando una entidad no cuente con un grupo de activos con características de riesgo similares, no realizará la evaluación adicional.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GA88 Las pérdidas por deterioro reconocidas sobre una base de grupo representan un paso provisional hasta la identificación de pérdidas por deterioro de activos individuales del grupo de activos financieros que se evalúan colectivamente para deterioro. Tan pronto como se disponga de información sobre la identificación de deterioros individuales de los activos que integran un grupo, se los excluirá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GA89 Al evaluar colectivamente el deterioro de un grupo de activos financieros, los flujos futuros se estimarán sobre la base de la experiencia de la pérdidas históricas para activos con características de riesgo de crédito similares a las del grupo. Las entidades cuya experiencia propia en pérdidas sea inexistente o insuficiente, utilizarán las experiencias de grupos similares de activos financieros que puedan ser comparables. La experiencia de </w:t>
      </w:r>
      <w:r w:rsidRPr="00401DFF">
        <w:rPr>
          <w:rFonts w:ascii="Times New Roman" w:eastAsia="Times New Roman" w:hAnsi="Times New Roman" w:cs="Times New Roman"/>
          <w:sz w:val="24"/>
          <w:szCs w:val="24"/>
          <w:lang w:eastAsia="es-CO"/>
        </w:rPr>
        <w:lastRenderedPageBreak/>
        <w:t>pérdidas históricas se ajustará sobre la base de datos observables, a fin de reflejar el efecto de las condiciones actuales, que no afectaron al periodo del que se ha extraído la experiencia histórica, así como para suprimir los efectos de condiciones del periodo histórico que no existen en la actualidad. Las estimaciones de los cambios en los flujos de efectivo futuros reflejarán y serán coherentes con las direcciones de los cambios producidos en datos observables que se vayan produciendo periodo a periodo (tales como cambios en las tasas de desempleo, precios de los inmuebles, precios de las materias primas cotizadas, evolución de los pagos u otros factores que son indicativos de la existencia de pérdidas incurridas en el grupo y de su magnitud). La metodología y las hipótesis utilizadas para estimar los flujos de efectivo futuros se revisarán periódicamente, con el fin de reducir cualquier diferencia entre las pérdidas estimadas y la experiencia de pérdidas reales.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GA90 A modo de ejemplo de aplicación del párrafo GA89, una entidad puede determinar, sobre la base de la experiencia histórica, que una de las principales causas de incumplimiento en los saldos deudores por tarjetas de crédito es el fallecimiento del prestatario. La entidad puede observar que la tasa de mortalidad no ha variado de un año a otro. Sin embargo, algunos de los prestatarios en el grupo de saldos deudores por tarjetas de crédito de la entidad pueden haber muerto en ese año, indicando que ha ocurrido una pérdida por deterioro en esos préstamos, incluso si, al final del año, la entidad todavía no tiene noticia del fallecimiento de prestatarios específicos. Sería adecuado reconocer una pérdida por deterioro para esas pérdidas “incurridas pero no conocidas todavía”. No obstante, no será adecuado reconocer una pérdida por deterioro debido a fallecimientos que se espera que ocurran en un periodo futuro, porque el suceso necesario para que se produzca la pérdida (la muerte del prestatario) todavía no ha ocurrido.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GA91 Cuando se utilizan tasas de pérdidas históricas en la estimación de los flujos de efectivo futuros, es importante que la información sobre dichas tasas se aplique, a los grupos que se han definido, de manera coherente con los grupos para los cuales las tasas históricas han sido observadas. Por consiguiente, el método utilizado debería posibilitar que cada grupo estuviese asociado con información sobre la experiencia de la pérdida pasada en grupos de activos con similares características de riesgo de crédito, así como con datos relevantes observables que reflejen las condiciones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GA92 Los enfoques basados en fórmulas o en métodos estadísticos pueden ser empleados para determinar las pérdidas por deterioro en un grupo de activos financieros (por ejemplo para préstamos con saldos pequeños) siempre que sean coherentes con los requerimientos establecidos en los párrafos 63 a 65 y GA87 a GA91. Cualquier modelo utilizado incorporará el efecto del valor del dinero en el tiempo, considerará los flujos de efectivo para toda la vida residual del activo (no sólo para el próximo año), considerará la antigüedad de los préstamos dentro de la cartera y no podrá dar lugar a una pérdida por deterioro en el reconocimiento inicial de un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Ingresos por intereses después del reconocimiento del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GA93 Una vez que el valor del activo financiero o el grupo de activos financieros similares ha sido rebajado como consecuencia de una pérdida por deterioro, los ingresos por intereses </w:t>
      </w:r>
      <w:r w:rsidRPr="00401DFF">
        <w:rPr>
          <w:rFonts w:ascii="Times New Roman" w:eastAsia="Times New Roman" w:hAnsi="Times New Roman" w:cs="Times New Roman"/>
          <w:sz w:val="24"/>
          <w:szCs w:val="24"/>
          <w:lang w:eastAsia="es-CO"/>
        </w:rPr>
        <w:lastRenderedPageBreak/>
        <w:t>se reconocerán a partir de entonces utilizando la tasa de interés aplicada al descuento de los flujos de efectivo futuros con el propósito de medir la pérdida por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Coberturas (párrafos 71 a 102)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de cobertura (párrafos 72 a 77)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que cumplen los requisitos (párrafos 72 y 73)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GA94 La pérdida potencial en una opción emitida por la entidad podría ser significativamente más elevada que la ganancia potencial en valor de la partida cubierta relacionada. En otras palabras, una opción emitida no es efectiva para reducir la exposición a la ganancia o pérdida de una partida cubierta. Por consiguiente, una opción emitida no cumple con los requisitos de instrumento de cobertura a menos que se designe para compensar una opción comprada, incluyendo una opción que esté implícita en otro instrumento financiero (por ejemplo, una opción de compra emitida utilizada para cubrir un pasivo rescatable). En contraste, una opción comprada tiene ganancias potenciales iguales o mayores que las pérdidas y, por tanto, tiene la posibilidad de reducir la exposición a las ganancias o pérdidas procedentes de cambios en el valor razonable o en los flujos de efectivo. En consecuencia, puede cumplir con los requisitos para ser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GA95 Un activo financiero medido al costo amortizado, puede ser designado como instrumento de cobertura dentro de una cobertura de riesgo de tasa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GA97 Los instrumentos de patrimonio propios de la entidad no son activos o pasivos financieros de la entidad, y por consiguiente no pueden ser designados como instrumentos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cubiertas (párrafos 78 a 84)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que cumplen los requisitos (párrafos 78 a 80)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GA98 Un compromiso en firme para adquirir un negocio, en una combinación de negocios, no puede ser una partida cubierta, con la excepción del componente de riesgo de tasa de cambio, porque los otros riesgos a cubrir no pueden ser identificados y medidos de forma específica. Estos otros riesgos son riesgos generales del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GA99 Una inversión contabilizada por el método de la participación no puede ser una partida cubierta en una cobertura de valor razonable, porque el método de la participación reconoce en el resultado del periodo la proporción del inversor en los resultados de la entidad asociada, no los cambios en el valor razonable de la inversión. Por una razón similar, una inversión en una subsidiaria consolidada no puede ser una partida cubierta en una cobertura del valor razonable, porque la consolidación reconoce en los resultados la </w:t>
      </w:r>
      <w:r w:rsidRPr="00401DFF">
        <w:rPr>
          <w:rFonts w:ascii="Times New Roman" w:eastAsia="Times New Roman" w:hAnsi="Times New Roman" w:cs="Times New Roman"/>
          <w:sz w:val="24"/>
          <w:szCs w:val="24"/>
          <w:lang w:eastAsia="es-CO"/>
        </w:rPr>
        <w:lastRenderedPageBreak/>
        <w:t>porción de la ganancia o pérdida de la subsidiaria, no los cambios en el valor razonable de la inversión. La cobertura de una inversión neta en un negocio en el extranjero es diferente, porque se trata una cobertura de la exposición a la tasa de cambio de la moneda extranjera, no una cobertura del valor razonable del cambio en el valor de la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GA99A El párrafo 80 establece que en los estados financieros consolidados, el riesgo de tasa de cambio de transacciones intragrupo previstas altamente probables, podría cumplir los requisitos para ser una partida cubierta en una cobertura de los flujos de efectivo, siempre que la transacción se denomine en una moneda distinta a la moneda funcional de la entidad que la haya realizado y que el riesgo de tasa de cambio afecte al resultado consolidado. Para este propósito, la entidad podría ser una controladora, subsidiaria, asociada, negocio conjunto o sucursal. Si el riesgo de tasa de cambio de una transacción intragrupo prevista no afectase al resultado consolidado, la transacción intragrupo no se calificará como partida cubierta. Generalmente, este es el caso de los pagos por regalías, pagos por intereses o cargos por servicios de gestión entre entidades del mismo grupo, a menos que exista una transacción externa vinculada con ellos. No obstante, cuando el riesgo de tasa de cambio de una transacción intragrupo prevista afecte al resultado consolidado, la transacción intragrupo podría calificar como una partida cubierta. Un ejemplo serían las compras o ventas de existencias previstas entre entidades del mismo grupo, si posteriormente se vendiesen a un tercero ajeno al grupo. De forma similar, una venta intragrupo prevista de elementos de planta y equipo por parte de una entidad del grupo que lo construye, a otra entidad del grupo que lo utiliza en sus actividades puede afectar al resultado consolidado. Esto podría ocurrir, por ejemplo, porque la planta y equipo serán depreciados por la entidad adquirente y el importe inicialmente reconocido para la planta y equipo pudiera variar si la transacción intragrupo prevista se denominase en una moneda distinta a la moneda funcional de la entidad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GA99B Si una cobertura de una transacción intragrupo prevista cumpliese los requisitos de la contabilidad de coberturas, cualquier ganancia o pérdida reconocida en otro resultado integral, de acuerdo con el párrafo 95(a), se reclasificará de patrimonio al resultado como un ajuste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por reclasificación en el mismo periodo o periodos durante los cuales el riesgo de tasa de cambio de la transacción cubierta afecte al resultado consolidado.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GA99BA Una entidad puede designar todos los cambios en los flujos de efectivo o en el valor razonable de una partida cubierta en una relación de cobertura. Una entidad puede también designar solo los cambios en los flujos de efectivo o en el valor razonable de una partida cubierta por encima o por debajo de un precio especificado u otra variable (un riesgo unilateral). El valor intrínseco de un instrumento de cobertura del tipo de una opción comprada (suponiendo que tiene las mismas condiciones principales que el riesgo designado), pero no su valor en el tiempo, refleja un riesgo unilateral en una partida cubierta. Por ejemplo, una entidad puede designar como cubierta la variabilidad de los flujos de efectivo futuros procedentes del incremento del precio de una compra prevista de una materia prima cotizada. En esta situación, se designarán solo las pérdidas de flujos de efectivo que procedan de un incremento en el precio por encima del nivel especificado. El riesgo cubierto no incluye el valor en el tiempo de una opción comprada, porque el valor en el tiempo no es un componente de la transacción prevista que afecte a los resultados [párrafo 86(b)].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Designación de elementos financieros como partidas cubiertas (párrafos 81 y 81A)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GA99C Si se designa como partida cubierta a una porción de los flujos de efectivo de un activo o pasivo financiero, la porción designada deberá ser menor que los flujos de efectivo totales del activo o el pasivo correspondiente. Por ejemplo, en el caso de un pasivo cuya tasa de interés efectiva esté por debajo de la LIBOR, la entidad no podrá designar como partida cubierta (a) una porción del pasivo igual al principal más un interés igual a la LIBOR y (b) la porción residual considerada como flujos negativos. No obstante, la entidad podrá designar todos los flujos de tesorería del activo o del pasivo financiero completo como partida cubierta y cubrirlos sólo para un riesgo en particular (por ejemplo, contra los cambios que sean atribuibles a las variaciones de la LIBOR). Por ejemplo, en el caso de un pasivo financiero cuya tasa de interés efectiva está 100 puntos básicos por debajo de la LIBOR, la entidad puede designar como partida cubierta el pasivo completo (esto es, el principal más los intereses calculados según la LIBOR menos 100 puntos básicos), y cubrirla del cambio en el valor razonable o en los flujos de efectivo del total del pasivo que son atribuibles a las variaciones en la LIBOR. La entidad podría también escoger una ratio de cobertura distinta de uno a uno, para mejorar la efectividad de la cobertura descrita en el párrafo GA100.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GA99D Además, si se cubre un instrumento financiero con interés fijo algún tiempo después del momento en que se originó, y las tasas de interés han cambiado desde entonces, la entidad puede designar una porción igual a una tasa de referencia que sea mayor que la tasa contractual pagada por la partida. La entidad podría hacer esto suponiendo que la tasa de referencia es menor que la tasa de interés efectiva calculada bajo el supuesto de que ha comprado el instrumento el día que lo designa como partida cubierta. Por ejemplo, supóngase que la entidad origina un activo financiero de interés fijo por 100 u.m., que tiene una tasa de interés efectiva del 6 por ciento, en un momento en que la LIBOR está en el 4 por ciento. Comienza a cubrir ese activo algún tiempo después, cuando la LIBOR ha crecido hasta el 8 por ciento y el valor razonable del instrumento ha descendido hasta 90 u.m. La entidad calcula que si hubiera comprado el activo en la fecha que lo designó por primera vez como partida cubierta por las 90 u.m., el rendimiento efectivo habría sido del 9,5 por ciento. Puesto que la LIBOR es menor que este rendimiento efectivo, la entidad puede designar una porción de la LIBOR al 8 por ciento, que comprende, por una parte, los flujos de efectivo por los intereses contractuales, y por otra parte la diferencia entre el valor razonable actual (esto es, 90 u.m.) y el importe a reembolsar en el vencimiento (esto es, 100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GA99E El párrafo 81 permite a una entidad designar algo distinto a la variación total del valor razonable o a la variabilidad del flujo de efectivo de un instrumento financiero.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pueden designarse todos los flujos de efectivo de un instrumento financiero derivados de cambios en el valor razonable o en los flujos de efectivo atribuibles a algunos riesgos (pero no a todos);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pueden designarse algunos de (pero no todos) los flujos de efectivo de un instrumento financiero con cambios del valor razonable o de los flujos de efectivo atribuibles a todos o </w:t>
      </w:r>
      <w:r w:rsidRPr="00401DFF">
        <w:rPr>
          <w:rFonts w:ascii="Times New Roman" w:eastAsia="Times New Roman" w:hAnsi="Times New Roman" w:cs="Times New Roman"/>
          <w:sz w:val="24"/>
          <w:szCs w:val="24"/>
          <w:lang w:eastAsia="es-CO"/>
        </w:rPr>
        <w:lastRenderedPageBreak/>
        <w:t>solo a algunos riesgos (es decir puede designarse una “porción” de los flujos de efectivo del instrumento financiero derivados de cambios atribuibles a la totalidad o solo a algunos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GA99F Para cumplir los requisitos de la contabilidad de cobertura, los riesgos designados y las porciones deben ser componentes identificables por separado del instrumento financiero, y los cambios en los flujos de efectivo o en el valor razonable del instrumento financiero completo que procedan de las variaciones en los riesgos designados y porciones deben poder ser medidos con fiabilidad.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un instrumento financiero con interés fijo cubierto frente a los cambios en el valor razonable atribuibles a variaciones en una tasa de interés de referencia o libre de riesgo, la tasa de referencia o libre de riesgo es normalmente considerada como un componente identificable por separado del instrumento financiero, que es susceptible de ser medida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inflación no es identificable por separado, ni susceptible de medición con fiabilidad, y no puede designarse como un riesgo o una porción de un instrumento financiero, a menos que se cumplan los requerimientos del apartado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porción de inflación especificada contractualmente de los flujos de efectivo de un bono contabilizado ligado al índice de inflación (suponiendo que no existe el requerimiento de contabilizar por separado un derivado implícito) es identificable por separado y susceptible de medición con fiabilidad en la medida en que otros flujos de efectivo del instrumento no se vean afectados por esa porción de inflación.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partidas no financieras como partidas cubiertas (párrafo 82)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GA100 Los cambios en el precio de un ingrediente o componente de un activo o pasivo no financiero no tienen, por lo general, un efecto predecible y medible separadamente sobre el precio del elemento que sea comparable al efecto que tiene un cambio, por ejemplo, en las tasas de interés de mercado sobre el precio de un bono. Así, un activo o pasivo no financiero podrá ser una partida cubierta sólo en su integridad, o bien para el riesgo de tasa de cambio. Si existe una diferencia entre las condiciones de la partida cubierta y del instrumento de cobertura (como para la cobertura de una compra prevista de café brasileño utilizando un contrato a término para adquirir café colombiano en condiciones, por lo demás, similares), la relación de cobertura podría cumplir, no obstante, con los requisitos de una relación de cobertura siempre que se cumpliesen todas las condiciones del párrafo 88, incluyendo la de esperar que la cobertura sea altamente eficaz. A este objeto, el importe del instrumento de cobertura puede ser mayor o menor que el de la partida cubierta, si mejora la eficacia de la relación de cobertura. Por ejemplo, podría haberse desarrollado un análisis de regresión para establecer la relación estadística entre la partida cubierta (por ejemplo, una transacción en café brasileño) y el instrumento de cobertura (por ejemplo, una transacción en café colombiano). Si existe una relación estadística válida entre las dos variables (es decir, entre el precio unitario del café brasileño y el del café colombiano), la pendiente de la curva de regresión puede utilizarse para establecer la ratio de cobertura que maximice la eficacia esperada. Por ejemplo, si la pendiente de la curva de regresión es 1,02, </w:t>
      </w:r>
      <w:r w:rsidRPr="00401DFF">
        <w:rPr>
          <w:rFonts w:ascii="Times New Roman" w:eastAsia="Times New Roman" w:hAnsi="Times New Roman" w:cs="Times New Roman"/>
          <w:sz w:val="24"/>
          <w:szCs w:val="24"/>
          <w:lang w:eastAsia="es-CO"/>
        </w:rPr>
        <w:lastRenderedPageBreak/>
        <w:t>una ratio de cobertura basada en 0,98 partes de partida cubierta por cada 1 parte del instrumento de cobertura, maximizará la eficacia esperada. No obstante, la relación de cobertura puede dar lugar a ineficacia, que se reconocerá en el resultado mientras dure la relación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grupos de elementos como partidas cubiertas (párrafos 83 y 84)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GA101 La cobertura de una posición global neta (por ejemplo el importe neto de todos los activos y pasivos a tasa fija con vencimientos similares), en lugar de una partida cubierta específica, no cumple con los requisitos para la contabilidad de coberturas. No obstante, en la contabilidad de coberturas de este tipo de relación de cobertura se puede conseguir casi el mismo efecto sobre resultados designando a una parte de los elementos subyacentes como partida cubierta. Por ejemplo, si un banco tiene 100 u.m. de activos y 90 u.m. de pasivos con riesgos y términos de naturaleza similar, y cubre la exposición neta de 10 u.m., puede designar como partida cubierta 10 u.m. de aquellos activos. Esta designación puede utilizarse si dichos activos o pasivos son de interés fijo, en cuyo caso es una cobertura del valor razonable, o de tasa variable, en cuyo caso es una cobertura del flujo de efectivo. De manera similar, si una entidad tiene un compromiso en firme para realizar una compra en divisas por 100 u.m. y un compromiso en firme para realizar una venta de 90 u.m., puede cubrir el importe neto de 10 u.m. adquiriendo un derivado y designándolo como instrumento de cobertura asociado con 10 u.m. del compromiso en firme de compra de 100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cobertura (párrafos 85 a 102)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GA102 Un ejemplo de cobertura del valor razonable es una cobertura de exposición a los cambios en el valor razonable de un instrumento de deuda a tasa fija, como consecuencia de cambios en las tasas de interés. Dicha cobertura puede ser contratada por el emisor o por el tenedor.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GA103 Un ejemplo de cobertura del flujo de efectivo es la utilización de una permuta financiera para cambiar deuda a interés variable por deuda a tasa fija (es decir, la cobertura de una transacción prevista donde los flujos de efectivo futuros a cubrir son los pagos futuros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GA104 La cobertura de un compromiso en firme (por ejemplo, una cobertura del cambio en el precio del combustible relativo a un compromiso contractual no reconocido por una empresa eléctrica para comprar combustible a un precio fijo) es una cobertura de una exposición a cambios en el valor razonable. Como consecuencia, dicha cobertura es una cobertura del valor razonable. No obstante, de acuerdo con el párrafo 87, la cobertura del riesgo de tasa de cambio de un compromiso en firme puede ser contabilizada alternativamente como una cobertura del flujo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de la eficacia de la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GA105 Una cobertura se considerará altamente efectiva si se cumplen las dos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Al inicio de la cobertura y en los periodos siguientes, se espera que ésta sea altamente eficaz para conseguir compensar los cambios en el valor razonable o en los flujos de efectivo atribuibles al riesgo cubierto, durante el periodo para el que se haya designado la cobertura. Tal expectativa puede demostrarse de varias formas, entre las que se incluye la realización de una comparación de los cambios pasados en el valor razonable o en los flujos de efectivo del instrumento de cobertura, que sean atribuibles al riesgo cubierto, con los cambios que hayan experimentado en el pasado este valor razonable o los flujos de efectivo, respectivamente; así como la demostración de una elevada correlación estadística entre el valor razonable o los flujos de efectivo de la partida cubierta y los que corresponden al instrumento de cobertura. La entidad puede escoger una ratio de cobertura distinta de uno a uno, con el fin de mejorar la eficacia de la cobertura, como se ha descrito en el párrafo GA100.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eficacia real de la cobertura está en un rango de 80 a 125 por ciento. Por ejemplo, si los resultados conseguidos son tales que la pérdida en el instrumento de cobertura es de 120 u.m., mientras que la ganancia en los instrumentos de caja es de 100 u.m., el grado de compensación puede medirse como 120/100, lo que dará un 120 por ciento, o bien como 100/120, lo que dará un 83 por ciento. En este ejemplo, suponiendo que la cobertura cumple la condición establecida en el apartado (a) anterior, la entidad podría concluir que la cobertura ha sido altamente eficaz.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GA106 La eficacia se evalúa, como mínimo, en cada uno de los momentos en que una entidad prepare sus estados financieros anuales o intermedios.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GA107 En esta Norma no se especifica un método único para evaluar la eficacia de las coberturas. El método que la entidad adopte para evaluar la eficacia de las coberturas depende de su estrategia en la gestión del riesgo. Por ejemplo, si la estrategia de gestión del riesgo por parte de la entidad consiste en ajustar el importe del instrumento de cobertura de forma periódica, de forma que refleje los cambios en la posición cubierta, la entidad necesitará demostrar por qué espera que la cobertura sea altamente eficaz, pero sólo para el periodo que resta hasta que sea de nuevo ajustado el importe del instrumento de cobertura. En algunos casos, la entidad puede adoptar métodos diferentes para diferentes clases de coberturas. La documentación sobre la estrategia de cobertura seguida por la entidad incluirá los procedimientos para evaluar la eficacia. Esos procedimientos establecerán si la evaluación comprende toda la ganancia o pérdida del instrumento de cobertura, o si se excluye el valor temporal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GA107A Si la entidad cubriese menos del 100 por ciento de la exposición de una partida, por ejemplo un 85 por ciento, designará que la partida cubierta es un 85 por ciento de la exposición, y se basará al medir la ineficacia en el cambio en esta exposición del 85 por ciento que ha designado. No obstante, cuando proceda a cubrir este 85 por ciento designado, la entidad puede utilizar una ratio de cobertura distinta de uno a uno, si con ello se mejora la eficacia esperada de la cobertura, tal como se ha descrito en el párrafo GA100.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GA108 Si las condiciones principales de un instrumento de cobertura y del activo, pasivo, compromiso en firme o transacción prevista altamente probable que se cubre son las mismas, es probable que los cambios en el valor razonable o en los flujos de efectivo </w:t>
      </w:r>
      <w:r w:rsidRPr="00401DFF">
        <w:rPr>
          <w:rFonts w:ascii="Times New Roman" w:eastAsia="Times New Roman" w:hAnsi="Times New Roman" w:cs="Times New Roman"/>
          <w:sz w:val="24"/>
          <w:szCs w:val="24"/>
          <w:lang w:eastAsia="es-CO"/>
        </w:rPr>
        <w:lastRenderedPageBreak/>
        <w:t>atribuibles al riesgo cubierto se compensen completamente, tanto en el momento de efectuar la cobertura como posteriormente. Por ejemplo, es muy probable que una permuta financiera de tasas de interés sea una cobertura eficaz si los importes nocional y principal, el plazo total, las fechas de revisión de los intereses, las fechas de pagos y cobros por principal e intereses y las bases para medir las tasas de interés son las mismas, tanto para el instrumento de cobertura como para la partida cubierta. Por otra parte, es probable que la cobertura de una compra prevista altamente probable de una materia prima cotizada, a través de un contrato a término, sea altamente efectiva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contrato a término es para la compra de la misma cantidad de la misma materia prima cotizada, al mismo tiempo y con la misma localización que la compra prevista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razonable del contrato a término al comienzo es nulo;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o bien la evaluación de la eficacia excluye el cambio en la prima o el descuento del contrato y se lo reconoce en resultados, o bien el cambio en los flujos de efectivo esperados de la transacción altamente prevista se basa en el precio a término de la materia prima cotizada.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GA109 A veces el instrumento de cobertura compensa sólo parte del riesgo cubierto. Por ejemplo, una cobertura no sería completamente efectiva si el instrumento de cobertura y la partida cubierta están denominados en monedas diferentes que no varían de forma similar. Asimismo, una cobertura del riesgo de tasa de interés utilizando un derivado no sería completamente eficaz si parte del cambio en el valor razonable del derivado es atribuible al riesgo de crédito de la contraparte.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GA110 Para cumplir con los requisitos de la contabilidad de coberturas, la cobertura debe referirse a un riesgo específicamente designado e identificado, y no simplemente a los riesgos generales del negocio, y debe en última instancia afectar a los resultados de la entidad. Para la contabilidad de coberturas no pueden elegirse la cobertura del riesgo de obsolescencia de un activo físico o del riesgo de expropiación de propiedades por el gobierno; ya que la eficacia no puede ser medida porque esos riesgos no se pueden medir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GA110A El párrafo 74(a) permite a una entidad separar el valor intrínseco y el valor en el tiempo de un contrato de opción y designar como instrumento de cobertura solo el cambio en el valor intrínseco del contrato de opción. Esta designación puede dar lugar a una relación de cobertura que sea perfectamente eficaz para compensar los cambios en los flujos de efectivo atribuibles a un riesgo unilateral cubierto de una transacción prevista, si las condiciones principales de la transacción prevista y del instrumento de cobertura son las mismas.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GA110B Si una entidad designase una opción comprada en su totalidad como el instrumento de cobertura de un riesgo unilateral que surge de una transacción prevista, la relación de cobertura no será perfectamente eficaz. Esto es así porque la prima pagada por la opción incluye el valor en el tiempo y, como se señala en el párrafo GA99BA, un riesgo unilateral designado no incluye el valor en el tiempo de una opción. Por ello, en esta </w:t>
      </w:r>
      <w:r w:rsidRPr="00401DFF">
        <w:rPr>
          <w:rFonts w:ascii="Times New Roman" w:eastAsia="Times New Roman" w:hAnsi="Times New Roman" w:cs="Times New Roman"/>
          <w:sz w:val="24"/>
          <w:szCs w:val="24"/>
          <w:lang w:eastAsia="es-CO"/>
        </w:rPr>
        <w:lastRenderedPageBreak/>
        <w:t>situación, no habrá compensación entre los flujos de efectivo que se relacionan con el valor en el tiempo de la prima de la opción pagada y el riesgo cubierto designado.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GA111 En el caso del riesgo de tasa de interés, la eficacia de la cobertura puede evaluarse preparando un calendario de vencimientos para los activos financieros y los pasivos financieros, que muestre la exposición neta a la tasa de interés para cada periodo, siempre que la exposición neta esté asociada con un activo o pasivo específico (o con un grupo de activos o pasivos específicos, o bien con una porción específica de los mismos) dando lugar a la exposición neta, y la eficacia de la cobertura se evalúa con referencia a ese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GA112 Al evaluar la eficacia de una cobertura, la entidad considerará por lo general el valor del dinero en el tiempo. No es necesario que la tasa de interés fija de una partida cubierta coincida exactamente con la tasa de interés fija de una permuta financiera designada para una cobertura del valor razonable. Tampoco es necesario que la tasa de interés variable en un activo o pasivo con intereses sea igual a la tasa de interés correspondiente la permuta financiera designada para una cobertura del flujo de efectivo. El valor razonable de una permuta financiera se deduce a partir de sus liquidaciones netas. Las tasas de interés fijos y variables de una permuta financiera pueden ser cambiadas sin afectar a la liquidación neta, siempre que ambos se intercambien por el mismo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GA113 Cuando una entidad no cumpla con los requisitos de la eficacia de la cobertura, suspenderá la aplicación de la contabilidad de coberturas desde la última fecha en que demostró el cumplimiento con los requisitos de la eficacia de la cobertura. No obstante, si la entidad identifica el suceso o cambio en las circunstancias que causó que la relación de cobertura dejase de cumplir con los criterios de la eficacia, y demuestra que la cobertura era eficaz antes de que se produjera el suceso o el cambio en las circunstancias, suspenderá la aplicación de la contabilidad de cobertura desde la misma fecha del evento o del cambio en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la cobertura del valor razonable en una cartera que cubre el riesgo de tasa de interés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GA114 En el caso de la cobertura del valor razonable del riesgo de tasa de interés asociado con una cartera de activos financieros o pasivos financieros, la entidad cumplirá con los requerimientos de esta Norma si observa los procedimientos establecidos en los apartados (a) hasta (i), y los párrafos GA115 a GA132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identificará la cartera de partidas, cuyo riesgo de tasa de interés desea cubrir, como parte de los procesos habituales que siga para la gestión del riesgo. La cartera puede contener solo activos, solo pasivos o tanto activos como pasivos. La entidad puede identificar dos o más carteras, en cuyo caso se aplicarán las guías siguientes a cada cartera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entidad descompondrá la cartera en periodos de revisiones de intereses, basándose en las fechas esperadas para las mismas, sin tener en cuenta las contractuales. Tal descomposición puede hacerse de varias maneras, entre las que se incluye la de distribuir </w:t>
      </w:r>
      <w:r w:rsidRPr="00401DFF">
        <w:rPr>
          <w:rFonts w:ascii="Times New Roman" w:eastAsia="Times New Roman" w:hAnsi="Times New Roman" w:cs="Times New Roman"/>
          <w:sz w:val="24"/>
          <w:szCs w:val="24"/>
          <w:lang w:eastAsia="es-CO"/>
        </w:rPr>
        <w:lastRenderedPageBreak/>
        <w:t>los flujos de efectivo entre los periodos en los que se espera que se produzcan, o distribuyendo los importes principales nocionales en todos los periodos hasta el momento en que se espere que ocurra la revisión.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 partir de esta descomposición, la entidad decidirá el importe que desea cubrir. A tal efecto designará como partida cubierta a un importe de activos o pasivos (pero no un importe neto) de la cartera identificada, que sea igual al importe que desea designar como cubierto. Este importe determina también la medida porcentual que se utilizará para probar la eficacia, de acuerdo con el apartado (b) del párrafo GA126.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entidad designará el riesgo de tasa de interés que está cubriendo. Este riesgo podría consistir en una porción del riesgo de tasa de interés de cada una de las partidas de la posición cubierta, tal como por ejemplo una tasa de interés de referencia (por ejemplo, la LIBOR).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entidad designará uno o más instrumentos de cobertura para cada periodo de revisión de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Utilizando las designaciones realizadas en los apartados (c) a (e) anteriores, la entidad evaluará, tanto al comienzo como en los periodos posteriores, si se puede esperar que la cobertura sea altamente eficaz a lo largo del intervalo para el cual se la ha designado.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Periódicamente, la entidad medirá el cambio en el valor razonable de la partida cubierta [según la designación hecha en el apartado (c)] que es atribuible al riesgo cubierto [según la designación hecha en el apartado (d)], tomando como base las fechas esperadas de revisión de intereses determinadas en el apartado (b). Suponiendo que, utilizando el método de evaluación de la eficacia documentado por la entidad, se haya determinado que en la realidad la cobertura fue altamente eficaz, la entidad reconocerá el cambio en el valor razonable de la partida cubierta como una ganancia o una pérdida en los resultados, así como en una de las dos partidas del estado de situación financiera descritas en el párrafo 89A. No es necesario que el cambio en el valor razonable sea distribuido entre activos o pasivos individuales.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La entidad medirá el cambio en el valor razonable del instrumento o instrumentos de cobertura [según la designación hecha en el apartado (e)], y lo reconocerá como una ganancia o una pérdida en el resultado. El valor razonable del instrumento o instrumentos de cobertura se reconocerá como un activo o un pasivo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eventual ineficacia</w:t>
      </w:r>
      <w:hyperlink r:id="rId51" w:anchor="bf12260404c20964de0ae52826ad59bd7ebnf9" w:tgtFrame="_self" w:history="1">
        <w:r w:rsidRPr="00401DFF">
          <w:rPr>
            <w:rFonts w:ascii="Times New Roman" w:eastAsia="Times New Roman" w:hAnsi="Times New Roman" w:cs="Times New Roman"/>
            <w:color w:val="0000FF"/>
            <w:sz w:val="20"/>
            <w:szCs w:val="20"/>
            <w:u w:val="single"/>
            <w:vertAlign w:val="superscript"/>
            <w:lang w:eastAsia="es-CO"/>
          </w:rPr>
          <w:t>(47)</w:t>
        </w:r>
      </w:hyperlink>
      <w:r w:rsidRPr="00401DFF">
        <w:rPr>
          <w:rFonts w:ascii="Times New Roman" w:eastAsia="Times New Roman" w:hAnsi="Times New Roman" w:cs="Times New Roman"/>
          <w:sz w:val="24"/>
          <w:szCs w:val="24"/>
          <w:lang w:eastAsia="es-CO"/>
        </w:rPr>
        <w:t xml:space="preserve"> será reconocida en resultados como diferencia entre los cambios en los valores razonables mencionados en los apartados (g) y (h).</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GA115 Este enfoque se desarrolla con más detalle a continuación. Sólo será aplicado a la cobertura del valor razonable del riesgo de tasa de interés asociado con una cartera de activos o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GA116 La cartera identificada en el apartado (a) del párrafo GA114 podría contener activos y pasivos. Alternativamente, podría ser una cartera que contuviera sólo activos o sólo pasivos. La cartera se utiliza para determinar el importe de los activos o pasivos que la entidad desea cubrir. No obstante, la cartera en sí no es objeto de designación como partida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GA117 Al aplicar el apartado (b) del párrafo GA114, la entidad determina la fecha de revisión de intereses esperada de una partida como la que esté más próxima en el tiempo de entre la fecha en que se espera que dicha partida venza y la fecha en que se revisará a las tasas de mercado. Las fechas esperadas de revisión de intereses se estiman al comienzo de la cobertura y a lo largo del plazo que dure la misma, basándose en la experiencia pasada y en otra información disponible, donde se incluyen tanto la información como las expectativas relativas a los pagos anticipados, tasas de interés y la interacción que existe entre ellos. Las entidades cuya experiencia específica sea inexistente o insuficiente, utilizarán la experiencia en grupos similares de instrumentos financieros que puedan ser comparables. Estas estimaciones se revisarán periódicamente y se actualizarán a la luz de la experiencia. En el caso de una partida con interés fijo que admita pago anticipado, la fecha de revisión de intereses esperada será la fecha en que se espera recibir el pago anticipado, salvo que la revisión a las tasas de mercado se deba efectuar en una fecha anterior. Para los grupos de partidas similares, la descomposición en periodos de tiempo sobre la base de fechas de revisión de intereses esperadas puede tomar la forma de distribución de porcentajes del grupo, y no de las partidas individuales, a cada uno de los periodos. Una entidad puede aplicar otras metodologías para realizar la distribución anterior. Por ejemplo, podría utilizar un multiplicador que reflejara la tasa de pagos anticipados para distribuir los préstamos amortizables a los diferentes periodos que se hayan conformado a partir de las fechas esperadas de revisión de intereses. Sin embargo, la metodología para tal distribución debe estar de acuerdo con los procedimientos y objetivos de gestión del riesgo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GA118 Como ejemplo de la designación establecida en el apartado (c) del párrafo GA114, si en el periodo que corresponde a una revisión de intereses determinada, la entidad estimase que tiene activos a una tasa de interés fija por 100 u.m. y pasivos a una tasa de interés fija por 80 u.m., y decidiese cubrir la posición neta de 20 u.m., procedería a designar como partida de activos cubiertos el importe de 20 u.m. (una porción de los activos)</w:t>
      </w:r>
      <w:hyperlink r:id="rId52" w:anchor="bf1f9409703df084832bf4d6eecdce6901dnf9" w:tgtFrame="_self" w:history="1">
        <w:r w:rsidRPr="00401DFF">
          <w:rPr>
            <w:rFonts w:ascii="Times New Roman" w:eastAsia="Times New Roman" w:hAnsi="Times New Roman" w:cs="Times New Roman"/>
            <w:color w:val="0000FF"/>
            <w:sz w:val="20"/>
            <w:szCs w:val="20"/>
            <w:u w:val="single"/>
            <w:vertAlign w:val="superscript"/>
            <w:lang w:eastAsia="es-CO"/>
          </w:rPr>
          <w:t>(48)</w:t>
        </w:r>
      </w:hyperlink>
      <w:r w:rsidRPr="00401DFF">
        <w:rPr>
          <w:rFonts w:ascii="Times New Roman" w:eastAsia="Times New Roman" w:hAnsi="Times New Roman" w:cs="Times New Roman"/>
          <w:sz w:val="24"/>
          <w:szCs w:val="24"/>
          <w:lang w:eastAsia="es-CO"/>
        </w:rPr>
        <w:t>. La designación se expresa como un “importe monetario” (por ejemplo un importe en dólares, euros, libras o rands), y no en términos de activos individuales. De lo anterior se deduce que todos los activos (o pasivos) de los que se extraiga el importe cubierto —es decir, el total de 100 u.m. de activos del ejemplo anterior— deben ser a la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partidas cuyo valor razonable cambie en respuesta a cambios en la tasa de interés que se esté cubriendo;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partidas que, de haber sido designadas como cubiertas de forma individual, habrían cumplido los requisitos para la contabilización de las coberturas del valor razonable. En particular, puesto que la NIIF 9 especifica que el valor razonable de un pasivo financiero con una característica de exigibilidad a petición (como por ejemplo los depósitos a la vista o algunos tipos de depósitos a plazo) no será inferior al importe a pagar al convertirse en </w:t>
      </w:r>
      <w:r w:rsidRPr="00401DFF">
        <w:rPr>
          <w:rFonts w:ascii="Times New Roman" w:eastAsia="Times New Roman" w:hAnsi="Times New Roman" w:cs="Times New Roman"/>
          <w:sz w:val="24"/>
          <w:szCs w:val="24"/>
          <w:lang w:eastAsia="es-CO"/>
        </w:rPr>
        <w:lastRenderedPageBreak/>
        <w:t>exigible a voluntad del acreedor, descontado desde la primera fecha en que dicho importe pueda ser requerido para el pago, tal pasivo financiero no puede cumplir las condiciones de la contabilización de las coberturas del valor razonable en ningún periodo posterior al plazo más corto en que el tenedor pueda requerir su pago. En el ejemplo previo, la posición cubierta es un importe de activos. Por tanto, los anteriores pasivos no forman parte de la partida designada como cubierta, pero podrían utilizarse por parte de la entidad para determinar el importe del activo que se designa como objeto de cobertura. Si la posición que la entidad desea cubrir fuera un importe de pasivos, el importe que represente a la partida designada cubierta debería extraerse de los pasivos a interés fijo distintos de aquéllos que la entidad puede ser requerida para reembolsar en un plazo más corto, y la medida porcentual utilizada para evaluar la eficacia de la cobertura, de acuerdo con el apartado (b) del párrafo GA126, se calcularía como un porcentaje de esos otros pasivos. Por ejemplo, suponiendo que la entidad estimase que en un particular periodo de revisión de intereses va a tener pasivos a interés fijo de 100 u.m., que se componen de 40 u.m. de depósitos a la vista y 60 u.m. de pasivos que no tienen la característica de ser exigibles a petición, y activos a interés fijo por importe de 70 u.m. Si la entidad decidiese cubrir toda la posición neta por importe de 30 u.m., designaría como partida cubierta pasivos por importe de 30 u.m. o el 50 por ciento</w:t>
      </w:r>
      <w:hyperlink r:id="rId53" w:anchor="bf10246170e27574bd5858340ccf4d363c1nf9" w:tgtFrame="_self" w:history="1">
        <w:r w:rsidRPr="00401DFF">
          <w:rPr>
            <w:rFonts w:ascii="Times New Roman" w:eastAsia="Times New Roman" w:hAnsi="Times New Roman" w:cs="Times New Roman"/>
            <w:color w:val="0000FF"/>
            <w:sz w:val="20"/>
            <w:szCs w:val="20"/>
            <w:u w:val="single"/>
            <w:vertAlign w:val="superscript"/>
            <w:lang w:eastAsia="es-CO"/>
          </w:rPr>
          <w:t>(49)</w:t>
        </w:r>
      </w:hyperlink>
      <w:r w:rsidRPr="00401DFF">
        <w:rPr>
          <w:rFonts w:ascii="Times New Roman" w:eastAsia="Times New Roman" w:hAnsi="Times New Roman" w:cs="Times New Roman"/>
          <w:sz w:val="24"/>
          <w:szCs w:val="24"/>
          <w:lang w:eastAsia="es-CO"/>
        </w:rPr>
        <w:t xml:space="preserve"> de los pasivos sin características de exigibilidad inmediata.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GA119 La entidad también cumplirá con los demás requerimientos de designación y documentación establecidos en el apartado (a) del párrafo 88. Para una cartera que cubre el riesgo de tasa de interés, estos requerimientos especifican la política que sigue la entidad para todas las variables que se utilizan al identificar el importe que se cubre y cómo mide la eficacia, incluyendo los siguientes extremos: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Qué activos y pasivos se incluyen en la cartera, así como los criterios que se utilizarán para eliminarlos de dicha cartera.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Cómo estima la entidad las fechas de revisión de intereses, incluyendo las hipótesis sobre las tasas de interés que subyacen en las estimaciones de las tasas de pago anticipado, así como las bases para cambiar dichas estimaciones. El mismo método se utilizará para realizar tanto las estimaciones iniciales, hechas en el momento de incluir el activo o pasivo en la cartera cubierta, como para las revisiones posteriores de tales 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número y la duración de los periodos donde tienen lugar las revisiones de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frecuencia con que la entidad probará la eficacia, así como cuál de los dos métodos del párrafo GA126 utilizará.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metodología utilizada por la entidad para determinar el importe de los activos o pasivos que se designarán como partidas cubiertas y, de acuerdo con ello, la medida porcentual utilizada cuando la entidad prueba la eficacia utilizando el método descrito en el apartado (b) del párrafo GA126.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Cuando la entidad pruebe la eficacia utilizando el método descrito en el apartado (b) del párrafo GA126, procederá a comprobar la eficacia de forma individual para cada periodo </w:t>
      </w:r>
      <w:r w:rsidRPr="00401DFF">
        <w:rPr>
          <w:rFonts w:ascii="Times New Roman" w:eastAsia="Times New Roman" w:hAnsi="Times New Roman" w:cs="Times New Roman"/>
          <w:sz w:val="24"/>
          <w:szCs w:val="24"/>
          <w:lang w:eastAsia="es-CO"/>
        </w:rPr>
        <w:lastRenderedPageBreak/>
        <w:t>correspondiente a una revisión, para todos los periodos agregados o utilizando una combinación de ambos procedimientos.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políticas especificadas al designar y documentar la relación de cobertura, estarán de acuerdo con los objetivos y procedimientos que la entidad siga para gestionar el riesgo. No se las cambiará de forma arbitraria. En su caso, los cambios se justificarán sobre la base de las variaciones en las condiciones de mercado y otros factores, se fundamentarán en los objetivos y procedimientos seguidos por la entidad al gestionar el riesgo y serán coherentes con éstos.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GA120 El instrumento de cobertura al que se refiere el apartado (e) del párrafo GA114 puede ser un único derivado o una cartera de derivados, todos los cuales implicarán exposición el riesgo de tasa de interés cubierto que se haya designado según el apartado (d) del párrafo GA114 (por ejemplo una cartera de permutas de tasas de interés, todas las cuales están expuestas a la LIBOR). Esta cartera de derivados puede contener, a su vez, posiciones de riesgo compensadas entre sí. No obstante, no podrá incluir opciones emitidas u opciones emitidas netas, puesto que la Norma</w:t>
      </w:r>
      <w:hyperlink r:id="rId54" w:anchor="bf1f593ed1c4b634f6b9179b73af728a870nf9" w:tgtFrame="_self" w:history="1">
        <w:r w:rsidRPr="00401DFF">
          <w:rPr>
            <w:rFonts w:ascii="Times New Roman" w:eastAsia="Times New Roman" w:hAnsi="Times New Roman" w:cs="Times New Roman"/>
            <w:color w:val="0000FF"/>
            <w:sz w:val="20"/>
            <w:szCs w:val="20"/>
            <w:u w:val="single"/>
            <w:vertAlign w:val="superscript"/>
            <w:lang w:eastAsia="es-CO"/>
          </w:rPr>
          <w:t>(50)</w:t>
        </w:r>
      </w:hyperlink>
      <w:r w:rsidRPr="00401DFF">
        <w:rPr>
          <w:rFonts w:ascii="Times New Roman" w:eastAsia="Times New Roman" w:hAnsi="Times New Roman" w:cs="Times New Roman"/>
          <w:sz w:val="24"/>
          <w:szCs w:val="24"/>
          <w:lang w:eastAsia="es-CO"/>
        </w:rPr>
        <w:t xml:space="preserve"> no permite que tales opciones sean designadas como instrumentos de cobertura (salvo en el caso de designar una opción emitida para compensar a una opción comprada). Si el instrumento de cobertura cubriera el importe designado en el apartado (c) del párrafo GA114, para más de un periodo de revisión de intereses, se distribuirá entre todos los periodos que cubra. No obstante, la totalidad del instrumento de cobertura debe quedar distribuido entre tales periodos, puesto que la Norma</w:t>
      </w:r>
      <w:hyperlink r:id="rId55" w:anchor="bf1e21c8fd5d1874579be69063a01c79f81nf9" w:tgtFrame="_self" w:history="1">
        <w:r w:rsidRPr="00401DFF">
          <w:rPr>
            <w:rFonts w:ascii="Times New Roman" w:eastAsia="Times New Roman" w:hAnsi="Times New Roman" w:cs="Times New Roman"/>
            <w:color w:val="0000FF"/>
            <w:sz w:val="20"/>
            <w:szCs w:val="20"/>
            <w:u w:val="single"/>
            <w:vertAlign w:val="superscript"/>
            <w:lang w:eastAsia="es-CO"/>
          </w:rPr>
          <w:t>(51)</w:t>
        </w:r>
      </w:hyperlink>
      <w:r w:rsidRPr="00401DFF">
        <w:rPr>
          <w:rFonts w:ascii="Times New Roman" w:eastAsia="Times New Roman" w:hAnsi="Times New Roman" w:cs="Times New Roman"/>
          <w:sz w:val="24"/>
          <w:szCs w:val="24"/>
          <w:lang w:eastAsia="es-CO"/>
        </w:rPr>
        <w:t xml:space="preserve"> no permite designar una relación de cobertura solamente para una porción del periodo durante el cual permanece en circulación 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GA121 Cuando la entidad mide el cambio en el valor razonable de una partida que admite pagos anticipados de acuerdo con el apartado (g) del párrafo GA114, un cambio en la tasa de interés afectará al valor razonable de la partida con posibilidad de pagos anticipados de dos formas: afecta al valor razonable de los flujos de efectivo contractuales y al valor razonable de la opción de pago anticipado que contiene la partida que permite esta posibilidad. El párrafo 81 permite que una entidad designe como partida cubierta a una porción de un activo financiero o un pasivo financiero, que compartan una exposición al riesgo común, como la partida cubierta, siempre que la eficacia pueda ser medida. En el caso de las partidas que pueden ser pagadas anticipadamente, el párrafo 81A permite lograrlo mediante la designación de la partida cubierta en términos del cambio en el valor razonable que sea atribuible a cambios en la tasa de interés designada, sobre la base de las fechas de revisión de intereses </w:t>
      </w:r>
      <w:r w:rsidRPr="00401DFF">
        <w:rPr>
          <w:rFonts w:ascii="Times New Roman" w:eastAsia="Times New Roman" w:hAnsi="Times New Roman" w:cs="Times New Roman"/>
          <w:i/>
          <w:iCs/>
          <w:sz w:val="24"/>
          <w:szCs w:val="24"/>
          <w:lang w:eastAsia="es-CO"/>
        </w:rPr>
        <w:t>esperadas,</w:t>
      </w:r>
      <w:r w:rsidRPr="00401DFF">
        <w:rPr>
          <w:rFonts w:ascii="Times New Roman" w:eastAsia="Times New Roman" w:hAnsi="Times New Roman" w:cs="Times New Roman"/>
          <w:sz w:val="24"/>
          <w:szCs w:val="24"/>
          <w:lang w:eastAsia="es-CO"/>
        </w:rPr>
        <w:t xml:space="preserve"> no de las </w:t>
      </w:r>
      <w:r w:rsidRPr="00401DFF">
        <w:rPr>
          <w:rFonts w:ascii="Times New Roman" w:eastAsia="Times New Roman" w:hAnsi="Times New Roman" w:cs="Times New Roman"/>
          <w:i/>
          <w:iCs/>
          <w:sz w:val="24"/>
          <w:szCs w:val="24"/>
          <w:lang w:eastAsia="es-CO"/>
        </w:rPr>
        <w:t>contractuales</w:t>
      </w:r>
      <w:r w:rsidRPr="00401DFF">
        <w:rPr>
          <w:rFonts w:ascii="Times New Roman" w:eastAsia="Times New Roman" w:hAnsi="Times New Roman" w:cs="Times New Roman"/>
          <w:sz w:val="24"/>
          <w:szCs w:val="24"/>
          <w:lang w:eastAsia="es-CO"/>
        </w:rPr>
        <w:t xml:space="preserve">. No obstante, el efecto que los cambios en la tasa de interés cubierta tienen sobre esas fechas de revisión esperadas, se tendrá en cuenta al determinar el cambio en el valor razonable de la partida cubierta. En consecuencia, si se procede a reconsiderar las fechas de revisión de intereses esperadas (por ejemplo, para reflejar un cambio en los pagos anticipados esperados), o si las fechas de revisión reales difieren de las esperadas, podría aparecer ineficiencia tal como se describe en el párrafo GA126. Por el contrario, los cambios en las fechas de revisión esperadas que (a) estén claramente producidas por factores distintos del cambio en la tasa de interés cubierta, (b) no se relacionen con cambios en la tasa de interés cubierta y (c) puedan separarse fácilmente de los cambios cubiertos que sean atribuibles a la tasa de interés cubierta (por ejemplo, cambios en las tasas de pagos anticipados que estén causadas </w:t>
      </w:r>
      <w:r w:rsidRPr="00401DFF">
        <w:rPr>
          <w:rFonts w:ascii="Times New Roman" w:eastAsia="Times New Roman" w:hAnsi="Times New Roman" w:cs="Times New Roman"/>
          <w:sz w:val="24"/>
          <w:szCs w:val="24"/>
          <w:lang w:eastAsia="es-CO"/>
        </w:rPr>
        <w:lastRenderedPageBreak/>
        <w:t>por variaciones en factores demográficos o regulaciones fiscales más que por cambios en las tasas de interés), serán excluidos al determinar el cambio en el valor razonable de la partida cubierta, puesto que no son atribuibles al riesgo cubierto. Si hay incertidumbre respecto al factor que da lugar al cambio en las fechas de revisión de intereses esperadas, o la entidad no es capaz de separar de forma fiable los cambios que proceden de la tasa de interés de los que proceden de otros factores, se supondrá que dicho cambio en las fechas de revisión se debe a los cambios cubiertos en la tasa de interés.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GA122 La Norma no especifica las técnicas a utilizar para determinar el importe al que hace referencia el apartado (g) del párrafo GA114, esto es el cambio en el valor razonable de la partida cubierta que es atribuible al riesgo objeto de cobertura. Si con tal propósito se utilizan técnicas de estimación estadística, u otras diferentes, la gerencia debe esperar que el resultado obtenido se aproxime estrechamente al que se habría obtenido por la medición de todos los activos o pasivos individuales que constituyen la partida cubierta. No es adecuado suponer que los cambios en el valor razonable de la partida cubierta igualan a los cambios en el valor del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GA123 El párrafo 89A requiere que, si la partida cubierta en el periodo correspondiente a una revisión de intereses en particular es un activo, el cambio en su valor se presente en una partida separada, dentro de los activos. Por el contrario, si la partida cubierta para un periodo de revisión de intereses fuera un pasivo, el cambio en su valor se presentará en una partida separada, dentro de los pasivos. Esas son las partidas separadas a las que hace referencia el apartado (g) del párrafo GA114. No se requiere la presentación de una distribución específica a los activos (o pasivos) individuales.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GA124 El apartado (i) del párrafo GA114 señala que aparece ineficacia en la medida que el cambio en el valor razonable de la partida cubierta, que sea atribuible al riesgo cubierto, difiera del cambio en el valor razonable del derivado utilizado como cobertura. Tal diferencia puede surgir por varias razones, entre las que se encuentran: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que las fechas reales de revisión de intereses sean diferentes de las esperadas, o que se hayan reconsiderado las fechas de revisión esperadas;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que las partidas en la cartera que se está cubriendo sufran deterioro o sean dadas de baja;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que las fechas de pago del instrumento de cobertura sean diferentes que las correspondientes a la partida cubierta;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otras causas (por ejemplo cuando algunas de las partidas cubiertas tienen intereses a una tasa menor que la de referencia para el que habían sido designadas como cubiertas, y la ineficacia resultante no es tan grande que impida que la cartera en su conjunto deje de cumplir las condiciones de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Tal ineficacia</w:t>
      </w:r>
      <w:hyperlink r:id="rId56" w:anchor="bf1d8db9f204cef48978d3da19803d43287nf9" w:tgtFrame="_self" w:history="1">
        <w:r w:rsidRPr="00401DFF">
          <w:rPr>
            <w:rFonts w:ascii="Times New Roman" w:eastAsia="Times New Roman" w:hAnsi="Times New Roman" w:cs="Times New Roman"/>
            <w:color w:val="0000FF"/>
            <w:sz w:val="20"/>
            <w:szCs w:val="20"/>
            <w:u w:val="single"/>
            <w:vertAlign w:val="superscript"/>
            <w:lang w:eastAsia="es-CO"/>
          </w:rPr>
          <w:t>(52)</w:t>
        </w:r>
      </w:hyperlink>
      <w:r w:rsidRPr="00401DFF">
        <w:rPr>
          <w:rFonts w:ascii="Times New Roman" w:eastAsia="Times New Roman" w:hAnsi="Times New Roman" w:cs="Times New Roman"/>
          <w:sz w:val="24"/>
          <w:szCs w:val="24"/>
          <w:lang w:eastAsia="es-CO"/>
        </w:rPr>
        <w:t xml:space="preserve"> se identificará y reconocerá en el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GA125 Por lo general, la eficacia de la cobertura se verá mejorada: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entidad organiza las partidas con características diferentes respecto a la posibilidad de pago anticipado de manera que tenga en cuenta las diferencias en el comportamiento de anticipación en los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Cuanto más grande sea el número de partidas que componen la cartera. Cuando la cartera contiene sólo unas pocas partidas, es probable que se obtenga una ineficacia relativamente alta si una de las partidas tiene pagos anticipados antes o después de lo esperado. Por el contrario, cuando la cartera contiene muchas partidas, el comportamiento de anticipación en los pagos puede predecirse con mayor exactitud.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Utilizando periodos más cortos de revisión de los intereses (por ejemplo, periodos de un mes de duración en lugar de lugar de tres). Los periodos más cortos de revisión de intereses reducen el efecto de la falta de correspondencia entre las fechas de revisión y las de pago (dentro de dichos periodos) tanto para la partida cubierta como para 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Cuanto más frecuentes sean las revisiones del importe del instrumento de cobertura, para reflejar los cambios en la partida cubierta (por ejemplo, a causa de cambios en las expectativas referentes a los pagos anticipados).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GA126 Una entidad comprobará periódicamente la eficacia. Si las estimaciones de las fechas de revisión de intereses cambian entre una de las fechas en que la entidad realiza la evaluación de la eficacia y la siguiente, calculará el importe de la eficacia utilizando uno de los dos procedimientos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como la diferencia entre el cambio en el valor razonable del instrumento de cobertura [véase el apartado (h) del párrafo GA114] y el cambio en el valor de la totalidad de la partida cubierta que sea atribuible a variaciones en la tasa de interés cubiertas (incluyendo el efecto que tales cambios en la tasa de interés cubiertos tengan sobre el valor razonable de cualquier opción de pago anticipado implícita);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utilizando el siguiente procedimiento de aproximación.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Calculará el porcentaje de los activos (o pasivos) en cada periodo relacionado con la revisión que ha cubierto, a partir de las fechas de revisión de intereses estimadas en la última fecha en que comprobó la eficacia.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Aplicará este porcentaje a su estimación revisada del importe en dicho periodo de revisión, con el fin de calcular el importe de la partida cubierta a partir de dicha estimación revisada.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Calculará el cambio en el valor razonable de su estimación revisada de la partida cubierta que sea atribuible al riesgo cubierto y lo presentará como se establece en el apartado (g) del párrafo GA114.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(iv) Reconocerá una ineficacia igual a la diferencia entre el importe determinado en (iii) y el cambio en el valor razonable del instrumento cubierto [véase el apartado (h) del párrafo GA114].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GA127 Al medir la eficacia, la entidad distinguirá las reconsideraciones de las fechas estimadas de revisión de intereses de los activos (o pasivos) existentes, de las que correspondan a los nuevos activos (o pasivos) originados, ya que sólo los primeros darán lugar a ineficacia. Todas las reconsideraciones de las fechas de revisión estimadas (distintas de las que se hayan excluido de acuerdo con el párrafo GA121), conteniendo las eventuales redistribuciones de las partidas existentes, se incluirán al reconsiderar el importe estimado en cada periodo de acuerdo en el apartado (b) (ii) del párrafo GA126 y, por tanto, al medir la eficacia. Una vez se haya reconocido la ineficiencia como se ha establecido anteriormente, la entidad procederá a realizar una nueva estimación de los activos (pasivos) totales en cada periodo correspondiente a una revisión, incluyendo los nuevos activos (pasivos) que se hayan originado desde la última prueba de eficacia, y designará el nuevo importe de la partida cubierta, así como el nuevo porcentaje como porcentaje cubierto. Los procedimientos establecidos en el apartado (b) del párrafo GA126 se repetirán en la siguiente fecha en que se compruebe la eficacia.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GA128 Algunas partidas que fueron asignadas originalmente a un periodo de revisión de intereses, pueden ser dadas de baja por causa de un pago anticipado anterior a lo esperado o por bajas en cuentas producidas por deterioro del valor o venta. Cuando esto ocurra, el importe del cambio en el valor razonable, a incluir en la partida separada a que hace referencia el apartado (g) del párrafo GA114, que se relacione con la partida dada de baja debe ser eliminado del estado de situación financiera e incluido en la ganancia o pérdida procedente de la baja en cuentas de la partida. Para este propósito, es necesario conocer el periodo o periodos de revisión de intereses a los que se habían asignado las partidas dadas de baja, porque esto determina el periodo o periodos de los cuales se ha de eliminar la partida y, por tanto, el importe a eliminar de la partida separada a que hace referencia el párrafo GA114(g). Cuando se da de baja una partida, si se ha podido determinar el periodo en el que estaba incluida, se eliminará en ese periodo concreto. Si no se puede determinar este periodo en concreto, se eliminará del periodo más cercano en el caso de que la baja en cuentas produzca unos pagos anticipados mayores que los previstos, o bien se distribuirá entre todos los periodos que contuvieran la partida que se ha dado de baja en cuentas, utilizando un criterio sistemático y racional si la partida en cuestión hubiera sido vendida o si su valor se hubiera deteriorado.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GA129 Además, los importes relacionados con un periodo en particular que no hayan sido dados de baja cuando éste expire, se reconocerán en resultados en ese mismo periodo (véase el párrafo 89A). Por ejemplo, supóngase que la entidad programa partidas en tres periodos correspondientes a sendas revisiones de intereses. Al hacer la redesignación anterior, el cambio en el valor razonable que se presentó en la partida separada correspondiente del estado de situación financiera fue un activo por 25 u.m. Esta cantidad representa importes atribuibles a los periodos 1, 2 y 3 de 7 u.m., 8 u.m. y 10 u.m., respectivamente. En la siguiente redesignación, los activos atribuidos al periodo 1 han sido o bien realizados o reprogramados en otros periodos. Por tanto, se darán de baja 7 u.m. del estado de situación financiera y se reconocerán en resultados. Ahora, las 8 u.m. y 10 u.m. </w:t>
      </w:r>
      <w:r w:rsidRPr="00401DFF">
        <w:rPr>
          <w:rFonts w:ascii="Times New Roman" w:eastAsia="Times New Roman" w:hAnsi="Times New Roman" w:cs="Times New Roman"/>
          <w:sz w:val="24"/>
          <w:szCs w:val="24"/>
          <w:lang w:eastAsia="es-CO"/>
        </w:rPr>
        <w:lastRenderedPageBreak/>
        <w:t>son atribuibles a los periodos 1 y 2, respectivamente. En esos periodos restantes se producirá el ajuste, en la medida que sea necesario, por los cambios en el valor razonable que se describen en el apartado (g) del párrafo GA114.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GA130 Como ilustración de los requerimientos de los dos anteriores párrafos, supóngase que una entidad programa los activos distribuyendo y asignando un porcentaje de la cartera a cada periodo de revisión de intereses. Supóngase también que, como resultado de lo anterior, se han programado 100 u.m. en cada uno de los dos primeros periodos. Cuando expira el primer periodo correspondiente a la revisión, se dan de baja 110 u.m de activos, por causa de los pagos esperados y de los inesperados. En este caso, todo el importe contenido en la partida separada a que hace referencia el párrafo GA114(g) que se relaciona con el primer periodo se eliminará del estado de situación financiera, más un 10 por ciento del importe que se relaciona con el segundo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GA131 Si el importe cubierto correspondiente a un periodo de revisión de intereses se redujera sin que fueran dados de baja los activos (o pasivos), el importe incluido en la partida separada a que hace referencia el apartado (g) del párrafo GA114, que se relacione con la reducción, será amortizado de acuerdo con lo establecido en el párrafo 92.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GA132 Una entidad podría desear aplicar el procedimiento establecido en los párrafos GA114 a GA131 a una cobertura de cartera anteriormente contabilizada como una cobertura del flujo de efectivo de acuerdo con la NIC 39. En tal caso, la entidad revocaría la designación previa hecha para la cobertura del flujo de efectivo de acuerdo con el apartado (d) del párrafo 101 de la Norma, y aplicaría los requerimientos establecidos en dicho párrafo. También podría redesignar la cobertura como una de valor razonable y aplicar el enfoque establecido en los párrafos GA114 a GA131, de forma prospectiva, a los periodos contables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 (párrafo 103 a 108C)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GA133 Una entidad puede haber designado una transacción intragrupo prevista como una partida cubierta al comienzo de un periodo anual iniciado a partir del 1 de enero de 2005 (o, con el fin de reexpresar información comparativa, el comienzo de un periodo comparativo anterior) en una cobertura que cumplía las condiciones de la contabilidad de coberturas de acuerdo con lo establecido en esta Norma (modificada por la última frase del párrafo 80). Tal entidad puede utilizar esa designación para aplicar la contabilidad de coberturas en los estados financieros consolidados desde el comienzo del periodo anual iniciado a partir del 1 de enero de 2005 (o el comienzo del periodo comparativo anterior). Tal entidad aplicará también los párrafos GA99A y GA99B desde el comienzo del periodo anual que se inicie a partir del 1 de enero de 2005. No obstante, de acuerdo con el párrafo 108B, no necesita aplicar el párrafo GA99B a la información comparativa de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Cuando una entidad aplica la NIIF 7, la referencia a la NIC 32 se sustituye por una referencia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El párrafo 39 de la NIC 37 contiene guías sobre cómo determinar la mejor estimación en un rango de posibles soluciones.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(47) Las consideraciones sobre importancia relativa se aplican en este contexto de la misma forma que en el resto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La Norma permite que a la entidad designar cualquier importe de los activos o pasivos que cumplan las condiciones, lo que significa, para este ejemplo, cualquier importe de entre 0 y 100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30 u.m – (100 u.m – 40 u.m.) = 50 por ciento.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Véanse los párrafos 77 y GA94.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Véase el párrafo 75.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Las consideraciones sobre importancia relativa se aplican en este contexto de la misma forma que en el resto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40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Norma es prescribir el tratamiento contable de las propiedades de inversión y las exigencias de revelación de información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 Esta Norma será aplicable en el reconocimiento, medición y revelación de información de las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Entre otras cosas, esta Norma será aplicable para la medición, en los estados financieros de un arrendatario, de los derechos sobre una propiedad de inversión mantenida en arrendamiento y que se contabilice como un arrendamiento financiero y también se aplicará para la medición en los estados financieros de un arrendador, de las propiedades de inversión arrendadas en régimen de arrendamiento operativo. Esta Norma no trata los problemas cubiertos en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entre los que se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clasificación de los arrendamientos como arrendamientos financieros u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el reconocimiento de las rentas por arrendamiento de propiedades de inversión (ver también la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medición, en los estados financieros del arrendatario, de los derechos sobre propiedades mantenidas en arrendamiento operativo;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la medición, en los estados financieros del arrendador, de su inversión neta en un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contabilización de las transacciones de venta con arrendamiento posterior;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información a revelar sobre arrendamientos financieros y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Norma no será de aplicación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activos biológicos relacionados con la actividad agrícola (véase la NIC 41 </w:t>
      </w:r>
      <w:r w:rsidRPr="00401DFF">
        <w:rPr>
          <w:rFonts w:ascii="Times New Roman" w:eastAsia="Times New Roman" w:hAnsi="Times New Roman" w:cs="Times New Roman"/>
          <w:i/>
          <w:iCs/>
          <w:sz w:val="24"/>
          <w:szCs w:val="24"/>
          <w:lang w:eastAsia="es-CO"/>
        </w:rPr>
        <w:t>Agricultura);</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derechos mineros y reservas minerales tales como petróleo, gas natural y recursos no renovables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en libros</w:t>
      </w:r>
      <w:r w:rsidRPr="00401DFF">
        <w:rPr>
          <w:rFonts w:ascii="Times New Roman" w:eastAsia="Times New Roman" w:hAnsi="Times New Roman" w:cs="Times New Roman"/>
          <w:b/>
          <w:bCs/>
          <w:sz w:val="24"/>
          <w:szCs w:val="24"/>
          <w:lang w:eastAsia="es-CO"/>
        </w:rPr>
        <w:t xml:space="preserve"> es el importe por el que un activo se reconoce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Costo</w:t>
      </w:r>
      <w:r w:rsidRPr="00401DFF">
        <w:rPr>
          <w:rFonts w:ascii="Times New Roman" w:eastAsia="Times New Roman" w:hAnsi="Times New Roman" w:cs="Times New Roman"/>
          <w:b/>
          <w:bCs/>
          <w:sz w:val="24"/>
          <w:szCs w:val="24"/>
          <w:lang w:eastAsia="es-CO"/>
        </w:rPr>
        <w:t xml:space="preserve"> es el importe de efectivo o equivalentes al efectivo pagados, o bien el valor razonable de la contraprestación entregada, para adquirir un activo en el momento de su adquisición o construcción o, cuando fuere aplicable, el importe que se atribuye a ese activo cuando se lo reconoce inicialmente de acuerdo con los requerimientos específicos de otros NIIF, por ejemplo la NIIF 2 </w:t>
      </w:r>
      <w:r w:rsidRPr="00401DFF">
        <w:rPr>
          <w:rFonts w:ascii="Times New Roman" w:eastAsia="Times New Roman" w:hAnsi="Times New Roman" w:cs="Times New Roman"/>
          <w:b/>
          <w:bCs/>
          <w:i/>
          <w:iCs/>
          <w:sz w:val="24"/>
          <w:szCs w:val="24"/>
          <w:lang w:eastAsia="es-CO"/>
        </w:rPr>
        <w:t>Pagos Basados en Acciones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Propiedades de inversión</w:t>
      </w:r>
      <w:r w:rsidRPr="00401DFF">
        <w:rPr>
          <w:rFonts w:ascii="Times New Roman" w:eastAsia="Times New Roman" w:hAnsi="Times New Roman" w:cs="Times New Roman"/>
          <w:b/>
          <w:bCs/>
          <w:sz w:val="24"/>
          <w:szCs w:val="24"/>
          <w:lang w:eastAsia="es-CO"/>
        </w:rPr>
        <w:t xml:space="preserve"> son propiedades (terrenos o edificios, considerados en su totalidad o en parte, o ambos) que se tienen (por parte del dueño o por parte del arrendatario que haya acordado un arrendamiento financiero) para obtener rentas, apreciación del capital o ambas, en lugar de para: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su uso en la producción o suministro de bienes o servicios, o bien para fines administrativos;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 venta en el curso ordinario de las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Propiedades ocupadas por el dueño</w:t>
      </w:r>
      <w:r w:rsidRPr="00401DFF">
        <w:rPr>
          <w:rFonts w:ascii="Times New Roman" w:eastAsia="Times New Roman" w:hAnsi="Times New Roman" w:cs="Times New Roman"/>
          <w:b/>
          <w:bCs/>
          <w:sz w:val="24"/>
          <w:szCs w:val="24"/>
          <w:lang w:eastAsia="es-CO"/>
        </w:rPr>
        <w:t xml:space="preserve"> son las propiedades que se tienen (por parte del dueño o por parte del arrendatario que haya acordado un arrendamiento financiero) </w:t>
      </w:r>
      <w:r w:rsidRPr="00401DFF">
        <w:rPr>
          <w:rFonts w:ascii="Times New Roman" w:eastAsia="Times New Roman" w:hAnsi="Times New Roman" w:cs="Times New Roman"/>
          <w:b/>
          <w:bCs/>
          <w:sz w:val="24"/>
          <w:szCs w:val="24"/>
          <w:lang w:eastAsia="es-CO"/>
        </w:rPr>
        <w:lastRenderedPageBreak/>
        <w:t>para su uso en la producción o suministro de bienes o servicios, o bien para fines administrativos.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El derecho sobre una propiedad que el arrendatario mantenga en régimen de arrendamiento operativo, se podrá clasificar y contabilizar como una propiedad de inversión si, y sólo si, el elemento cumpliese, en su caso, la definición de propiedades de inversión, y el arrendatario emplease el modelo del valor razonable, establecido en los párrafos 33 a 55, para los activos reconocidos. Esta clasificación alternativa estará disponible para cada una de las propiedades por separado. Sin embargo, una vez que esta clasificación alternativa haya sido elegida para un derecho sobre una propiedad mantenida en régimen de arrendamiento operativo, todos los elementos clasificados como propiedades de inversión se contabilizarán utilizando el modelo del valor razonable. Cuando se elija esta clasificación alternativa, cualquier derecho sobre la propiedad así clasificada se incluirá en la información a revelar requerida en los párrafos 74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Las propiedades de inversión se tienen para obtener rentas, apreciación del capital o ambas. Por lo tanto, las propiedades de inversión generan flujos de efectivo que son en gran medida independientes de los procedentes de otros activos poseídos por la entidad. Esto distinguirá a las propiedades de inversión de las ocupadas por el dueño. La producción de bienes o la prestación de servicios (o el uso de propiedades para fines administrativos) generan flujos de efectivo que no son atribuibles solamente a las propiedades, sino a otros activos utilizados en la producción o en el proceso de prestación de servicios.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se aplican a las propiedades ocupadas por el dueño.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Los siguientes casos son ejemplos de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terreno que se tiene para obtener apreciación del capital a largo plazo y no para venderse en el corto plazo, dentro del curso ordinario de las actividades del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terreno que se tiene para un uso futuro no determinado (en el caso de que la entidad no haya determinado si el terreno se utilizará como propiedad ocupada por el dueño o para venderse a corto plazo, dentro del curso ordinario de las actividades del negocio, se considera que ese terreno se mantiene para obtener apreciación del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edificio que sea propiedad de la entidad (o bien un edificio obtenido a través de un arrendamiento financiero) y esté alquilado a través de uno o más 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edificio que esté desocupado y se tiene para ser arrendado a través de uno o más 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Inmuebles que están siendo construidos o mejorados para su uso futuro como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 Los siguientes son ejemplos de partidas que no son propiedades de inversión y que, por lo tanto, no se incluyen en el alcance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Inmuebles con el propósito de venderlos en el curso normal de las actividades del negocio o bien que se encuentran en proceso de construcción o desarrollo con vistas a dicha venta (véase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por ejemplo propiedades adquiridas exclusivamente para su disposición en un futuro cercano o para desarrollarlas y revenderlas.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Inmuebles que están siendo construidos o mejorados por cuenta de terceras personas (véase la NIC 11 </w:t>
      </w:r>
      <w:r w:rsidRPr="00401DFF">
        <w:rPr>
          <w:rFonts w:ascii="Times New Roman" w:eastAsia="Times New Roman" w:hAnsi="Times New Roman" w:cs="Times New Roman"/>
          <w:i/>
          <w:iCs/>
          <w:sz w:val="24"/>
          <w:szCs w:val="24"/>
          <w:lang w:eastAsia="es-CO"/>
        </w:rPr>
        <w:t>Contratos de Construcción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Propiedades ocupadas por el dueño (véase la NIC 16), incluyendo, entre otros, las propiedades que se tienen para su uso futuro como propiedades ocupadas por el dueño, propiedades que se tienen para realizar en ellas construcciones o desarrollos futuros y utilizarlos posteriormente como ocupados por el dueño, propiedades ocupadas por empleados (paguen o no rentas según su valor de mercado) y propiedades ocupadas por el dueño en espera de desprenderse de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propiedades arrendadas a otra entidad en régimen de arrendamiento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Ciertas propiedades se componen de una parte que se tiene para ganar rentas o apreciación del capital, y otra parte que se utiliza en la producción o suministro de bienes o servicios o bien para fines administrativos. Si estas partes pueden ser vendidas separadamente (o colocadas por separado en régimen de arrendamiento financiero), la entidad las contabilizará también por separado. Si no fuera así, la propiedad únicamente se calificará como propiedad de inversión cuando se utilice una porción insignificante del mismo para la producción o suministro de bienes o servicios o para fines administrativos.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En ciertos casos, la entidad suministra servicios complementarios a los ocupantes de una propiedad. Esta entidad tratará dicho elemento como propiedades de inversión si los servicios son un componente insignificante del contrato. Un ejemplo podría ser la vigilancia y los servicios de mantenimiento que proporciona el dueño de un edificio a los arrendatarios que lo ocupan.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En otros casos, los servicios proporcionados son un componente más significativo. Por ejemplo, si la entidad tiene y gestiona un hotel, los servicios proporcionados a los huéspedes son un componente significativo del contrato en su conjunto. Por lo tanto, un hotel gestionado por el dueño es una propiedad ocupada por éste y no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Puede ser difícil determinar si los servicios complementarios son lo suficientemente significativos para hacer que la propiedad no se califique como propiedades de inversión. Por ejemplo, el dueño de un hotel transfiere algunas veces ciertas responsabilidades a terceras partes en virtud de un contrato de administración. Los términos de dicho contrato </w:t>
      </w:r>
      <w:r w:rsidRPr="00401DFF">
        <w:rPr>
          <w:rFonts w:ascii="Times New Roman" w:eastAsia="Times New Roman" w:hAnsi="Times New Roman" w:cs="Times New Roman"/>
          <w:sz w:val="24"/>
          <w:szCs w:val="24"/>
          <w:lang w:eastAsia="es-CO"/>
        </w:rPr>
        <w:lastRenderedPageBreak/>
        <w:t>pueden variar ampliamente. En un extremo del espectro de posibilidades, la posición del dueño podría ser, en el fondo, la de un inversionista pasivo. En el otro extremo del espectro, el dueño podría simplemente haber subcontratado a terceros ciertas funciones de gestión diaria, pero conservando una exposición significativa a las variaciones en los flujos de efectivo generados por las operaciones del hotel.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Se requiere un juicio para determinar si una propiedad puede ser calificada como propiedades de inversión. La entidad desarrollará criterios para poder ejercer tal juicio de forma coherente, de acuerdo con la definición de propiedades de inversión y con las guías correspondientes que figuran en los párrafos 7 al 13. El apartado (c) del párrafo 75 requiere que la entidad revele dichos criterios cuando la clasificación resulte difícil.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En algunos casos, una entidad tiene una propiedad que arrienda a la controladora o a otra subsidiaria del mismo grupo y es ocupado por éstas. Esta propiedad no se calificará como de inversión, en los estados financieros consolidados que incluyen a ambas entidades, dado que se trata de una propiedad ocupada por el dueño, desde la perspectiva del grupo en su conjunto. Sin embargo, desde la perspectiva de la entidad que lo tiene, la propiedad es de inversión si cumple con la definición del párrafo 5. Por lo tanto, el arrendador tratará la propiedad como de inversión en sus estados financieros individuales.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Las propiedades de inversión se reconocerán como activos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sea probable que los beneficios económicos futuros que estén asociados con tales propiedades de inversión fluyan hacia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costo de las propiedades de inversión pueda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Según este criterio de reconocimiento, la entidad evaluará todos los costos de sus propiedades de inversión, en el momento en que incurra en ellos. Estos costos comprenderán tanto aquéllos en que se ha incurrido inicialmente para adquirir o construir una partida de propiedades, como los costos incurridos posteriormente para añadir, sustituir parte o mantener el elemento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De acuerdo con el criterio de reconocimiento contenido en el párrafo 16, la entidad no reconocerá, en el importe en libros de una propiedad de inversión, los costos derivados del mantenimiento diario del elemento. Tales costos se reconocerán en el resultado cuando se incurra en ellos. Los costos del mantenimiento diario son principalmente los costos de mano de obra y los consumibles, que pueden incluir el costo de pequeños componentes. El objetivo de estos desembolsos se describe a menudo como “reparaciones y conservación”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19 Algunos componentes de las propiedades de inversión podrían haber sido adquiridos en sustitución de otros anteriores. Por ejemplo, las paredes interiores pueden sustituirse por otras distintas de las originales. Según el criterio de reconocimiento, la entidad reconocerá </w:t>
      </w:r>
      <w:r w:rsidRPr="00401DFF">
        <w:rPr>
          <w:rFonts w:ascii="Times New Roman" w:eastAsia="Times New Roman" w:hAnsi="Times New Roman" w:cs="Times New Roman"/>
          <w:sz w:val="24"/>
          <w:szCs w:val="24"/>
          <w:lang w:eastAsia="es-CO"/>
        </w:rPr>
        <w:lastRenderedPageBreak/>
        <w:t>en el importe en libros de una propiedad de inversión el costo de sustituir un componente del mismo, siempre que satisfaga los criterios de reconocimiento, desde el mismo momento en que se incurra en dicho costo. El importe en libros de estos componentes sustituidos se dará de baja de acuerdo con los criterios de baja en cuentas contemplados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en el momento del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Las propiedades de inversión se medirán inicialmente al costo. Los costos asociados a la transacción se incluirán en la medición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El costo de adquisición de una propiedad de inversión comprenderán su precio de compra y cualquier desembolso directamente atribuible. Los desembolsos directamente atribuibles incluyen, por ejemplo, honorarios profesionales por servicios legales, impuestos por traspaso de las propiedades y otros costos asociados a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 costo de una propiedad de inversión no se incrementará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costos de puesta en marcha (a menos que sean necesarios para poner la propiedad en la condición necesaria para que pueda operar de la manera prevista por la administración),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pérdidas de operación incurridas antes de que la propiedad de inversión logre el nivel planeado de ocupación,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cantidades anormales de desperdicios, mano de obra u otros recursos incurridos en la construcción o en el desarrollo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Si el pago por una propiedad de inversión se aplazase, su costo será el equivalente al precio de contado. La diferencia entre esta cuantía y el total de pagos se reconocerá como un gasto por intereses durante el periodo de aplazamiento.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25 El costo inicial del derecho sobre una propiedad mantenida en régimen de arrendamiento financiero y clasificado como propiedad de inversión, será el establecido para los arrendamientos financieros en el párrafo 20 de la NIC 17; esto es, el activo se reconocerá por el menor importe entre el valor razonable de la propiedad y el valor presente de los pagos mínimos por arrendamiento. De acuerdo con ese mismo párrafo, se reconocerá como pasivo, un importe equivalente.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Cualquier importe adicional que se haya pagado por el arrendamiento se tratará, para los propósitos de medición, como parte de los pagos mínimos por arrendamiento, y por tanto quedará incluido en el costo del activo, pero se excluirá del pasivo correspondiente. Si una participación en una propiedad mantenida bajo arrendamiento se clasifica como propiedades de inversión, la partida contabilizada por su valor razonable será esa participación y no la propiedad subyacente. ...En los párrafos 33 a 35, 40, 41, 48, 50 y 52 y en la NIIF 13 se establecen guías para medir el valor razonable del derecho sobre una </w:t>
      </w:r>
      <w:r w:rsidRPr="00401DFF">
        <w:rPr>
          <w:rFonts w:ascii="Times New Roman" w:eastAsia="Times New Roman" w:hAnsi="Times New Roman" w:cs="Times New Roman"/>
          <w:sz w:val="24"/>
          <w:szCs w:val="24"/>
          <w:lang w:eastAsia="es-CO"/>
        </w:rPr>
        <w:lastRenderedPageBreak/>
        <w:t>propiedad de acuerdo con el modelo del valor razonable. Estas directrices serán también las relevantes para medir el valor razonable, en caso de que dicho valor se use como costo a efectos del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Algunas propiedades de inversión pueden haber sido adquiridas a cambio de uno o varios activos no monetarios, o de una combinación de activos monetarios y no monetarios. La siguiente discusión se refiere a la permuta de un activo no monetario por otro, pero también es aplicable a todas las permutas descritas en la frase anterior. El costo de dicha propiedad de inversión se medirá por su valor razonable, a menos que (a) la transacción de intercambio no tenga carácter comercial, o (b) no pueda medirse con fiabilidad el valor razonable del activo recibido ni el del activo entregado. El activo adquirido se medirá de esta forma incluso cuando la entidad no pueda dar de baja inmediatamente el activo entregado. Si el activo adquirido no se mide por su valor razonable, su costo se medirá por el importe en libros del activo entregado.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determinará si una transacción de intercambio tiene carácter comercial mediante la consideración de la medida en que se espera que cambien sus flujos de efectivo futuros como resultado de la transacción. Una transacción de intercambio tiene naturaleza comercial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configuración (riesgo, calendario e importe) de los flujos de efectivo del activo recibido difiere de la configuración de los flujos de efectivo del activo transferido;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específico para la entidad de la parte de sus actividades afectada por la permuta, se ve modificado como consecuencia del intercambio; y además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diferencia identificada en (a) o en (b) es significativa al compararla con el valor razonable de los activos intercambiados.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Al determinar si una permuta tiene carácter comercial, el valor específico para la entidad de la parte de sus actividades afectadas por la transacción deberá tener en cuenta los flujos de efectivo después de impuestos. El resultado de estos análisis puede ser claro sin que una entidad tenga que realizar cálculos detallados.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El valor razonable de un activo, puede medirse con fiabilidad si (a) la variabilidad en el rango de las mediciones del valor razonable del activo no es significativa, o (b) las probabilidades de las diferentes estimaciones, dentro de ese rango, pueden ser evaluadas razonablemente y utilizadas en la medición del valor razonable. Si la entidad es capaz de medir de forma fiable los valores razonables del activo recibido o del activo entregado, entonces, se utilizará el valor razonable del activo entregado para medir el costo del activo recibido, a menos que se tenga una evidencia más clara del valor razonable del activo recibido.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al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30 A excepción de lo señalado en los párrafos 32A y 34, la entidad elegirá como política contable el modelo del valor razonable, contenido en los párrafos 33 a 55, o el modelo del costo, contenido en el párrafo 56, y aplicará esa política a todas sus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La NIC 8 </w:t>
      </w:r>
      <w:r w:rsidRPr="00401DFF">
        <w:rPr>
          <w:rFonts w:ascii="Times New Roman" w:eastAsia="Times New Roman" w:hAnsi="Times New Roman" w:cs="Times New Roman"/>
          <w:i/>
          <w:iCs/>
          <w:sz w:val="24"/>
          <w:szCs w:val="24"/>
          <w:lang w:eastAsia="es-CO"/>
        </w:rPr>
        <w:t xml:space="preserve">Políticas Contables, Cambios en las Estimaciones Contables y Errores </w:t>
      </w:r>
      <w:r w:rsidRPr="00401DFF">
        <w:rPr>
          <w:rFonts w:ascii="Times New Roman" w:eastAsia="Times New Roman" w:hAnsi="Times New Roman" w:cs="Times New Roman"/>
          <w:sz w:val="24"/>
          <w:szCs w:val="24"/>
          <w:lang w:eastAsia="es-CO"/>
        </w:rPr>
        <w:t>señala que se realizará un cambio voluntario en las políticas contables únicamente si dicho cambio diese lugar a que los estados financieros proporcionen información más relevante y fiable sobre los efectos de las transacciones, otros eventos o condiciones sobre la situación financiera de la entidad, el rendimiento financiero o los flujos de efectivo. Es altamente improbable que un cambio del modelo del valor razonable al modelo del costo proporcione una presentación más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Esta Norma requiere a todas las entidades medir el valor razonable de sus propiedades de inversión para propósitos de medición (modelo del valor razonable) o revelación (modelo del costo). Se recomienda a las entidades, pero no se les obliga, a medir el valor razonable de sus propiedades de inversión a partir de una tasación practicada por un experto independiente que tenga una capacidad profesional reconocida y una experiencia reciente en la localidad y en el tipo de propiedad de inversión que está siendo medido.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32A La entidad puede: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escoger el modelo de valor razonable o el modelo del costo para todas las propiedades de inversión que respaldan obligaciones de pagar un retorno vinculado directamente con el valor razonable o con los retornos provenientes de activos especificados, incluyendo esa propiedad para inversión;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escoger el modelo de valor razonable o el modelo del costo para todas las otras propiedades para inversión, independiente de la elección realizada en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32B Algunos aseguradores y otras entidades operan un fondo de propiedad interna que emite unidades nominales, con algunas entidades tenidas por los inversionistas en contratos vinculados y otras tenidas por la entidad. El párrafo 32A no permite que una entidad mida una propiedad tenida por el fondo parcialmente al costo y parcialmente a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32C Si una entidad escoge modelos diferentes para las dos categorías descritas en el párrafo 32A, las ventas de propiedades para inversión que se hagan entre conjuntos de activos medidos usando diferentes modelos se deben reconocer a su valor razonable, y el cambio acumulativo en el valor razonable se debe reconocer en resultados. De acuerdo con ello, si la propiedad para inversión es vendida desde un conjunto en el cual se usa el modelo de valor razonable a otro en que se emplea el modelo del costo, el valor razonable de la propiedad en la fecha de la venta será su costo atribuido.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33 Con posterioridad al reconocimiento inicial, la entidad que haya escogido el modelo del valor razonable medirá todas sus propiedades de inversión al valor razonable, excepto en los casos descritos en el párrafo 53.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Cuando el derecho sobre una propiedad, mantenida por el arrendatario en régimen de arrendamiento operativo, se clasifique como propiedades de inversión de acuerdo con el párrafo 6, no es aplicable la elección señalada en el párrafo 30; de forma que se aplicará forzosamente el 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Las pérdidas o ganancias derivadas de un cambio en el valor razonable de las propiedades de inversión se incluirán en el resultado del periodo en que surjan.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36-39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Cuando se mide el valor razonable de una propiedad de inversión de acuerdo con la NIIF 13, una entidad se asegurará de que el valor razonable refleja, entre otras cosas, los ingresos por alquileres de los arrendamientos actuales y otros supuestos que los participantes del mercado utilizarían al fijar el precio de la propiedad de inversión en condiciones de mercado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El párrafo 25 especifica las bases para el reconocimiento inicial del costo de la participación en una propiedad arrendada. El párrafo 33 requiere que el derecho sobre una propiedad arrendada se reexprese, si fuera necesario, por su valor razonable. En un arrendamiento negociado con tasas de interés de mercado, el valor razonable inicial del derecho sobre una propiedad arrendada neto de todos los pagos esperados por el arrendamiento (incluyendo los relacionados con los pasivos reconocidos), debería ser cero. Este valor razonable no cambia independientemente de si, a efectos contables, se reconoce el activo arrendado y el pasivo correspondiente, ya sea por su valor razonable o por el valor presente de los pagos mínimos del arrendamiento, de acuerdo con lo establecido en el párrafo 20 de la NIC 17. Por tanto, reexpresar un activo arrendado sustituyendo su costo, determinado de acuerdo con el párrafo 25, por su valor razonable, determinado de acuerdo con el párrafo 33, no debería dar lugar a ninguna pérdida o ganancia inicial, a menos que el valor razonable fuera determinado en diferentes momentos del tiempo. Esto podría suceder cuando se ha elegido aplicar el modelo del valor razonable después del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42-47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En casos excepcionales, cuando una entidad adquiere por primera vez una propiedad de inversión (o cuando una propiedad existente se convierte por primera vez en propiedades de inversión, después de un cambio en su uso) puede existir evidencia clara de que la variación del rango de las mediciones del valor razonable será muy alta y las probabilidades de los distintos resultados posibles serán muy difíciles de evaluar, de tal forma que la utilidad de una sola medición del valor razonable queda invalidada. Esta situación podría indicar que el valor razonable de la propiedad no podrá ser medido con fiabilidad de una manera continua (véase el párrafo 53).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 Al determinar el importe en libros de una propiedad de inversión según el modelo del valor razonable, una entidad no duplicará la contabilización de activos o pasivos que se reconozcan como activos y pasivos separados.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Equipos, tales como ascensores o aire acondicionado, que son frecuentemente parte integrante de un edificio, y se reconocerán, por lo general, dentro de la propiedad de inversión, en lugar de estar reconocidos de forma separada como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una oficina se alquila amueblada, el valor razonable de la oficina incluirá por lo general el valor razonable del mobiliario, debido a que el ingreso por arrendamiento deriva de la oficina con los muebles. Cuando el mobiliario se incluya en el valor razonable de la propiedad de inversión, la entidad no reconocerá dicho mobiliario como un activo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razonable de una propiedad de inversión excluirá ingresos por rentas anticipadas o a cobrar de arrendamientos operativos, ya que la entidad reconoce éstos como pasivos o activos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valor razonable de las propiedades de inversión mantenidas en arrendamiento reflejará los flujos de efectivo esperados (incluyendo las cuotas contingentes que se espera den lugar a las correspondientes cuentas por pagar). Por consiguiente, si la valoración obtenida para un inmueble es neta de todos los pagos que se espera realizar, será necesario, volver a sumar los pasivos por arrendamiento reconocidos para obtener el importe en libros de las propiedades de inversión utilizando el 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52 En algunos casos, la entidad espera que el valor presente de sus pagos relativos a una propiedad de inversión (distintos de los pagos relativos a los pasivos financieros reconocidos) exceda al valor presente de los flujos de efectivo por recibir. La entidad aplicará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para determinar si debe reconocer un pasivo y cómo debe proceder, en tal caso, a su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Imposibilidad de medir el valor razonable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53 Existe una presunción refutable de que una entidad podrá medir, de forma fiable y continua, el valor razonable de una propiedad de inversión. Sin embargo, en casos excepcionales, cuando la entidad adquiera por primera vez una propiedad de inversión (o cuando un inmueble existente se convierta por primera vez en propiedades de inversión después de un cambio en su uso) existe evidencia clara de que la entidad no va a poder medir de forma fiable y continua el valor razonable de la propiedad de inversión. Esto surge cuando, y solo cuando, el mercado para propiedades similares está inactivo (es decir existen pocas transacciones recientes, las cotizaciones de precios no son actuales o los precios de transacciones observadas </w:t>
      </w:r>
      <w:r w:rsidRPr="00401DFF">
        <w:rPr>
          <w:rFonts w:ascii="Times New Roman" w:eastAsia="Times New Roman" w:hAnsi="Times New Roman" w:cs="Times New Roman"/>
          <w:b/>
          <w:bCs/>
          <w:sz w:val="24"/>
          <w:szCs w:val="24"/>
          <w:lang w:eastAsia="es-CO"/>
        </w:rPr>
        <w:lastRenderedPageBreak/>
        <w:t>indican que el vendedor estuvo forzado a vender), y no se pueda disponer de otras formas de medir el valor razonable (por ejemplo, a partir de las proyecciones de flujos de efectivo descontados). Si una entidad estableciese que el valor razonable de una propiedad de inversión en construcción no se puede medir con fiabilidad, pero espera que lo sea cuando finalice su construcción, medirá dicha propiedad de inversión en construcción por su costo hasta que pueda determinar su valor razonable de forma fiable o haya completado su construcción (lo que suceda en primer lugar). Si una entidad determinase que el valor razonable de una propiedad de inversión (distinta de una propiedad de inversión en construcción) no se puede medir con fiabilidad de una forma continuada, la entidad medirá dicha propiedad de inversión aplicando el modelo del costo de la NIC 16. Se supondrá que el valor residual de la propiedad de inversión es cero. La entidad aplicará la NIC 16 hasta la disposición de las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53A Una vez que una entidad sea capaz de medir con fiabilidad el valor razonable de una propiedad de inversión en construcción que anteriormente haya sido medida al costo, medirá dicho inmueble por su valor razonable. Una vez finalizada la construcción de ese inmueble, supondrá que el valor razonable puede medirse con fiabilidad. Si no fuera el caso, de acuerdo con el párrafo 53, el inmueble se contabilizará utilizando el modelo del costo de acuerdo con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53B La presunción de que el valor razonable de las propiedades de inversión en construcción puede medirse con fiabilidad puede ser refutable solo en su reconocimiento inicial. Una entidad que haya medido una partida de propiedades de inversión en construcción por su valor razonable no puede concluir que el valor razonable de dicha propiedad de inversión una vez terminada no puede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En casos excepcionales, cuando una entidad se vea forzada, por la razón dada en el párrafo 53, a medir una propiedad de inversión utilizando el modelo del costo de acuerdo con la NIC 16, medirá el resto de sus propiedades de inversión por su valor razonable, incluyendo las que estén en construcción. En estos casos, aunque una entidad puede utilizar el modelo del costo para una propiedad de inversión, en particular continuará contabilizando cada uno de los restantes inmuebles usando el 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Si la entidad ha medido previamente una propiedad de inversión por su valor razonable, continuará midiéndola a valor razonable hasta que se disponga de la misma (o hasta que la propiedad sea ocupada por el propietario, o la entidad comience la transformación del mismo para venderlo en el curso ordinario de su actividad) aún si las transacciones comparables en el mercado se hicieran menos frecuentes, o bien los precios de mercado estuvieran disponibles menos fácilmente.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56 Después del reconocimiento inicial, la entidad que elija el modelo del costo medirá sus propiedades de inversión aplicando los requisitos establecidos en la NIC 16 para ese modelo, en lugar de los previstos para los que satisfagan los criterios para ser clasificados como mantenidos para su venta (o sean incluidos en un grupo de activos </w:t>
      </w:r>
      <w:r w:rsidRPr="00401DFF">
        <w:rPr>
          <w:rFonts w:ascii="Times New Roman" w:eastAsia="Times New Roman" w:hAnsi="Times New Roman" w:cs="Times New Roman"/>
          <w:b/>
          <w:bCs/>
          <w:sz w:val="24"/>
          <w:szCs w:val="24"/>
          <w:lang w:eastAsia="es-CO"/>
        </w:rPr>
        <w:lastRenderedPageBreak/>
        <w:t xml:space="preserve">para su disposición que sea clasificado como mantenido para la venta) de acuerdo con la NIIF 5 </w:t>
      </w:r>
      <w:r w:rsidRPr="00401DFF">
        <w:rPr>
          <w:rFonts w:ascii="Times New Roman" w:eastAsia="Times New Roman" w:hAnsi="Times New Roman" w:cs="Times New Roman"/>
          <w:b/>
          <w:bCs/>
          <w:i/>
          <w:iCs/>
          <w:sz w:val="24"/>
          <w:szCs w:val="24"/>
          <w:lang w:eastAsia="es-CO"/>
        </w:rPr>
        <w:t>Activos no Corrientes Mantenidos para la Venta y Operaciones Discontinuadas</w:t>
      </w:r>
      <w:r w:rsidRPr="00401DFF">
        <w:rPr>
          <w:rFonts w:ascii="Times New Roman" w:eastAsia="Times New Roman" w:hAnsi="Times New Roman" w:cs="Times New Roman"/>
          <w:b/>
          <w:bCs/>
          <w:sz w:val="24"/>
          <w:szCs w:val="24"/>
          <w:lang w:eastAsia="es-CO"/>
        </w:rPr>
        <w:t>. Las propiedades de inversión que satisfagan el criterio de ser clasificadas como mantenidas para la venta (o sean incluidos en un grupo de activos para su disposición que sea clasificado como mantenido para la venta) se medirán de acuerdo con la 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 Se realizarán transferencias a, o de, propiedad de inversión cuando, y solo cuando, exista un cambio en su uso, que se haya evidenciado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inicio de la ocupación por parte del propietario, en el caso de una transferencia de una propiedad de inversión a una instalación ocupada por el dueño;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inicio de un desarrollo con intención de venta, en el caso de una transferencia de una propiedad de inversión a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fin de la ocupación por parte del dueño, en el caso de la transferencia de una instalación ocupada por el propietario a una propiedad de inversión;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inicio de una operación de arrendamiento operativo a un tercero, en el caso de una transferencia de inventarios a propiedad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El apartado (b) del anterior párrafo 57 requiere que la entidad transfiera una propiedad de inversión a inventarios cuando, y sólo cuando, exista un cambio de uso, evidenciado por el inicio de un desarrollo con intención de venta. Cuando la entidad decida disponer de una propiedad de inversión sin hacer un desarrollo específico, continuará calificando a la propiedad como de inversión hasta que sea dada de baja en cuentas (eliminado del estado de situación financiera) y no lo tratará como si fuera un elemento de las inventarios. De forma similar, si la entidad reinicia el desarrollo de una propiedad de inversión, para continuar manteniéndolo en el futuro como propiedad de inversión, ésta permanecerá como tal y no se reclasificará como instalación ocupada por el dueño durante su nueva etapa de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Los párrafos 60 a 65 tratan problemas de reconocimiento y medición que son aplicables cuando la entidad aplica el modelo del valor razonable para las propiedades de inversión. Cuando la entidad utiliza el modelo del costo, las transferencias entre propiedades de inversión, instalaciones ocupadas por el dueño e inventarios, no varían el importe en libros ni el costo de dichas propiedades, a efectos de medición o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60 Para la transferencia de propiedades de inversión, contabilizadas según su valor razonable, a propiedades ocupadas por el dueño o a inventarios, el costo de la </w:t>
      </w:r>
      <w:r w:rsidRPr="00401DFF">
        <w:rPr>
          <w:rFonts w:ascii="Times New Roman" w:eastAsia="Times New Roman" w:hAnsi="Times New Roman" w:cs="Times New Roman"/>
          <w:b/>
          <w:bCs/>
          <w:sz w:val="24"/>
          <w:szCs w:val="24"/>
          <w:lang w:eastAsia="es-CO"/>
        </w:rPr>
        <w:lastRenderedPageBreak/>
        <w:t>propiedad a efectos de contabilizaciones posteriores, ya se utilice la NIC 16 o la NIC 2, será el valor razonable en la fecha del cambio de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Si una propiedad ocupada por el dueño se convierte en una propiedad de inversión, que se contabilizará por su valor razonable, la entidad aplicará la NIC 16 hasta la fecha del cambio de uso. La entidad tratará cualquier diferencia, a esa fecha, entre el importe en libros de la propiedad determinado aplicando la NIC 16 y el valor razonable, de la misma forma en la que registraría una revaluación aplicando lo dispuesto en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Hasta la fecha en la que las propiedades ocupadas por el dueño se conviertan en propiedades de inversión, contabilizadas por su valor razonable, la entidad continuará amortizando la propiedad y reconocerá cualquier pérdida por deterioro de valor que haya ocurrido. La entidad tratará cualquier diferencia en esa fecha, entre el importe en libros de la propiedad determinado aplicando la NIC 16, y su valor razonable, de la misma forma que una revaluación en la NIC 16. En otras palabras: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Cualquier disminución que tenga lugar en el importe en libros de la propiedad, se reconocerá en el resultado. Sin embargo, en la medida en que el importe esté incluido en el superávit de revaluación de esa propiedad, la disminución se reconocerá en otro resultado integral y se reducirá el superávit de revaluación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aumento que tenga lugar en el importe en libros será tratado como sigue: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En la medida en que tal aumento sea la reversión de una pérdida por deterioro del valor, previamente reconocida para esa propiedad, el aumento se reconocerá en el resultado del periodo. El importe reconocido en el resultado del periodo no excederá al importe necesario para restaurar el importe en libros que se hubiera determinado (neto de depreciación) si no se hubiera reconocido la pérdida por 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Cualquier remanente del aumento se reconocerá en otro resultado integral e incrementa el superávit de revaluación dentro del patrimonio. En el caso de disposiciones posteriores de las propiedades de inversión, los superávit de revaluación incluidos en el patrimonio pueden ser transferidos a las ganancias acumuladas. Esta transferencia del superávit de revaluación a las ganancias acumuladas no se hará a través de los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63 En caso de la transferencia de un elemento desde inventarios a propiedades de inversión, para contabilizarlo por su valor razonable, cualquier diferencia entre el valor razonable de la propiedad a esa fecha y su importe en libros anterior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El tratamiento de transferencias de inventarios a propiedades de inversión, que vaya a ser contabilizadas por su valor razonable, habrá de ser coherente con el tratamiento de las ventas de 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65 Cuando una entidad termine la construcción o desarrollo de una propiedad de inversión construida por la propia entidad, que vaya a ser contabilizada por su valor razonable, cualquier diferencia entre el valor razonable de la propiedad a esa fecha y su importe en libros anterior,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66 Las propiedades de inversión se darán de baja en cuentas (eliminadas del estado de situación financiera) en el momento de su disposición o cuando las propiedades de inversión queden permanentemente retiradas de uso y no se esperen beneficios económicos futuros procedentes de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La disposición de una propiedad de inversión puede producirse bien por su venta o por su incorporación a un arrendamiento financiero. Para determinar la fecha de disposición de una propiedad de inversión, la entidad aplicará los criterios de la NIC 18, para reconocer el ingreso en la venta de los bienes, y considerará las guías relacionadas de los ejemplos ilustrativos que acompañan a la NIC 18. La NIC 17 será de aplicación en el caso de una disposición que revista la forma de arrendamiento financiero o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Si, de acuerdo con el criterio de reconocimiento del párrafo 16, la entidad reconoce en el importe en libros de un activo el costo de sustitución de parte de una propiedad de inversión, dará de baja el importe en libros del elemento sustituido. Para las propiedades de inversión contabilizadas según el modelo del costo, el elemento sustituido podría no ser un elemento que se hubiera amortizado de forma independiente. Si no fuera practicable para la entidad determinar el importe en libros del elemento sustituido, podrá utilizar el costo de la sustitución como indicativo de cuál era el costo del elemento sustituido en el momento en el que fue adquirido o construido. Según el modelo del valor razonable, el valor razonable de la propiedad de inversión podrá ya reflejar la pérdida de valor del elemento que va a ser sustituido. En otros casos puede ser difícil distinguir qué importe del valor razonable debería reducirse por causa del elemento que va a ser sustituido. Una alternativa para proceder a esta reducción del valor razonable del elemento sustituido, cuando no resulte practicable hacerlo directamente, es incluir el costo de la sustitución en el importe en libros del activo, y luego volver a evaluar el valor razonable, de forma similar a lo requerido para ampliaciones que no implican sustitución.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69 La pérdida o ganancia resultante del retiro o la disposición de una propiedad de inversión, se determinarán como la diferencia entre los ingresos netos de la transacción y el importe en libros del activo, y se reconocerá en el resultado del periodo en que tenga lugar el retiro o la disposición (a menos que la NIC 17 exija otra cosa, en el caso de una venta con arrendamiento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70 La contraprestación a cobrar, derivada de la disposición de una propiedad de inversión, se reconocerá inicialmente según su valor razonable. En particular, si el pago por una propiedad de inversión se aplaza, la contraprestación recibida se reconocerá inicialmente por el equivalente de su precio al contado. La diferencia entre el importe nominal de la contraprestación y el equivalente al precio de contado, se reconocerá como un ingreso de </w:t>
      </w:r>
      <w:r w:rsidRPr="00401DFF">
        <w:rPr>
          <w:rFonts w:ascii="Times New Roman" w:eastAsia="Times New Roman" w:hAnsi="Times New Roman" w:cs="Times New Roman"/>
          <w:sz w:val="24"/>
          <w:szCs w:val="24"/>
          <w:lang w:eastAsia="es-CO"/>
        </w:rPr>
        <w:lastRenderedPageBreak/>
        <w:t>actividades ordinarias por intereses según lo establecido en la NIC 18, en función del tiempo transcurrido y tomando en consideración el método del interés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La entidad aplicará la NIC 37, u otras Normas que considere apropiadas, a cualquier pasivo que permanezca después de disposición de una propiedad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72 Las compensaciones de terceros por causa de propiedades de inversión que hayan deteriorado su valor, se hayan perdido o abandonado, se reconocerán en el resultado del periodo cuando dichas compensaciones sean exigibles.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El deterioro del valor o las pérdidas en propiedades de inversión, las reclamaciones asociadas o pagos por compensación de terceros y cualquier compra o construcción posterior de activos sustituidos son hechos económicos independientes y por eso se contabilizarán independientemente,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pérdidas por deterioro del valor de las propiedades de inversión se reconocerán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retiros o disposición de las propiedades de inversión se reconocerán de acuerdo con los párrafos 66 a 71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compensación de terceros por la propiedad de inversión cuyo valor haya sufrido un deterioro, haya experimentado una pérdida o haya sido objeto de disposición se reconocerá en el resultado del periodo en el que dicha compensación sea exigible;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costo de los activos rehabilitados, comprados o construidos como sustitutos se determinará de acuerdo con los párrafos 20 a 29 de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Modelos del valor razonable y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La siguiente información a revelar se aplicará de forma adicional a la contenida en la NIC 17. De acuerdo con la NIC 17, el dueño de las propiedades de inversión incluirá las revelaciones correspondientes al arrendador respecto a los arrendamientos en los que haya participado. La entidad que mantenga una propiedad de inversión en régimen de arrendamiento financiero u operativo, incluirá las revelaciones del arrendatario para los arrendamientos financieros y las revelaciones del arrendador para los arrendamientos operativos en los que haya participado.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75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aplica el modelo del valor razonable o el 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Cuando aplique el modelo del valor razonable, en qué circunstancias se clasifican y contabilizan como propiedades de inversión los derechos sobre propiedades mantenidas en régimen de arrendamiento operativo.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Cuando la clasificación resulte difícil (véase el párrafo 14), los criterios desarrollados por la entidad para distinguir las propiedades de inversión de las propiedades ocupadas por el dueño y de las propiedades que se tienen para vender en el curso normal de las actividades del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 medida en que el valor razonable de las propiedades de inversión (tal como han sido medidas o reveladas en los estados financieros) está basado en una tasación hecha por un perito independiente que tenga una capacidad profesional reconocida y una experiencia reciente en la localidad y categoría de las propiedades de inversión objeto de la valoración. Si no hubiera tenido lugar dicha forma de valoración, se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Las cifras incluidas en el resultado del periodo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ingresos derivados de rentas provenientes de las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gastos directos de operación (incluyendo reparaciones y mantenimiento) relacionados con las propiedades de inversión que generaron ingresos por rentas durante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gastos directos de operación (incluyendo reparaciones y mantenimiento) relacionados con las propiedades de inversión que no generaron ingresos en concepto de rentas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el cambio acumulado en el valor razonable que se haya reconocido en el resultado por la venta de una propiedad de inversión, perteneciente al conjunto de activos en los que se aplica el modelo del costo, al otro conjunto de activos en los que se aplica el modelo del valor razonable (véase el párrafo 32C).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La existencia e importe de las restricciones a la realización de las propiedades de inversión, al cobro de los ingresos derivados de las mismas o de los recursos obtenidos por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 Las obligaciones contractuales para adquisición, construcción o desarrollo de propiedades de inversión, o por concepto de reparaciones, mantenimiento o mejoras de las mismas.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76 Además de las revelaciones exigidas por el párrafo 75, la entidad que aplique el modelo del valor razonable descrito en los párrafos 33 a 55, también revelará una conciliación del importe en libros de los</w:t>
      </w:r>
      <w:r w:rsidRPr="00401DFF">
        <w:rPr>
          <w:rFonts w:ascii="Times New Roman" w:eastAsia="Times New Roman" w:hAnsi="Times New Roman" w:cs="Times New Roman"/>
          <w:sz w:val="24"/>
          <w:szCs w:val="24"/>
          <w:lang w:eastAsia="es-CO"/>
        </w:rPr>
        <w:t xml:space="preserve"> [sic] </w:t>
      </w:r>
      <w:r w:rsidRPr="00401DFF">
        <w:rPr>
          <w:rFonts w:ascii="Times New Roman" w:eastAsia="Times New Roman" w:hAnsi="Times New Roman" w:cs="Times New Roman"/>
          <w:b/>
          <w:bCs/>
          <w:sz w:val="24"/>
          <w:szCs w:val="24"/>
          <w:lang w:eastAsia="es-CO"/>
        </w:rPr>
        <w:t>propiedades de inversión al inicio y al final del periodo, que incluya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adiciones, presentando por separado las derivadas de adquisiciones y las que se refieren a desembolsos posteriores capitalizados en el importe en libros de estos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adiciones derivadas de adquisiciones a través de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activos clasificados como mantenidos para la venta o incluidos en un grupo de activos para su disposición que haya sido clasificado como mantenido para la venta, de acuerdo con la NIIF 5, así como otras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pérdidas o ganancias netas de los ajustes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las diferencias de cambio netas derivadas de la conversión de los estados financieros a una moneda de presentación diferente, así como las derivadas de la conversión de un negocio en el extranjero a la moneda de presentación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traspasos de propiedades de inversión hacia o desde inventarios, o bien hacia o desde propiedades ocupadas por el dueño;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otros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77 Cuando la evaluación obtenida para una propiedad de inversión se haya ajustado de forma significativa, a efectos de ser utilizada en los estados financieros, por ejemplo para evitar una doble contabilización de activos o pasivos que se hayan reconocido como activos y pasivos independientes, según se describe en el párrafo 50, la entidad incluirá entre sus revelaciones una conciliación entre la evaluación obtenida y la medición ya ajustada que se haya incluido en los estados financieros, mostrando independientemente el importe agregado de cualesquiera obligaciones reconocidas por arrendamiento que se hayan deducido, así como cualesquiera otros ajustes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78 En los casos excepcionales a que hace referencia el párrafo 53, en los que la entidad mida la propiedad de inversión utilizando el modelo del costo de la NIC 16, la conciliación requerida por el párrafo 76 revelará los importes asociados a esas propiedades de inversión independientemente de los importes asociados a otras propiedades de inversión. Además, la entidad incluirá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descripción de las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una explicación de la razón por la cual no puede medirse con fiabilidad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si es posible, el rango de estimaciones entre las cuales es altamente probable que se encuentre el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cuando haya dispuesto de propiedades de inversión no registradas por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hecho de que la entidad haya enajenado propiedades de inversión no registradas por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en libros de esas propiedades de inversión en el momento de su venta;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el importe de la pérdida o ganancia reconocida.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79 Además de la información a revelar requerida por el párrafo 75, la entidad que aplique el modelo del costo, siguiendo el párrafo 56 también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métodos de depreciación utilizados;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vidas útiles o las tasas de depreciación utilizadas;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importe en libros bruto y la depreciación acumulada (junto con el importe acumulado de las pérdidas por deterioro de valor), tanto al principio como al final de cada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una conciliación del importe en libros de las propiedades de inversión al inicio y al final del periodo, que incluya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adiciones, revelando por separado las derivadas de adquisiciones y las que se refieran a desembolsos posteriores capitalizados en el importe en libros de esos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adiciones derivadas de adquisiciones a través de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los activos clasificados como mantenidos para la venta o incluidos en un grupo de activos para su disposición que haya sido clasificado como mantenido para la venta, de acuerdo con la NIIF 5, así como otras disposiciones;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la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(v) el importe de la pérdida reconocida por deterioro de activos, así como el importe de las pérdidas por deterioro de activos que hayan revertido durante el periodo según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 las diferencias de cambio netas derivadas de la conversión de los estados financieros a una moneda de presentación diferente, así como las derivadas de la conversión de un negocio en el extranjero a la moneda de presentación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 traspasos de propiedades de inversión hacia o desde inventarios, o bien hacia o desde propiedades ocupadas por el dueño;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(viii) otros cambios;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el valor razonable de las propiedades de inversión. Si bien, en los casos excepcionales descritos en el párrafo 53, cuando la entidad no pueda medir el valor razonable de las propiedades de inversión de manera fiable, la entidad revelará las siguientes informaciones: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una descripción de las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una explicación de la razón por la cual no puede medirse con fiabilidad el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si fuera posible, el rango de estimaciones dentro del cual es posible que se encuentre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80 La entidad que, habiendo aplicado previamente la NIC 40 (2000), decida por primera vez clasificar y contabilizar como propiedades de inversión algunos o todos los derechos sobre propiedades mantenidas en régimen de arrendamiento operativo, reconocerá el efecto de esa elección como un ajuste en el saldo inicial de las ganancias acumuladas del periodo en el que se haya hecho la elección por primera vez. Además: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la entidad ya ha revelado públicamente (en sus estados financieros o por otra vía) el valor razonable de sus participaciones en propiedades en periodos anteriores (medidos sobre una base que satisfaga la definición de valor razonable de la NIIF 13), se recomienda, pero no se obliga a la entidad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ajustar el saldo inicial de las ganancias acumuladas para el periodo más antiguo que se presente, en el que se hubiera revelado públicamente el valor razonable por primera vez;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(ii) reexpresar la información comparativa para esos periodos;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la entidad no ha revelado públicamente con anterioridad la información descrita en (a), no reexpresará la información comparativa, y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Esta Norma requiere un tratamiento distinto del contenido en la NIC 8. La NIC 8 requiere que se reexprese la información comparativa a menos que dicha reexpresión sea impracticable.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Cuando la entidad adopte esta Norma por primera vez, el ajuste al saldo inicial de las ganancias acumuladas incluirá la reclasificación de cualquier importe registrado como superávit de revaluación de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La NIC 8 se aplica a cualquier cambio en las políticas contables que resulte de la adopción por primera vez de esta Norma, si ha optado por utilizar el modelo del costo. El efecto del cambio de políticas contables incluye la reclasificación de cualquier importe registrado como superávit de revaluación de propiedades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84 Los requerimientos de los párrafos 27 a 29, en relación con la medición inicial de una propiedad de inversión adquirida en una transacción de intercambio de activos, se aplicarán prospectivamente sólo a transacciones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Una entidad aplicará esta Norma para los periodos anuales que comiencen a partir del 1 de enero de 2005. Se aconseja su aplicación anticipada. Si una entidad aplicase esta Norma en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85A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 modificó la terminología utilizada en las NIIF. Además modificó el párrafo 62.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85B Se modificaron los párrafos 8, 9, 48, 53, 54 y 57, se eliminó el párrafo 22 y se añadieron los párrafos 53A y 53B mediante el documento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esas modificaciones de forma prospectiva a los periodos anuales que comiencen a partir del 1 de enero de 2009. Se permite que una entidad aplique las modificaciones de las propiedades de inversión en construcción desde una fecha anterior al 1 de enero de 2009 siempre que los valores razonables de dichas propiedades de inversión en construcción fueran medidos en esas fechas. Se permite su aplicación anticipada. Si una entidad aplicase las modificaciones en un periodo anterior, revelará este hecho y al mismo tiempo aplicará las modificaciones de los párrafos 5 y 81E de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85C La NIIF 13, emitida en mayo de 2011, modificó la definición de valor razonable del párrafo 5, modificó los párrafos 26, 29, 32, 40, 48, 53, 53B, 78 a 80 y 85B y eliminó los párrafos 36 a 39, 42 a 47, 49, 51 y 75(d).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40 (2000)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86 Esta Norma deroga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xml:space="preserve"> (emitida en 2000).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Contabilidad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Agricultura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esta Norma es prescribir el tratamiento contable, la presentación en los estados financieros y la información a revelar en relación con la actividad agrícola.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Norma debe aplicarse para la contabilización de lo siguiente, siempre que se encuentre relacionado con la actividad agrícola: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productos agrícolas en el punto de su cosecha o recolección;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subvenciones del gobierno comprendidas en los párrafos 34 y 35.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Norma no será de aplicación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terrenos relacionados con la actividad agrícola (véase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así como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activos intangibles relacionados con la actividad agrícola (véase la NIC 38 </w:t>
      </w:r>
      <w:r w:rsidRPr="00401DFF">
        <w:rPr>
          <w:rFonts w:ascii="Times New Roman" w:eastAsia="Times New Roman" w:hAnsi="Times New Roman" w:cs="Times New Roman"/>
          <w:i/>
          <w:iCs/>
          <w:sz w:val="24"/>
          <w:szCs w:val="24"/>
          <w:lang w:eastAsia="es-CO"/>
        </w:rPr>
        <w:t>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Norma se aplica a los productos agrícolas, que son los productos obtenidos de los activos biológicos de la entidad, pero sólo hasta el punto de su cosecha o recolección. A partir de entonces son de aplicación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o las otras Normas relacionadas con los productos. De acuerdo con ello, esta Norma no trata del procesamiento de los productos agrícolas tras la cosecha o recolección; por ejemplo, el que tiene lugar con las uvas para su transformación en vino por parte del viticultor que las ha cultivado. Aunque tal procesamiento pueda constituir una extensión lógica y natural de la actividad agrícola, y los eventos que tienen lugar guardan alguna similitud con la transformación biológica, tales </w:t>
      </w:r>
      <w:r w:rsidRPr="00401DFF">
        <w:rPr>
          <w:rFonts w:ascii="Times New Roman" w:eastAsia="Times New Roman" w:hAnsi="Times New Roman" w:cs="Times New Roman"/>
          <w:sz w:val="24"/>
          <w:szCs w:val="24"/>
          <w:lang w:eastAsia="es-CO"/>
        </w:rPr>
        <w:lastRenderedPageBreak/>
        <w:t>procesamientos no están incluidos en la definición de actividad agrícola manejada por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tabla siguiente proporciona ejemplos de activos biológicos, productos agrícolas y productos que resultan del procesamiento tras la cosecha o recolección: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4"/>
        <w:gridCol w:w="2318"/>
        <w:gridCol w:w="3626"/>
      </w:tblGrid>
      <w:tr w:rsidR="00401DFF" w:rsidRPr="00401DFF" w:rsidTr="00401DFF">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biológicos</w:t>
            </w:r>
          </w:p>
        </w:tc>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Productos agrícolas</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Productos resultantes del procesamiento tras la cosecha o recolección</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Ovejas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Lana</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Hilo de lana, alfombras</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Árboles de una plantación forestal</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Árboles talados</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Troncos, madera</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Plantas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Algodón</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Hilo de algodón, vestidos</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Caña cortada</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Azúcar</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Ganado lechero</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Leche</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Queso</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Cerdos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Reses sacrificadas</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Salchichas, jamones curados</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Arbustos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Hojas</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Té, tabaco curado</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Vides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Uvas</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Vino</w:t>
            </w:r>
          </w:p>
        </w:tc>
      </w:tr>
      <w:tr w:rsidR="00401DFF" w:rsidRPr="00401DFF" w:rsidTr="00401DFF">
        <w:trPr>
          <w:tblCellSpacing w:w="15" w:type="dxa"/>
          <w:jc w:val="center"/>
        </w:trPr>
        <w:tc>
          <w:tcPr>
            <w:tcW w:w="34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Árboles frutales</w:t>
            </w:r>
          </w:p>
        </w:tc>
        <w:tc>
          <w:tcPr>
            <w:tcW w:w="25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Fruta recolectada</w:t>
            </w:r>
          </w:p>
        </w:tc>
        <w:tc>
          <w:tcPr>
            <w:tcW w:w="40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Fruta procesada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Agricultura-Definiciones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Actividad agrícola</w:t>
      </w:r>
      <w:r w:rsidRPr="00401DFF">
        <w:rPr>
          <w:rFonts w:ascii="Times New Roman" w:eastAsia="Times New Roman" w:hAnsi="Times New Roman" w:cs="Times New Roman"/>
          <w:b/>
          <w:bCs/>
          <w:sz w:val="24"/>
          <w:szCs w:val="24"/>
          <w:lang w:eastAsia="es-CO"/>
        </w:rPr>
        <w:t xml:space="preserve"> es la gestión, por parte de una entidad, de la transformación y recolección de activos biológicos, para destinarlos a la venta, para convertirlos en productos agrícolas o en otros activos biológicos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Producto agrícola</w:t>
      </w:r>
      <w:r w:rsidRPr="00401DFF">
        <w:rPr>
          <w:rFonts w:ascii="Times New Roman" w:eastAsia="Times New Roman" w:hAnsi="Times New Roman" w:cs="Times New Roman"/>
          <w:b/>
          <w:bCs/>
          <w:sz w:val="24"/>
          <w:szCs w:val="24"/>
          <w:lang w:eastAsia="es-CO"/>
        </w:rPr>
        <w:t xml:space="preserve"> es el producto ya recolectado, procedente de los activos biológicos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Un </w:t>
      </w:r>
      <w:r w:rsidRPr="00401DFF">
        <w:rPr>
          <w:rFonts w:ascii="Times New Roman" w:eastAsia="Times New Roman" w:hAnsi="Times New Roman" w:cs="Times New Roman"/>
          <w:b/>
          <w:bCs/>
          <w:i/>
          <w:iCs/>
          <w:sz w:val="24"/>
          <w:szCs w:val="24"/>
          <w:lang w:eastAsia="es-CO"/>
        </w:rPr>
        <w:t xml:space="preserve">activo biológico </w:t>
      </w:r>
      <w:r w:rsidRPr="00401DFF">
        <w:rPr>
          <w:rFonts w:ascii="Times New Roman" w:eastAsia="Times New Roman" w:hAnsi="Times New Roman" w:cs="Times New Roman"/>
          <w:b/>
          <w:bCs/>
          <w:sz w:val="24"/>
          <w:szCs w:val="24"/>
          <w:lang w:eastAsia="es-CO"/>
        </w:rPr>
        <w:t>es un animal vivo o una planta.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w:t>
      </w:r>
      <w:r w:rsidRPr="00401DFF">
        <w:rPr>
          <w:rFonts w:ascii="Times New Roman" w:eastAsia="Times New Roman" w:hAnsi="Times New Roman" w:cs="Times New Roman"/>
          <w:b/>
          <w:bCs/>
          <w:i/>
          <w:iCs/>
          <w:sz w:val="24"/>
          <w:szCs w:val="24"/>
          <w:lang w:eastAsia="es-CO"/>
        </w:rPr>
        <w:t xml:space="preserve">transformación biológica </w:t>
      </w:r>
      <w:r w:rsidRPr="00401DFF">
        <w:rPr>
          <w:rFonts w:ascii="Times New Roman" w:eastAsia="Times New Roman" w:hAnsi="Times New Roman" w:cs="Times New Roman"/>
          <w:b/>
          <w:bCs/>
          <w:sz w:val="24"/>
          <w:szCs w:val="24"/>
          <w:lang w:eastAsia="es-CO"/>
        </w:rPr>
        <w:t>comprende los procesos de crecimiento, degradación, producción y procreación que son la causa de los cambios cualitativos o cuantitativos en los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Los </w:t>
      </w:r>
      <w:r w:rsidRPr="00401DFF">
        <w:rPr>
          <w:rFonts w:ascii="Times New Roman" w:eastAsia="Times New Roman" w:hAnsi="Times New Roman" w:cs="Times New Roman"/>
          <w:b/>
          <w:bCs/>
          <w:i/>
          <w:iCs/>
          <w:sz w:val="24"/>
          <w:szCs w:val="24"/>
          <w:lang w:eastAsia="es-CO"/>
        </w:rPr>
        <w:t>costos de venta</w:t>
      </w:r>
      <w:r w:rsidRPr="00401DFF">
        <w:rPr>
          <w:rFonts w:ascii="Times New Roman" w:eastAsia="Times New Roman" w:hAnsi="Times New Roman" w:cs="Times New Roman"/>
          <w:b/>
          <w:bCs/>
          <w:sz w:val="24"/>
          <w:szCs w:val="24"/>
          <w:lang w:eastAsia="es-CO"/>
        </w:rPr>
        <w:t xml:space="preserve"> son los costos incrementales directamente atribuibles a la disposición de un activo, excluyendo los costos financieros y los impuestos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Un </w:t>
      </w:r>
      <w:r w:rsidRPr="00401DFF">
        <w:rPr>
          <w:rFonts w:ascii="Times New Roman" w:eastAsia="Times New Roman" w:hAnsi="Times New Roman" w:cs="Times New Roman"/>
          <w:b/>
          <w:bCs/>
          <w:i/>
          <w:iCs/>
          <w:sz w:val="24"/>
          <w:szCs w:val="24"/>
          <w:lang w:eastAsia="es-CO"/>
        </w:rPr>
        <w:t>grupo de activos biológicos</w:t>
      </w:r>
      <w:r w:rsidRPr="00401DFF">
        <w:rPr>
          <w:rFonts w:ascii="Times New Roman" w:eastAsia="Times New Roman" w:hAnsi="Times New Roman" w:cs="Times New Roman"/>
          <w:b/>
          <w:bCs/>
          <w:sz w:val="24"/>
          <w:szCs w:val="24"/>
          <w:lang w:eastAsia="es-CO"/>
        </w:rPr>
        <w:t xml:space="preserve"> es una agrupación de animales vivos, o de plantas, que sean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La </w:t>
      </w:r>
      <w:r w:rsidRPr="00401DFF">
        <w:rPr>
          <w:rFonts w:ascii="Times New Roman" w:eastAsia="Times New Roman" w:hAnsi="Times New Roman" w:cs="Times New Roman"/>
          <w:b/>
          <w:bCs/>
          <w:i/>
          <w:iCs/>
          <w:sz w:val="24"/>
          <w:szCs w:val="24"/>
          <w:lang w:eastAsia="es-CO"/>
        </w:rPr>
        <w:t>cosecha o recolección</w:t>
      </w:r>
      <w:r w:rsidRPr="00401DFF">
        <w:rPr>
          <w:rFonts w:ascii="Times New Roman" w:eastAsia="Times New Roman" w:hAnsi="Times New Roman" w:cs="Times New Roman"/>
          <w:b/>
          <w:bCs/>
          <w:sz w:val="24"/>
          <w:szCs w:val="24"/>
          <w:lang w:eastAsia="es-CO"/>
        </w:rPr>
        <w:t xml:space="preserve"> es la separación del producto del activo biológico del que procede, o bien el cese de los procesos vitales de un activo biológico.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actividad agrícola abarca una gama de actividades diversas; por ejemplo el engorde del ganado, la silvicultura, los cultivos de plantas de ciclo anual o perennes, el cultivo en huertos y plantaciones, la floricultura y la acuicultura (incluyendo las piscifactorías). Entre esta diversidad se pueden encontrar ciertas características comunes: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Capacidad de cambio</w:t>
      </w:r>
      <w:r w:rsidRPr="00401DFF">
        <w:rPr>
          <w:rFonts w:ascii="Times New Roman" w:eastAsia="Times New Roman" w:hAnsi="Times New Roman" w:cs="Times New Roman"/>
          <w:sz w:val="24"/>
          <w:szCs w:val="24"/>
          <w:lang w:eastAsia="es-CO"/>
        </w:rPr>
        <w:t>. Tanto las plantas como los animales vivos son capaces de experimentar transformaciones biológicas.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Gestión del cambio</w:t>
      </w:r>
      <w:r w:rsidRPr="00401DFF">
        <w:rPr>
          <w:rFonts w:ascii="Times New Roman" w:eastAsia="Times New Roman" w:hAnsi="Times New Roman" w:cs="Times New Roman"/>
          <w:sz w:val="24"/>
          <w:szCs w:val="24"/>
          <w:lang w:eastAsia="es-CO"/>
        </w:rPr>
        <w:t>. La gerencia facilita las transformaciones biológicas promoviendo, o al menos estabilizando, las condiciones necesarias para que el proceso tenga lugar (por ejemplo, niveles de nutrición, humedad, temperatura, fertilidad y luminosidad). Tal gestión distingue a la actividad agrícola de otras actividades. Por ejemplo, no constituye actividad agrícola la cosecha o recolección de recursos no gestionados previamente (tales como la pesca en el océano y la tala de bosques naturales).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Medición del cambio</w:t>
      </w:r>
      <w:r w:rsidRPr="00401DFF">
        <w:rPr>
          <w:rFonts w:ascii="Times New Roman" w:eastAsia="Times New Roman" w:hAnsi="Times New Roman" w:cs="Times New Roman"/>
          <w:sz w:val="24"/>
          <w:szCs w:val="24"/>
          <w:lang w:eastAsia="es-CO"/>
        </w:rPr>
        <w:t>. Tanto el cambio cualitativo (por ejemplo adecuación genética, densidad, maduración, cobertura grasa, contenido proteínico y fortaleza de la fibra) como cuantitativo (por ejemplo, número de crías, peso, metros cúbicos, longitud o diámetro de la fibra y número de brotes) conseguido por la transformación biológica o cosecha, se medirá y controlará como una función rutinaria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transformación biológica da lugar a los siguientes tipos de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cambios en los activos, a través de (i) crecimiento (un incremento en la cantidad o una mejora en la calidad de cierto animal o planta); (ii) degradación (un decremento en la cantidad o un deterioro en la calidad del animal o planta), o bien (iii) procreación (obtención de plantas o animales vivos adicionales);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obtención de productos agrícolas, tal como el látex, la hoja de té, la lana y la leche.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términos siguientes se usan, en esta Norma, con los significados que a continuación se especifican: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Importe en libros</w:t>
      </w:r>
      <w:r w:rsidRPr="00401DFF">
        <w:rPr>
          <w:rFonts w:ascii="Times New Roman" w:eastAsia="Times New Roman" w:hAnsi="Times New Roman" w:cs="Times New Roman"/>
          <w:b/>
          <w:bCs/>
          <w:sz w:val="24"/>
          <w:szCs w:val="24"/>
          <w:lang w:eastAsia="es-CO"/>
        </w:rPr>
        <w:t xml:space="preserve"> es el importe por el que un activo se reconoce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Valor razonable</w:t>
      </w:r>
      <w:r w:rsidRPr="00401DFF">
        <w:rPr>
          <w:rFonts w:ascii="Times New Roman" w:eastAsia="Times New Roman" w:hAnsi="Times New Roman" w:cs="Times New Roman"/>
          <w:b/>
          <w:bCs/>
          <w:sz w:val="24"/>
          <w:szCs w:val="24"/>
          <w:lang w:eastAsia="es-CO"/>
        </w:rPr>
        <w:t xml:space="preserve"> es el precio que se recibiría por vender un activo o que se pagaría por transferir un pasivo en una transacción ordenada entre participantes de mercado en la fecha de la medición. (Véase la NIIF 13 </w:t>
      </w: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Subvenciones del gobierno</w:t>
      </w:r>
      <w:r w:rsidRPr="00401DFF">
        <w:rPr>
          <w:rFonts w:ascii="Times New Roman" w:eastAsia="Times New Roman" w:hAnsi="Times New Roman" w:cs="Times New Roman"/>
          <w:b/>
          <w:bCs/>
          <w:sz w:val="24"/>
          <w:szCs w:val="24"/>
          <w:lang w:eastAsia="es-CO"/>
        </w:rPr>
        <w:t xml:space="preserve"> son las definidas en la NIC 20 </w:t>
      </w:r>
      <w:r w:rsidRPr="00401DFF">
        <w:rPr>
          <w:rFonts w:ascii="Times New Roman" w:eastAsia="Times New Roman" w:hAnsi="Times New Roman" w:cs="Times New Roman"/>
          <w:b/>
          <w:bCs/>
          <w:i/>
          <w:iCs/>
          <w:sz w:val="24"/>
          <w:szCs w:val="24"/>
          <w:lang w:eastAsia="es-CO"/>
        </w:rPr>
        <w:t>Contabilización de las Subvenciones del Gobierno e Información a Revelar sobre Ayudas Gubernamentales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La entidad reconocerá un activo biológico o un producto agrícola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controle el activo como resultado de sucesos pasados;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sea probable que fluyan a la entidad beneficios económicos futuros asociados con 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valor razonable o el costo del activo puedan ser medidos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En la actividad agrícola, el control puede ponerse en evidencia mediante, por ejemplo, la propiedad legal del ganado vacuno y el marcado con hierro o por otro medio de las reses en el momento de la adquisición, el nacimiento o el destete. Los beneficios futuros se evalúan, normalmente, por medición de los atributos físicos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12 Un activo biológico se medirá, tanto en el momento de su reconocimiento inicial como al final del periodo sobre el que se informa, a su valor razonable menos los costos de venta, excepto en el caso, descrito en el párrafo 30, de que el valor razonable no pueda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13 Los productos agrícolas cosechados o recolectados que procedan de activos biológicos de una entidad se medirán a su valor razonable menos los costos de venta en el punto de cosecha o recolección. Tal medición es el costo a esa fecha, cuando se aplique la NIC 2 </w:t>
      </w:r>
      <w:r w:rsidRPr="00401DFF">
        <w:rPr>
          <w:rFonts w:ascii="Times New Roman" w:eastAsia="Times New Roman" w:hAnsi="Times New Roman" w:cs="Times New Roman"/>
          <w:b/>
          <w:bCs/>
          <w:i/>
          <w:iCs/>
          <w:sz w:val="24"/>
          <w:szCs w:val="24"/>
          <w:lang w:eastAsia="es-CO"/>
        </w:rPr>
        <w:t>Inventarios,</w:t>
      </w:r>
      <w:r w:rsidRPr="00401DFF">
        <w:rPr>
          <w:rFonts w:ascii="Times New Roman" w:eastAsia="Times New Roman" w:hAnsi="Times New Roman" w:cs="Times New Roman"/>
          <w:b/>
          <w:bCs/>
          <w:sz w:val="24"/>
          <w:szCs w:val="24"/>
          <w:lang w:eastAsia="es-CO"/>
        </w:rPr>
        <w:t xml:space="preserve"> u otra Norma que sea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 medición del valor razonable de un activo biológico, o de un producto agrícola, puede verse facilitada al agrupar los activos biológicos o los productos agrícolas de acuerdo con sus atributos más significativos, como por ejemplo, la edad o la calidad. La entidad seleccionará los atributos que se correspondan con los usados en el mercado como base para la fijación de los precios.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A menudo, las entidades realizan contratos para vender sus activos biológicos o productos agrícolas en una fecha futura. Los precios de estos contratos no son </w:t>
      </w:r>
      <w:r w:rsidRPr="00401DFF">
        <w:rPr>
          <w:rFonts w:ascii="Times New Roman" w:eastAsia="Times New Roman" w:hAnsi="Times New Roman" w:cs="Times New Roman"/>
          <w:sz w:val="24"/>
          <w:szCs w:val="24"/>
          <w:lang w:eastAsia="es-CO"/>
        </w:rPr>
        <w:lastRenderedPageBreak/>
        <w:t xml:space="preserve">necesariamente relevantes a la hora de medir el valor razonable, puesto que el valor razonable pretende reflejar las condiciones corrientes de mercado, en el que compradores y vendedores podrían acordar una transacción. Como consecuencia de lo anterior, no se ajustará el valor razonable de un activo biológico, o de un producto agrícola, como resultado de la existencia de un contrato. En algunos casos, el contrato para la venta de un activo biológico, o de un producto agrícola, puede ser un contrato oneroso, según se ha definido en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La citada NIC 37 es de aplicación para los contratos onerosos.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17-21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 entidad no incluirá flujos de efectivo destinados a la financiación de los activos, ni flujos por impuestos o para restablecer los activos biológicos tras la cosecha o recolección (por ejemplo, los costos de replantar los árboles, en una plantación forestal, después de la tala de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Los costos pueden, en ocasiones, ser aproximaciones del valor razonable, en particular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haya tenido lugar poca transformación biológica desde que se incurrieron los primeros costos (por ejemplo, para semillas de árboles frutales plantadas inmediatamente antes del final del periodo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se espera que sea importante el impacto de la transformación biológica en el precio (por ejemplo, para las fases iniciales de crecimiento de los pinos en una plantación con un ciclo de producción de 30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Los activos biológicos están, a menudo, físicamente adheridos a la tierra (por ejemplo los árboles de una plantación forestal). Pudiera no existir un mercado separado para los activos plantados en la tierra, pero haber un mercado activo para activos combinados, esto es, para el paquete compuesto por los activos biológicos, los terrenos no preparados y las mejoras efectuadas en dichos terrenos. Al medir el valor razonable de los activos biológicos, la entidad puede usar la información relativa a este tipo de activos combinados. Por ejemplo, se puede llegar al valor razonable de los activos biológicos restando, del valor razonable que corresponda a los activos combinados, el valor razonable de los terrenos sin preparar y de las mejoras efectuadas en dichos terrenos.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y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Las ganancias o pérdidas surgidas en el reconocimiento inicial de un activo biológico a su valor razonable menos los costos de venta y por un cambio en el valor razonable menos los costos de venta de un activo biológico deberán incluirse en la ganancia o pérdida neta del periodo en que aparezcan.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27 Puede aparecer una pérdida, en el reconocimiento inicial de un activo biológico, porque es preciso deducir los costos de venta, al determinar el valor razonable menos los costos de venta del mencionado activo biológico. Puede aparecer una ganancia, tras el reconocimiento inicial de un activo biológico, por ejemplo, a causa del nacimiento de un becerro.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28 Las ganancias o pérdidas surgidas por causa del reconocimiento inicial de un producto agrícola, que se lleva al valor razonable menos los costos de venta, deberán incluirse en la ganancia o pérdida neta del periodo en el que éstas aparezcan.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Puede aparecer una ganancia o una pérdida, en el reconocimiento inicial del producto agrícola, por ejemplo, como consecuencia de la cosecha o recolección.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Imposibilidad de medir el valor razonable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30 Se presume que el valor razonable de un activo biológico puede medirse de forma fiable. Sin embargo, esa presunción puede ser refutada, sólo en el momento del reconocimiento inicial, en el caso de los activos biológicos para los que no estén disponibles precios cotizados de mercado, y para los cuales se haya determinado claramente que no son fiables otras mediciones alternativas del valor razonable. En tal caso, estos activos biológicos deben ser medidos a su costo menos la depreciación acumulada y cualquier pérdida acumulada por deterioro del valor. Una vez que el valor razonable de estos activos biológicos pase a medirse fiablemente, la entidad debe medirlos a su valor razonable menos los costos de venta. Una vez que el activo biológico no corriente cumple los criterios para ser clasificado como mantenido para la venta (o ha sido incluido en un grupo de activos para su disposición que ha sido clasificado como mantenido para la venta), de acuerdo con los criterios de la NIIF 5 </w:t>
      </w:r>
      <w:r w:rsidRPr="00401DFF">
        <w:rPr>
          <w:rFonts w:ascii="Times New Roman" w:eastAsia="Times New Roman" w:hAnsi="Times New Roman" w:cs="Times New Roman"/>
          <w:b/>
          <w:bCs/>
          <w:i/>
          <w:iCs/>
          <w:sz w:val="24"/>
          <w:szCs w:val="24"/>
          <w:lang w:eastAsia="es-CO"/>
        </w:rPr>
        <w:t>Activos no Corrientes Mantenidos para la Venta y Operaciones Discontinuadas,</w:t>
      </w:r>
      <w:r w:rsidRPr="00401DFF">
        <w:rPr>
          <w:rFonts w:ascii="Times New Roman" w:eastAsia="Times New Roman" w:hAnsi="Times New Roman" w:cs="Times New Roman"/>
          <w:b/>
          <w:bCs/>
          <w:sz w:val="24"/>
          <w:szCs w:val="24"/>
          <w:lang w:eastAsia="es-CO"/>
        </w:rPr>
        <w:t xml:space="preserve"> se supone que el valor razonable puede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La presunción del párrafo 30 sólo puede ser rechazada en el momento del reconocimiento inicial. La entidad que hubiera medido previamente el activo biológico a su valor razonable menos los costos de venta, continuará haciéndolo así hasta el momento de la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En todos los casos, en el punto de cosecha o recolección, la entidad debe medir los productos agrícolas a su valor razonable menos los costos de venta. Esta Norma refleja el punto de vista de que el valor razonable del producto agrícola, en el punto de su cosecha o recolección, puede medirse siempre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Al determinar el costo, la depreciación acumulada y las pérdidas acumuladas por deterioro del valor, una entidad considerará la NIC 2, la NIC 16, y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Subvenciones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34 Una subvención del gobierno incondicional, relacionada con un activo biológico que se mide a su valor razonable menos los costos de venta, se reconocerá en el resultado del periodo cuando, y solo cuando, tal subvención se convierta en exigible.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35 Si una subvención del gobierno relacionada con un activo biológico, que se mide a su valor razonable menos los costos de venta, está condicionada, incluyendo situaciones en las que la subvención requiere que una entidad no emprenda determinadas actividades agrícolas, la entidad reconocerá la subvención del gobierno en el resultado del periodo cuando, y sólo cuando, se hayan cumplido las condiciones ligadas a ella.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Los términos y condiciones de las subvenciones del gobierno pueden ser muy variadas. Por ejemplo, una subvención del gobierno puede requerir que una entidad cultive la tierra en una ubicación determinada durante cinco años, y exigir que la entidad devuelva toda la subvención si la cultiva durante un periodo inferior. En ese caso, la subvención del gobierno no se reconocerá en resultados hasta que hayan pasado los cinco años. Sin embargo, si los términos de la subvención permitiesen retener parte de la misma conforme al tiempo que haya pasado, la entidad reconocerá esa parte en resultados en función del tiempo transcurrido.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La NIC 20 es de aplicación sólo a las subvenciones del gobierno relacionadas con los activos biológicos que se midan al costo menos la depreciación acumulada y las pérdidas por deterioro del valor acumuladas (párrafo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Esta Norma exige un tratamiento diferente del previsto en la NIC 20 si la subvención del gobierno se relaciona con un activo biológico medido al valor razonable menos los costos de venta, o bien si la subvención exige que la entidad no realice una actividad agrícola específica. La NIC 20 es de aplicación sólo a las subvenciones del gobierno relacionadas con los activos biológicos que se midan al costo menos la depreciación acumulada y las pérdidas por deterioro del valor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39</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La entidad revelará la ganancia o pérdida total surgida durante el periodo corriente por el reconocimiento inicial de los activos biológicos y los productos agrícolas, así como por los cambios en el valor razonable menos los costos de venta de los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 La entidad debe presentar una descripción de cada grupo de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revelación exigida en el párrafo 41 puede tomar la forma de una descripción narrativa o cuantitativa.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 Se aconseja a las entidades presentar una descripción cuantitativa de cada grupo de activos biológicos, distinguiendo, cuando ello resulte adecuado, entre los que se tienen para consumo y los que se tienen para producir frutos, o bien entre los maduros y los que están por madurar. Por ejemplo, la entidad puede revelar el importe en libros de los activos biológicos consumibles y de los que se tienen para producir frutos, por grupo de activos. La entidad puede, además, dividir esos valores en libros entre los activos maduros y los que están por madurar. Tales distinciones suministran información que puede ser de ayuda al evaluar el calendario de los flujos de efectivo futuros. Una entidad revelará las bases sobre las que hace estas distinciones.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Son activos biológicos consumibles los que van a ser recolectados como productos agrícolas o vendidos como activos biológicos. Son ejemplos de activos biológicos consumibles las cabezas de ganado de las que se obtiene la carne, o las que se tienen para vender, así como el pescado en las piscifactorías, los cultivos, tales como el maíz o el trigo, y los árboles que se tienen en crecimiento para producir madera. Son activos biológicos para producir frutos todos los que sean distintos a los de tipo consumible; por ejemplo el ganado para la producción de leche, las cepas de vid, los árboles frutales y los árboles de los que se cortan ramas para leña, mientras que el tronco permanece. Los activos biológicos para producir frutos no son productos agrícolas, sino que se consideran como auto-regenerativos.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Los activos biológicos pueden ser clasificados como maduros o por madurar. Los activos biológicos maduros son aquéllos que han alcanzado las condiciones para su cosecha o recolección (en el caso de activos biológicos consumibles), o son capaces de mantener la producción, cosechas o recolecciones de forma regular (en el caso de los activos biológicos para producir frutos).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46 Si no es objeto de revelación en otra parte, dentro de la información publicada con los estados financieros, la entidad debe describir: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de sus actividades relativas a cada grupo de activos biológico;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mediciones no financieras, o las estimaciones de las mismas, relativas a las cantidades físicas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cada grupo de activos biológicos al final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producción agrícola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47-48</w:t>
      </w:r>
      <w:r w:rsidRPr="00401DFF">
        <w:rPr>
          <w:rFonts w:ascii="Times New Roman" w:eastAsia="Times New Roman" w:hAnsi="Times New Roman" w:cs="Times New Roman"/>
          <w:sz w:val="24"/>
          <w:szCs w:val="24"/>
          <w:lang w:eastAsia="es-CO"/>
        </w:rPr>
        <w:t>[Eliminado]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49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existencia e importe en libros de los activos biológicos sobre cuya titularidad tenga alguna restricción, así como el importe en libros de los activos biológicos pignorados como garantía de deudas;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 la cuantía de los compromisos para desarrollar o adquirir activos biológico;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estrategias de gestión del riesgo financiero relacionado con la actividad agrícola.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50 La entidad presentará una conciliación de los cambios en el importe en libros de los activos biológicos entre el comienzo y el final del periodo corriente. La conciliación incluirá: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ganancia o pérdida surgida de cambios en el valor razonable menos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incrementos debidos a compras;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las disminuciones debidas a ventas y los activos biológicos clasificados como mantenidos para la venta (o incluidos en un grupo de activos para su disposición clasificado como mantenido para la venta) de acuerdo con la 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los decrementos debidos a la cosecha o recolección;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los incrementos que procedan de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las diferencias netas de cambio derivadas de la conversión de los estados financieros a una moneda de presentación diferente, así como las que se derivan de la conversión de un negocio en el extranjero a la moneda de presentación de la entidad que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 otros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El valor razonable menos los costos de venta, para los activos biológicos, puede variar por causa de cambios físicos, así como por causa de cambios en los precios de mercado. La revelación por separado de los cambios físicos y de los cambios en los precios, es útil en la evaluación del rendimiento del periodo corriente y al hacer proyecciones futuras, en particular cuando el ciclo productivo se extiende más allá de un año. En tales casos, se aconseja a la entidad que revele, por grupos o de otra manera, la cuantía del cambio en el valor razonable menos los costos de venta, que se ha incluido en la ganancia o la pérdida neta del periodo y que es debido tanto a los cambios físicos como a los cambios en los precios. Esta información es, por lo general, menos útil cuando el ciclo de producción es menor de un año (por ejemplo, cuando la actividad consiste en el engorde de pollos o el cultivo de cereales).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La transformación biológica produce una variedad de cambios de tipo físico —crecimiento, degradación, producción y procreación—, cada una de las cuales es observable y mensurable. Cada uno de esos cambios físicos tiene una relación directa con los beneficios económicos futuros. El cambio en el valor razonable de un activo biológico debido a la cosecha o recolección, es también un cambio de tipo físico.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53 La actividad agrícola a menudo está expuesta a riesgos naturales como los que tienen relación con el clima o las enfermedades. Si se produjese un evento de este tipo, que diese lugar a una partida de gastos o ingresos con importancia relativa, se revelará la naturaleza y cuantía de la misma, de acuerdo con lo establecido en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Entre los ejemplos de los eventos citados están la declaración de una enfermedad virulenta, las inundaciones, las sequías o las heladas importantes y las plagas de insectos.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activos biológicos cuyo valor razonable no puede ser medido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Si la entidad mide, al final del periodo, los activos biológicos a su costo menos la depreciación acumulada y las pérdidas por deterioro del valor acumuladas (véase el párrafo 30), debe revelar en relación con tales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descripción de los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explicación de la razón por la cual no puede medirse con fiabilidad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si es posible, el rango de estimaciones entre las cuales es altamente probable que se encuentre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el método de depreciación utilizado;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las vidas útiles o las tasas de depreciación utilizadas;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 el importe en libros bruto y la depreciación acumulada (a la que se agregarán las pérdidas por deterioro del valor acumuladas), al principio y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Si la entidad, durante el periodo corriente, mide los activos biológicos por su costo menos la depreciación acumulada y las pérdidas por deterioro del valor acumuladas (véase el párrafo 30), debe revelar cualquier ganancia o pérdida que haya reconocido por causa de la disposición de tales activos biológicos y, en la conciliación exigida por el párrafo 50, debe revelar por separado las cuantías relacionadas con esos activos biológicos. Además, la conciliación debe incluir las siguientes cuantías que, relacionadas con tales activos biológicos, se hayan incluido en la ganancia o la pérdida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pérdidas por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reversiones de las pérdidas por deterioro del valor;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depreciación.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56 Si, durante el periodo corriente, la entidad ha podido medir con fiabilidad el valor razonable de activos biológicos que, con anterioridad, había medido a su costo menos la depreciación acumulada y las pérdidas por deterioro del valor acumuladas, debe revelar, en relación con tales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descripción de los activos biológicos;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una explicación de las razones por las que el valor razonable ha pasado a ser medido con fiabilidad;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efecto del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Subvenciones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 La entidad debe revelar la siguiente información, relacionada con la actividad agrícola cubierta por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y alcance de las subvenciones del gobierno reconocidas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condiciones no cumplidas y otras contingencias anexas a las subvenciones del gobierno;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los decrementos significativos esperados en el nivel de las subvenciones del gobierno.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Esta Norma tendrá vigencia para los estados financieros anuales que cubran periodos que comiencen a partir del 1 de enero de 2003. Se aconseja su aplicación anticipada. Si una entidad aplica esta Norma en periodos que comiencen antes del 1 de enero de 2003,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59 En esta Norma no se establecen disposiciones transitorias. La adopción de esta Norma se contabilizará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 Se modificaron los párrafos 5, 6, 17, 20 y 21 y se eliminó el párrafo 14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2008. Una entidad aplicará esas modificaciones de forma prospectiva a los periodos anuales que comiencen a partir del 1 de julio de 2009.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61 La NIIF 13 emitida en mayo de 2011, modificó los párrafos 8, 15, 16, 25 y 30 y eliminó los párrafos 9, 17 a 21, 23, 47 y 48.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Interpretación CINIIF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Cambios en Pasivos Existentes por Retiro de Servicio, Restauración y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23 </w:t>
      </w:r>
      <w:r w:rsidRPr="00401DFF">
        <w:rPr>
          <w:rFonts w:ascii="Times New Roman" w:eastAsia="Times New Roman" w:hAnsi="Times New Roman" w:cs="Times New Roman"/>
          <w:i/>
          <w:iCs/>
          <w:sz w:val="24"/>
          <w:szCs w:val="24"/>
          <w:lang w:eastAsia="es-CO"/>
        </w:rPr>
        <w:t>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Muchas entidades tienen la obligación de desmantelar, retirar y restaurar elementos de sus propiedades, planta y equipo. En esta Interpretación dichas obligaciones se denominan “pasivos por retiro del servicio, restauración y similares”. Según la NIC 16, en el costo de un elemento de propiedades, planta y equipo se incluirá la estimación inicial de los costos de retiro del servicio y retirada del elemento y la restauración del lugar donde está situado, obligaciones en las que incurre la entidad ya sea cuando adquiere el elemento o a consecuencia de haberlo utilizado durante un determinado periodo, con propósitos distintos de la producción de inventarios. La NIC 37 contiene requerimientos sobre cómo medir los pasivos por retiro del servicio, restauración y similares. Esta Interpretación proporciona guías para contabilizar el efecto de los cambios en la medición de pasivos por retiro del servicio, restauración y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Interpretación se aplica a los cambios en la medición de cualquier pasivo existente por retiro del servicio, restauración o similares que se haya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como parte del costo de un elemento de propiedades, planta y equipo de acuerdo con la NIC 16;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como un pasivo de acuerdo con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 ejemplo, puede existir un pasivo por retiro del servicio, restauración o similar por el retiro de una planta, la rehabilitación de daños ambientales en industrias extractivas, o la remoción de ciertos equipos.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Interpretación aborda cómo debe contabilizarse el efecto de los siguientes hechos que cambian la medición de un pasivo existente por retiro, restauración o similar: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modificación en la salida estimada de recursos que incorporan beneficios económicos (por ejemplo, flujos de efectivo) requeridos para cancelar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cambio en la tasa de descuento actual basada en el mercado, según se define en el párrafo 47 de la NIC 37 (esto incluye tanto a las modificaciones en el valor del dinero en el tiempo, como a los riesgos específicos asociados al pasivo en cuestión);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incremento que refleje el paso del tiempo (también denominado reversión del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Los cambios en la medición de un pasivo existente por retiro, restauración y similares, que se deriven de cambios en el calendario estimado o importe de las salidas de recursos que incorporan beneficios económicos requeridas para cancelar la obligación, o un cambio en la tasa de descuento, se contabilizarán de acuerdo con los párrafos 5 a 7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Si el activo correspondiente se mide utilizando el modelo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cambios en el pasivo se añadirán o deducirán del costo del activo correspondiente en el periodo actual, respetando lo establecido en el apartado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deducido del costo del activo no será superior a su importe en libros. Si la disminución en el pasivo excediese el importe en libros del activo, el exceso se reconocerá inmediatamente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ajuste diese lugar a una adición al costo del activo, la entidad considerará si esto es un indicio de que el nuevo importe en libros del mismo podría no ser completamente recuperable. Si existiese dicho indicio, la entidad realizará una prueba del deterioro del valor estimando su importe recuperable, y contabilizará cualquier pérdida por deterioro del valor del activo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Si el activo correspondiente se mide utilizando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cambios en el pasivo modificarán la revaluación o la devaluación reconocidas previamente en ese activo, de forma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disminución en el pasivo (con sujeción a lo establecido en el párrafo (b)) se reconocerá en otro resultado integral e incrementará el superávit de revaluación en el patrimonio, salvo que se haya de reconocer en el resultado en la medida en que sea la reversión de un déficit de revaluación en el activo previamente reconocido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un aumento en el pasivo se reconocerá en resultados, excepto que sea reconocido directamente en otro resultado integral y reducirá el superávit de revaluación en el patrimonio, en la medida en que existiera saldo acreedor en el superávit de revaluación en relación con ese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el caso de que la disminución del pasivo sea superior al importe en libros que habría sido reconocido si el activo se hubiera contabilizado según el modelo del costo, el exceso se reconocerá inmediatamente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cambio en el pasivo es un indicio de que el activo podría tener que ser revaluado para garantizar que su importe en libros no difiere significativamente del que se habría determinado utilizando el valor razonable al final del periodo sobre el que se informa. Cualquiera de estas revaluaciones se tendrá en cuenta al determinar los importes a reconocer en el resultado o en otro resultado integral de acuerdo con (a). Si fuera necesaria una revaluación, se revaluarán todos los activos de esa clase.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NIC 1 requiere la revelación en el estado del resultado integral de cada componente de otro ingreso o gasto integral. Al cumplir con este requerimiento, el cambio en el superávit de revaluación que surja por una variación en el pasivo, se identificará y revelará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El importe depreciable ajustado del activo, se depreciará a lo largo de su vida útil. Por lo tanto, una vez que el activo correspondiente haya alcanzado el final de su vida útil, todos los cambios posteriores en el pasivo se reconocerán en el resultado del periodo a medida que ocurran. Esto se aplicará tanto para el modelo del costo como para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La reversión periódica del descuento se reconocerá en el resultado como un costo financiero, a medida que se produzca. La capitalización, según la NIC 23 no está permitida.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entidad aplicará esta Interpretación en los periodos anuales que comiencen a partir del 1 de septiembre de 2004. Se aconseja su aplicación anticipada. Si una entidad aplicase la Interpretación en un periodo que comenzase con anterioridad al 1 septiembre de 2004,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9A La NIC 1 (revisada en 2007) modificó la terminología utilizada en las NIIF. Además modificó el párrafo 6.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Los cambios en las políticas contables se contabilizarán de acuerdo con los requerimientos de la NIC 8 </w:t>
      </w:r>
      <w:r w:rsidRPr="00401DFF">
        <w:rPr>
          <w:rFonts w:ascii="Times New Roman" w:eastAsia="Times New Roman" w:hAnsi="Times New Roman" w:cs="Times New Roman"/>
          <w:i/>
          <w:iCs/>
          <w:sz w:val="24"/>
          <w:szCs w:val="24"/>
          <w:lang w:eastAsia="es-CO"/>
        </w:rPr>
        <w:t>Políticas Contables, Cambios en las Estimaciones y Errores</w:t>
      </w:r>
      <w:hyperlink r:id="rId57" w:anchor="bf133701939aba34d0bac72dd5ded336742nf9" w:tgtFrame="_self" w:history="1">
        <w:r w:rsidRPr="00401DFF">
          <w:rPr>
            <w:rFonts w:ascii="Times New Roman" w:eastAsia="Times New Roman" w:hAnsi="Times New Roman" w:cs="Times New Roman"/>
            <w:color w:val="0000FF"/>
            <w:sz w:val="20"/>
            <w:szCs w:val="20"/>
            <w:u w:val="single"/>
            <w:vertAlign w:val="superscript"/>
            <w:lang w:eastAsia="es-CO"/>
          </w:rPr>
          <w:t>(53)</w:t>
        </w:r>
      </w:hyperlink>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(53) Si una entidad aplica esta Interpretación a periodos que comiencen antes del 1 de enero de 2005, la entidad seguirá los requerimientos de las versiones anteriores de la NIC 8 que se denominaba </w:t>
      </w:r>
      <w:r w:rsidRPr="00401DFF">
        <w:rPr>
          <w:rFonts w:ascii="Times New Roman" w:eastAsia="Times New Roman" w:hAnsi="Times New Roman" w:cs="Times New Roman"/>
          <w:i/>
          <w:iCs/>
          <w:sz w:val="24"/>
          <w:szCs w:val="24"/>
          <w:lang w:eastAsia="es-CO"/>
        </w:rPr>
        <w:t>Ganancia o Pérdida Neta del Periodo, Errores Fundamentales y Cambios en las Políticas Contables,</w:t>
      </w:r>
      <w:r w:rsidRPr="00401DFF">
        <w:rPr>
          <w:rFonts w:ascii="Times New Roman" w:eastAsia="Times New Roman" w:hAnsi="Times New Roman" w:cs="Times New Roman"/>
          <w:sz w:val="24"/>
          <w:szCs w:val="24"/>
          <w:lang w:eastAsia="es-CO"/>
        </w:rPr>
        <w:t xml:space="preserve"> a menos que la entidad esté aplicando la versión revisada de esa norma para ese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Aportaciones de Socios de Entidades Cooperativas e Instrumentos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32 </w:t>
      </w:r>
      <w:r w:rsidRPr="00401DFF">
        <w:rPr>
          <w:rFonts w:ascii="Times New Roman" w:eastAsia="Times New Roman" w:hAnsi="Times New Roman" w:cs="Times New Roman"/>
          <w:i/>
          <w:iCs/>
          <w:sz w:val="24"/>
          <w:szCs w:val="24"/>
          <w:lang w:eastAsia="es-CO"/>
        </w:rPr>
        <w:t>Instrumentos Financieros: Presentación e Información a Revelar</w:t>
      </w:r>
      <w:r w:rsidRPr="00401DFF">
        <w:rPr>
          <w:rFonts w:ascii="Times New Roman" w:eastAsia="Times New Roman" w:hAnsi="Times New Roman" w:cs="Times New Roman"/>
          <w:sz w:val="24"/>
          <w:szCs w:val="24"/>
          <w:lang w:eastAsia="es-CO"/>
        </w:rPr>
        <w:t xml:space="preserve"> (revisada en 2003)</w:t>
      </w:r>
      <w:hyperlink r:id="rId58" w:anchor="bf1cf785d5473bd4cc6a79c8bf9306e4023nf9" w:tgtFrame="_self" w:history="1">
        <w:r w:rsidRPr="00401DFF">
          <w:rPr>
            <w:rFonts w:ascii="Times New Roman" w:eastAsia="Times New Roman" w:hAnsi="Times New Roman" w:cs="Times New Roman"/>
            <w:color w:val="0000FF"/>
            <w:sz w:val="20"/>
            <w:szCs w:val="20"/>
            <w:u w:val="single"/>
            <w:vertAlign w:val="superscript"/>
            <w:lang w:eastAsia="es-CO"/>
          </w:rPr>
          <w:t>(54)</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13 </w:t>
      </w:r>
      <w:r w:rsidRPr="00401DFF">
        <w:rPr>
          <w:rFonts w:ascii="Times New Roman" w:eastAsia="Times New Roman" w:hAnsi="Times New Roman" w:cs="Times New Roman"/>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Las cooperativas y otras entidades similares están constituidas por grupos de personas con el fin de satisfacer necesidades económicas o sociales que les son comunes. Las diferentes normativas nacionales definen, por lo general, a la cooperativa como una sociedad que busca promover el progreso económico de sus socios mediante la realización conjunta de una actividad (principio de ayuda mutua). Las participaciones de los miembros en el patrimonio una cooperativa tienen con frecuencia el carácter de acciones, participaciones, unidades o título similar, y se hará referencia a ellas como “aportaciones de los socios”.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 NIC 32 establece criterios para la clasificación de los instrumentos financieros como pasivos financieros o patrimonio. En particular, estos criterios se aplican al clasificar los instrumentos rescatables que permiten al tenedor exigir del emisor su reembolso, ya sea en efectivo o mediante la entrega de otro instrumento financiero. Resulta difícil la aplicación de los criterios citados a las aportaciones de los socios en entidades cooperativas y a otros instrumentos similares. Algunas partes constituyentes del Consejo de Normas Internacionales de Contabilidad han solicitado aclaraciones sobre la forma en que se aplican los criterios de la NIC 32 a las aportaciones y a otros instrumentos financieros similares con determinadas particularidades, poseídos por los socios de las cooperativas, así como las circunstancias en las que dichas particularidades afectan a su clasificación como pasivos 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Interpretación se aplicará a los instrumentos financieros que están dentro del alcance de la NIC 32, entre los que se incluyen los instrumentos financieros emitidos a favor de los </w:t>
      </w:r>
      <w:r w:rsidRPr="00401DFF">
        <w:rPr>
          <w:rFonts w:ascii="Times New Roman" w:eastAsia="Times New Roman" w:hAnsi="Times New Roman" w:cs="Times New Roman"/>
          <w:sz w:val="24"/>
          <w:szCs w:val="24"/>
          <w:lang w:eastAsia="es-CO"/>
        </w:rPr>
        <w:lastRenderedPageBreak/>
        <w:t>socios de entidades cooperativas, que constituyen participaciones en la propiedad de dichas entidades. Esta Interpretación no será de aplicación a los instrumentos financieros que vayan a ser o puedan ser liquidados con instrumentos de patrimonio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Muchos instrumentos financieros, incluidas las aportaciones de los socios, tienen características de patrimonio, como el derecho de voto y el de participación en el reparto de dividendos. Algunos instrumentos financieros otorgan al tenedor el derecho a solicitar su rescate en efectivo o mediante la entrega de otro instrumento financiero, pudiendo incluir, o estar sujeto este rescate a determinadas limitaciones. ¿Cómo deben evaluarse esas condiciones de rescate al determinar si los instrumentos deben clasificarse como pasivo o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El derecho contractual del tenedor de un instrumento financiero (incluyendo las aportaciones de los socios de entidades cooperativas) a solicitar el rescate no obliga, por sí mismo, a clasificar el citado instrumento como un pasivo financiero. Más bien la entidad tendrá en cuenta todos los términos y condiciones del instrumento financiero al clasificarlo como pasivo financiero o como patrimonio. Estos plazos y condiciones incluyen las leyes locales y reglamentos aplicables o los estatutos de la entidad vigentes en la fecha de la clasificación, pero no incluyen las modificaciones esperadas de dichas leyes, reglamentos o estatutos particulares.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Las aportaciones de los socios que serían clasificadas como patrimonio si los socios no tuvieran un derecho a solicitar el reembolso son patrimonio si se da alguna de las condiciones descritas en los párrafos 7 y 8 o las aportaciones de los socios reúnen todas las características y cumplen las condiciones de los párrafos 16A y 16B o de los párrafos 16C y 16D de la NIC 32. Los depósitos a la vista, incluyendo las cuentas corrientes, depósitos a plazo y contratos similares que surjan cuando los socios actúan como clientes son pasivos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Las aportaciones de los socios serán consideradas patrimonio si la entidad tiene el derecho incondicional a rechazar su rescate.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Las leyes locales, los reglamentos o los estatutos de la entidad pueden imponer diferentes tipos de prohibiciones para el rescate de las aportaciones de los socios, por ejemplo estableciendo prohibiciones incondicionales o basadas en criterios de liquidez. Si el rescate estuviera incondicionalmente prohibido por la ley local, por el reglamento o por los estatutos de la entidad, las aportaciones de los socios serán clasificadas como patrimonio. No obstante, las aportaciones de los socios no integrarán el patrimonio si las citadas cláusulas de la ley local, del reglamento o de los estatutos de la entidad prohíben el rescate únicamente cuando se cumplen (o se dejan de cumplir) ciertas condiciones —tales como restricciones sobre la liquidez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 Una prohibición incondicional podría ser absoluta, de forma que todos los reembolsos estén prohibidos. Una prohibición incondicional puede ser parcial, de forma que se prohíba el reembolso de las aportaciones de los socios si éste diese lugar a que el número de aportaciones de socios o el importe de capital desembolsado por los mismos cayese por debajo de un determinado nivel. Las aportaciones de los socios por encima del nivel en que se prohíbe el reembolso son pasivos, a menos que la entidad tenga el derecho incondicional a negar el reembolso como se describe en el párrafo 7 o las aportaciones de los socios reúnan todas las características y cumplan las condiciones de los párrafos 16A y 16B o de los párrafos 16C y 16D de la NIC 32. En algunos casos, el número de aportaciones o el importe del capital desembolsado sujeto a la prohibición de reembolso pueden cambiar en el tiempo. Este cambio en la prohibición de reembolso dará lugar a una transferencia entre pasivos financieros y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En el momento del reconocimiento inicial, la entidad medirá su pasivo financiero por rescate a su valor razonable. En el caso de aportaciones de socios con derecho de rescate, la entidad medirá el valor razonable del pasivo financiero rescatable será igual, al menos, a un importe no inferior a la cantidad máxima a pagar, según las cláusulas de rescate de sus estatutos u otra legislación aplicable, descontado desde el primer momento en que pueda requerirse el pago de dicho importe (véase el ejemplo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Como establece el párrafo 35 de la NIC 32, las distribuciones a los tenedores de instrumentos de patrimonio se reconocerán directamente en el patrimonio, por un importe neto de cualquier beneficio fiscal relacionado. Los intereses, dividendos y otros rendimientos relativos a los instrumentos financieros clasificados como pasivos financieros serán gastos, con independencia de que dichos importes pagados se califiquen legalmente como dividendos o intereses, o bien reciban otras denominaciones.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En el Apéndice, que es parte integrante de este acuerdo, se facilitan ejemplos de la aplicación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Cuando un cambio en la prohibición de rescate dé lugar a una transferencia entre pasivos financieros y patrimonio, la entidad revelará por separado el importe, el calendario y la razón de dicha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La fecha de vigencia y las disposiciones transitorias de esta Interpretación son las mismas que se establecieron para la NIC 32 (revisada en 2003). Una entidad aplicará esta Interpretación en los periodos anuales que comiencen a partir del 1 de enero de 2005. Si una entidad aplicase la Interpretación en un periodo que comenzase con anterioridad al 1 de enero de 2005, revelará este hecho. Esta Interpretación se aplicará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14A Una entidad aplicará las modificaciones de los párrafos 6, 9, A1 y A12 en los periodos anuales que comiencen a partir del 1 de enero de 2009. Si una entidad aplica a un periodo anterior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w:t>
      </w:r>
      <w:r w:rsidRPr="00401DFF">
        <w:rPr>
          <w:rFonts w:ascii="Times New Roman" w:eastAsia="Times New Roman" w:hAnsi="Times New Roman" w:cs="Times New Roman"/>
          <w:i/>
          <w:iCs/>
          <w:sz w:val="24"/>
          <w:szCs w:val="24"/>
          <w:lang w:eastAsia="es-CO"/>
        </w:rPr>
        <w:lastRenderedPageBreak/>
        <w:t xml:space="preserve">Liquidación </w:t>
      </w:r>
      <w:r w:rsidRPr="00401DFF">
        <w:rPr>
          <w:rFonts w:ascii="Times New Roman" w:eastAsia="Times New Roman" w:hAnsi="Times New Roman" w:cs="Times New Roman"/>
          <w:sz w:val="24"/>
          <w:szCs w:val="24"/>
          <w:lang w:eastAsia="es-CO"/>
        </w:rPr>
        <w:t>(Modificaciones a las NIC 32 y NIC 1), emitido en febrero de 2008, las modificaciones de los párrafos 6, 9, A1 y A12 deberán aplicarse a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 NIIF 9, emitida en octubre de 2010, modificó los párrafos A8 y A10.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 NIIF 13, emitida en mayo de 2011, modificó el párrafo A8.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 Este apéndice contiene siete ejemplos de aplicación del acuerdo alcanzado por el CINIIF. Los ejemplos no constituyen un listado exhaustivo; es posible encontrar otros supuestos en que sea de aplicación. Cada ejemplo supone que no existen condiciones distintas de las contenidas en los hechos del ejemplo que requerirían que el instrumento financiero fuera clasificado como un pasivo financiero y que el instrumento financiero no reúna todas las características o no cumpla las condiciones de los párrafos 16A y 16B o de los párrafos 16C y 16D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 incondicional a rechazar el rescate (párrafo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A2 Los estatutos de la entidad establecen que los rescates se efectúan únicamente a discreción de la misma. Los estatutos no contienen mayores detalles ni limitan el ejercicio de esta discreción. A lo largo de su historia, la entidad no ha rechazado nunca el rescate de las aportaciones pedido por los socios, aunque el órgano de administración de la misma tiene el derecho de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A3 La entidad tiene un derecho incondicional para rechazar el rescate, y las aportaciones de los socios son patrimonio. En la NIC 32 se establecen criterios de clasificación, basados en las condiciones pactadas para cada instrumento financiero, y se señala que ni la historia pasada, ni la intención de hacer pagos discrecionales determinarán su clasificación como pasivos financieros. En el párrafo GA26 de la NIC 32 se establece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Cuando las acciones preferentes no sean rescatables, su clasificación adecuada se determinará en función de los demás derechos que ellas incorporen. Dicha clasificación se basará en una evaluación de la esencia de los acuerdos contractuales y en las definiciones </w:t>
      </w:r>
      <w:r w:rsidRPr="00401DFF">
        <w:rPr>
          <w:rFonts w:ascii="Times New Roman" w:eastAsia="Times New Roman" w:hAnsi="Times New Roman" w:cs="Times New Roman"/>
          <w:sz w:val="24"/>
          <w:szCs w:val="24"/>
          <w:lang w:eastAsia="es-CO"/>
        </w:rPr>
        <w:lastRenderedPageBreak/>
        <w:t>de pasivo financiero y de instrumento de patrimonio. Cuando las distribuciones a favor de los tenedores de las acciones preferentes, tengan o no derechos acumulativos, queden a discreción del emisor, las acciones son instrumentos de patrimonio. La clasificación de una acción preferente como pasivo financiero o instrumento de patrimonio, no se verá afectada a causa de,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historia de distribuciones efectivamente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intención de hacer distribuciones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posible impacto negativo de la ausencia de distribuciones sobre el precio de las acciones ordinarias del emisor (por causa de las restricciones sobre el pago de dividendos a las acciones ordinarias si no se ha pagado primero a las preferentes);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de las reservas del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expectativas que tenga el emisor sobre una pérdida o una ganancia en el periodo;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posibilidad o imposibilidad del emisor para influir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A4 Los estatutos de la entidad establecen que los rescates se efectúan únicamente a discreción de la misma. No obstante, los estatutos también disponen que la aprobación de la solicitud de rescate sea automática, salvo que la entidad no pueda hacer frente a estos pagos sin incumplir la normativa local relativa a la liquidez o a las reservas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A5 La entidad no tiene un derecho incondicional a rechazar el rescate, y por tanto las aportaciones de los socios son pasivos financieros. Las restricciones descritas arriba se basan en la capacidad de la entidad para liquidar su pasivo. En ellas se restringen los rescates sólo cuando se incumplen los requerimientos sobre liquidez o reservas, y solamente hasta el momento en que éstos se cumplan. En consecuencia, siguiendo los criterios establecidos en la NIC 32, no cabe clasificar el instrumento financiero como patrimonio. En el párrafo GA25 de la NIC 32 se establece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Las acciones preferentes pueden emitirse con derechos diversos. Al determinar si una acción preferente es un pasivo financiero o un instrumento de patrimonio, el emisor evaluará los derechos particulares concedidos a la acción para determinar si posee la característica fundamental de un pasivo financiero. Por ejemplo, una acción preferente que contemple su rescate en una fecha específica o a voluntad del tenedor, contiene un pasivo financiero, porque el emisor tiene la obligación de transferir activos financieros al tenedor de la acción. </w:t>
      </w:r>
      <w:r w:rsidRPr="00401DFF">
        <w:rPr>
          <w:rFonts w:ascii="Times New Roman" w:eastAsia="Times New Roman" w:hAnsi="Times New Roman" w:cs="Times New Roman"/>
          <w:i/>
          <w:iCs/>
          <w:sz w:val="24"/>
          <w:szCs w:val="24"/>
          <w:lang w:eastAsia="es-CO"/>
        </w:rPr>
        <w:t xml:space="preserve">La posible incapacidad del emisor para satisfacer la obligación de rescatar </w:t>
      </w:r>
      <w:r w:rsidRPr="00401DFF">
        <w:rPr>
          <w:rFonts w:ascii="Times New Roman" w:eastAsia="Times New Roman" w:hAnsi="Times New Roman" w:cs="Times New Roman"/>
          <w:i/>
          <w:iCs/>
          <w:sz w:val="24"/>
          <w:szCs w:val="24"/>
          <w:lang w:eastAsia="es-CO"/>
        </w:rPr>
        <w:lastRenderedPageBreak/>
        <w:t>una acción preferente, cuando sea requerido en los términos contractuales para hacerlo, ya sea ocasionada por falta de fondos, por restricciones legales o por tener insuficientes reservas o ganancias, no niega la existencia de la obligación.</w:t>
      </w:r>
      <w:r w:rsidRPr="00401DFF">
        <w:rPr>
          <w:rFonts w:ascii="Times New Roman" w:eastAsia="Times New Roman" w:hAnsi="Times New Roman" w:cs="Times New Roman"/>
          <w:sz w:val="24"/>
          <w:szCs w:val="24"/>
          <w:lang w:eastAsia="es-CO"/>
        </w:rPr>
        <w:t xml:space="preserve"> [Cursiva añadida]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Prohibición de rescate (párrafos 8 y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A6 Una entidad cooperativa ha emitido aportaciones para sus socios en diferentes fechas y por distintos importes, con el siguiente detalle: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1 de enero de 20X1, 100.000 títulos de 10 u.m. cada uno (1.000.000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1 de enero de 20X2, 100.000 títulos de 20 u.m. cada uno (2.000.000 u.m. adicionales, con lo que el total de los títulos emitidos suman 3.000.000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aportaciones son rescatables a petición del tenedor, por el importe al que fueron emitidas.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A7 Los estatutos de la entidad establecen que los rescates acumulados no pueden exceder el 20 por ciento del número máximo histórico de títulos en circulación. A 31 de diciembre de 20X2, la entidad tiene 200.000 títulos en circulación, que es el número máximo de títulos representativos de aportaciones que han estado en circulación en su historia, y ninguno de ellos ha sido objeto de rescate en el pasado. El 1 de enero de 20X3, la entidad modifica sus estatutos, incrementando el nivel permitido de rescates acumulados al 25 por ciento del número máximo histórico de títulos en circulación.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Antes de modificar los estatutos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A8 Las aportaciones de los socios que superen el límite de la prohibición de rescate son pasivos financieros. En el momento de su reconocimiento inicial, la entidad cooperativa medirá este pasivo financiero por su valor razonable. Puesto que esas aportaciones son rescatables a voluntad del tenedor, la entidad cooperativa medirá el valor razonable de los pasivos financieros como dispone el párrafo 47 de la NIIF 13, donde se establece que: “El valor razonable de un pasivo financiero con características de exigibilidad inmediata (por ejemplo, un depósito a la vista) no será inferior al importe a pagar al convertirse en exigible...”. De acuerdo con lo anterior, la entidad cooperativa clasificará como un pasivo financiero el máximo importe que se deba pagar a voluntad del tenedor, según las cláusulas de rescate.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A9 El 1 de enero de 20X1, el máximo importe que se pagaría, según las cláusulas de rescate, es de 20.000 títulos de 10 u.m. cada uno, por lo que la entidad clasificará 200.000 </w:t>
      </w:r>
      <w:r w:rsidRPr="00401DFF">
        <w:rPr>
          <w:rFonts w:ascii="Times New Roman" w:eastAsia="Times New Roman" w:hAnsi="Times New Roman" w:cs="Times New Roman"/>
          <w:sz w:val="24"/>
          <w:szCs w:val="24"/>
          <w:lang w:eastAsia="es-CO"/>
        </w:rPr>
        <w:lastRenderedPageBreak/>
        <w:t>u.m. como pasivo financiero y 800.000 u.m. como patrimonio. No obstante, el 1 de enero de 20X2, tras la nueva emisión de aportaciones de 20 u.m., el importe máximo que se debería pagar según las cláusulas de rescate se incrementará hasta 40.000 títulos de 20 u.m. cada uno. La emisión de los títulos adicionales de 20 u.m. crea un nuevo pasivo financiero que se medirá, al reconocerlo inicialmente, por su valor razonable. El pasivo tras la emisión de las nuevas aportaciones es el 20 por ciento del número de títulos que se han emitido (200.000), medidos a 20 u.m. cada uno, lo que supone 800.000 u.m. Este hecho requiere reconocer un pasivo adicional por 600.000 u.m. En este ejemplo no se reconoce ni ganancias ni pérdidas. Por consiguiente, la entidad clasificará ahora 800.000 u.m. como pasivo financiero y 2.200.000 como patrimonio. En el ejemplo se supone que estos importes no han cambiado entre el 1 de enero de 20X1 y el 31 de diciembre de 20X2.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Después de modificar los estatutos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A10 Después del cambio en sus estatutos, puede requerirse a la entidad cooperativa que rescate un máximo del 25 por ciento de los títulos en circulación, esto es, 50.000 títulos de 20 u.m. cada uno. Por consiguiente, el 1 de enero de 20X3 la entidad cooperativa clasificará como pasivo financiero, de acuerdo con el párrafo 5.4.3 de la NIIF 9, 1.000.000 u.m., que es el importe máximo cuyo pago se le podría requerir a voluntad del tenedor, según las cláusulas de rescate. Por tanto, el 1 de enero de 20X3 transferirá un importe de 200.000 u.m. del patrimonio, al pasivo financiero, dejando como patrimonio, 2.000.000 de u.m. En este ejemplo, la entidad no reconocerá ninguna ganancia o pérdida por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A11 La ley local que regula las actividades de las cooperativas, o los requisitos de los estatutos de la entidad, prohíben el rescate de las aportaciones de los socios cuando eso suponga reducir el capital desembolsado correspondiente a las mismas, por debajo del 75 por ciento del importe máximo que haya alcanzado. Este importe máximo asciende, para una cooperativa en particular, a 1.000.000 de u.m. Al final del periodo sobre el que se informa, el saldo del capital desembolsado es de 900.00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A12 En este caso, 750.000 u.m. serían clasificadas como patrimonio y 150.000 u.m. como pasivos financieros. Además de los párrafos ya citados, la NIC 32 establece en el párrafo 18 (b) en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un instrumento financiero que proporcione al tenedor el derecho a devolverlo al emisor a cambio de efectivo u otro activo financiero (un “instrumento con opción de venta”), es un pasivo financiero, excepto en el caso de los instrumentos clasificados como instrumentos de patrimonio de acuerdo con los párrafos 16A y 16B o los párrafos 16C y 16D. El instrumento financiero es un pasivo financiero incluso cuando el importe de efectivo u otro activo financiero se determine sobre la base de un índice u otro elemento que tenga el potencial de aumentar o disminuir. La existencia de una opción que proporcione al tenedor </w:t>
      </w:r>
      <w:r w:rsidRPr="00401DFF">
        <w:rPr>
          <w:rFonts w:ascii="Times New Roman" w:eastAsia="Times New Roman" w:hAnsi="Times New Roman" w:cs="Times New Roman"/>
          <w:sz w:val="24"/>
          <w:szCs w:val="24"/>
          <w:lang w:eastAsia="es-CO"/>
        </w:rPr>
        <w:lastRenderedPageBreak/>
        <w:t>el derecho a devolver el instrumento al emisor a cambio de efectivo u otro activo financiero significa que el instrumento con opción de venta cumple la definición de un pasivo financiero, excepto en el caso de los instrumentos clasificados como instrumentos de patrimonio de acuerdo con los párrafos 16A y 16B o los párrafos 16C y 16D.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A13 La prohibición de rescate descrita en este ejemplo es diferente de las restricciones aludidas en los párrafos 19 y GA25 de la NIC 32. Esas restricciones limitan la capacidad de la entidad para pagar el importe debido por un pasivo financiero, es decir, impiden el pago del pasivo cuando se dan ciertas condiciones específicas. Por el contrario, en este ejemplo se describe un caso de una prohibición incondicional de rescatar por encima de un importe específico, con independencia de la capacidad que tenga la entidad para rescatar las aportaciones de los socios (por ejemplo, contando con sus recursos líquidos, ganancias o reservas distribuibles). En efecto, la prohibición de rescate en este supuesto impide a la entidad incurrir, por efecto del rescate, en cualquier pasivo financiero para rescatar más de un determinado monto de capital desembolsado. Por lo tanto, la parte de los títulos sujeta a la prohibición de rescate, no será un pasivo financiero. Aunque cada uno de los títulos que componen la aportación de los socios, individualmente considerado, puede ser rescatado, una parte del total de los títulos en circulación no es rescatable en circunstancia alguna, excepto en caso de liquidación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A14 Los datos de este ejemplo son los mismos que los del ejemplo 4 anterior. Además, al final del periodo sobre el que se informa, los requerimientos de liquidez impuestos por la normativa local impiden a la entidad rescatar aportaciones de sus socios, salvo en el caso de que sus disponibilidades de efectivo e inversiones a corto plazo sean superiores a un determinado importe. Esta obligación dará lugar a que la entidad no pueda, al final del periodo sobre el que se informa, destinar más de 50.000 u.m. al rescate de las aportaciones de los socios.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A15 Al igual que en el ejemplo 4, la entidad clasificará 750.000 u.m. como patrimonio, y 150.000 u.m. como pasivo financiero. Esto es así porque la clasificación del importe como pasivo se fundamenta en el derecho incondicional de la entidad a rechazar el rescate, y no en las restricciones condicionales que impiden realizarlo exclusivamente cuando los requisitos de liquidez u otros requisitos no se cumplan, y únicamente durante el tiempo en que esta circunstancia persista. Se aplica en este caso lo previsto en los párrafos 19 y GA25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A16 Los estatutos de la entidad prohíben el rescate de las aportaciones de los socios, salvo que el importe utilizado proceda de la emisión de aportaciones adicionales a socios, ya sean nuevos o antiguos, durante los tres años anteriores. El producto de la emisión de aportaciones de los socios debe aplicarse a pagar el rescate de las aportaciones que lo hayan solicitado. A lo largo de los tres años anteriores, se han recibido 12.000 u.m. por emisión de aportaciones de los socios, y no se ha realizado ningún rescate.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A17 La entidad clasificará 12.000 u.m. de las aportaciones de los socios como pasivo financiero. De acuerdo con lo señalado en el ejemplo 4, las aportaciones de los socios sometidas a una prohibición incondicional de rescatar no serán pasivo financiero. Esta prohibición incondicional es aplicable a un importe igual a lo recibido de las aportaciones emitidas antes de los tres años precedentes y, en consecuencia, esa cantidad se clasificará como patrimonio. No obstante, un importe equivalente a lo recibido por aportaciones durante los tres últimos años no está sujeto a la prohibición de rescate. Por consiguiente, los importes recibidos por la emisión de aportaciones en los tres años precedentes darán lugar a un pasivo financiero, hasta tanto no estén disponibles para el rescate de aportaciones de los socios. Por ende, la entidad tendrá un pasivo financiero igual al importe recibido por las aportaciones emitidas, durante los tres años anteriores, neto de los rescates realizados durante ese mismo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A18 La entidad es una cooperativa de crédito. Las leyes locales que regulan la actividad de las cooperativas de crédito establecen que, como mínimo, el 50 por ciento de los “pasivos en circulación” (un término definido en los reglamentos que incluye las cuentas de aportaciones de socios) totales de la entidad, tienen que estar integrados por capital desembolsado por los socios. El efecto de esta normativa es que, en el caso de que la totalidad de los pasivos en circulación de la cooperativa fueran aportaciones de los socios, sería posible rescatar todas las aportaciones. A 31 de diciembre de 20X1, la entidad tiene unos pasivos emitidos totales de 200.000 u.m., de los cuales, 125.000 u.m. representan aportaciones de socios. Las condiciones de las mismas permiten a los tenedores solicitar en cualquier momento su rescate, y los estatutos de la entidad no limitan su capacidad de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A19 En este ejemplo, las aportaciones de los socios se clasificarán como pasivos financieros. La prohibición de rescate es similar a las restricciones descritas en los párrafos 19 y GA25 de la NIC 32. La restricción es una limitación condicional sobre la capacidad de la entidad para cancelar el importe vencido de un pasivo financiero, es decir, impide el pago del pasivo sólo si se cumplen determinadas condiciones. En concreto, a la entidad se le podría requerir el rescate del importe total de las aportaciones de sus socios (125.000 u.m.) siempre que se hubiesen cancelado todos los demás pasivos (75.000 u.m.) que </w:t>
      </w:r>
      <w:r w:rsidRPr="00401DFF">
        <w:rPr>
          <w:rFonts w:ascii="Times New Roman" w:eastAsia="Times New Roman" w:hAnsi="Times New Roman" w:cs="Times New Roman"/>
          <w:sz w:val="24"/>
          <w:szCs w:val="24"/>
          <w:lang w:eastAsia="es-CO"/>
        </w:rPr>
        <w:lastRenderedPageBreak/>
        <w:t>tuviere. En consecuencia, la prohibición de rescate no impide a la entidad incurrir en un pasivo financiero por el rescate de más de un número establecido de aportaciones de socios o de capital desembolsado. Permite a la entidad, únicamente, diferir el rescate hasta que se cumpla una condición, esto es, el reembolso de todos los demás pasivos. Las aportaciones de los socios en este ejemplo no están sujetas a una prohibición incondicional de rescatar, y por tanto se clasificarán como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(54) En agosto de 2005 la NIC 32 fue modificada como NIC 32 </w:t>
      </w:r>
      <w:r w:rsidRPr="00401DFF">
        <w:rPr>
          <w:rFonts w:ascii="Times New Roman" w:eastAsia="Times New Roman" w:hAnsi="Times New Roman" w:cs="Times New Roman"/>
          <w:i/>
          <w:iCs/>
          <w:sz w:val="24"/>
          <w:szCs w:val="24"/>
          <w:lang w:eastAsia="es-CO"/>
        </w:rPr>
        <w:t>Instrumentos Financieros: Presentación.</w:t>
      </w:r>
      <w:r w:rsidRPr="00401DFF">
        <w:rPr>
          <w:rFonts w:ascii="Times New Roman" w:eastAsia="Times New Roman" w:hAnsi="Times New Roman" w:cs="Times New Roman"/>
          <w:sz w:val="24"/>
          <w:szCs w:val="24"/>
          <w:lang w:eastAsia="es-CO"/>
        </w:rPr>
        <w:t xml:space="preserve"> En febrero de 2008 el IASB modificó la NIC 32 requiriendo que los instrumentos se clasificasen como patrimonio si esos instrumentos reunían todas las características y cumplían las condiciones de los párrafos 16A y 16B o de los párrafos 16C y 16D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Determinación de si un Acuerdo contiene un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13 </w:t>
      </w:r>
      <w:r w:rsidRPr="00401DFF">
        <w:rPr>
          <w:rFonts w:ascii="Times New Roman" w:eastAsia="Times New Roman" w:hAnsi="Times New Roman" w:cs="Times New Roman"/>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CINIIF 12 </w:t>
      </w:r>
      <w:r w:rsidRPr="00401DFF">
        <w:rPr>
          <w:rFonts w:ascii="Times New Roman" w:eastAsia="Times New Roman" w:hAnsi="Times New Roman" w:cs="Times New Roman"/>
          <w:i/>
          <w:iCs/>
          <w:sz w:val="24"/>
          <w:szCs w:val="24"/>
          <w:lang w:eastAsia="es-CO"/>
        </w:rPr>
        <w:t>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Una entidad podrá realizar un acuerdo, que comprenda una transacción o una serie de transacciones relacionadas que no tenga la forma legal de un arrendamiento pero que implique el derecho de uso de un activo (por ejemplo un elemento de propiedades, planta y equipo), a cambio de un pago o una serie de pagos. Ejemplos de acuerdos en los que una entidad (el proveedor) puede traspasar el derecho de uso de un activo a otra entidad (el comprador), a menudo juntamente con otros servicios relacionados, serían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Acuerdos de subcontratación (por ejemplo, la subcontratación de las funciones de procesamiento de datos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Acuerdos de la industria de telecomunicación, por los cuales un proveedor de capacidad de red realiza contratos para suministrar a los compradores derechos sobre esa capacidad.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Acuerdos del tipo “tomar o pagar” y otros contratos similares en los cuales los compradores deben efectuar pagos específicos con independencia de si efectivamente adquieren o no, los productos o servicios contratados (por ejemplo, un acuerdo del tipo “tomar o pagar” para adquirir en esencia toda la producción de un proveedor de generación de energía).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Interpretación proporciona guías para determinar si los acuerdos descritos son, o contienen, arrendamientos que deberían contabilizarse de acuerdo con la NIC 17. No proporciona guías para determinar cómo debería clasificarse un arrendamiento según esa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algunos acuerdos, el activo subyacente objeto de arrendamiento es una parte de otro activo mayor. Esta Interpretación no se ocupa de cómo determinar cuándo una parte de dicho activo mayor es, por sí misma, el activo subyacente a los efectos de aplicar la NIC 17. No obstante, los acuerdos en los cuales el activo subyacente podría representar una partida contable separada en la NIC 16 o en la NIC 38, caen dentro del alcance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no se aplica a acuerdos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son, o contienen, arrendamientos excluidos del alcance de la NIC 17;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son acuerdos de concesión servicios de entidades públicas con operadores privados dentro del alcance de la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cómo determinar si un acuerdo es, o contiene, un arrendamiento, tal como se define en la NIC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cuándo debería hacerse la evaluación o reconsiderar la hecha en otro momento sobre si un acuerdo es, o contiene, un arrendamiento;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 el caso de que un acuerdo sea, o contenga, un arrendamiento, cómo deberían separarse los pagos por el arrendamiento de los pagos derivados de cualesquiera otros elementos contenidos en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si un acuerdo es, o contiene, un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La determinación de si un acuerdo es, o contiene, un arrendamiento deberá basarse en la esencia económica del acuerdo, lo que requiere que se evalúe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cumplimiento del acuerdo depende del uso de un activo o activos específico (el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acuerdo traspasa el derecho de uso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cumplimiento del acuerdo depende del uso de un activo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Aunque un activo específico pueda estar explícitamente identificado en un acuerdo, no será el objeto del arrendamiento si el cumplimiento del acuerdo es independiente del uso de ese activo. Por ejemplo, si el proveedor estuviese obligado a entregar una cantidad determinada de bienes o servicios, y tuviese el derecho y la capacidad de suministrarlos utilizando otros activos no especificados en el acuerdo, entonces el cumplimiento del acuerdo sería independiente del activo especificado y por tanto no contendría un arrendamiento. Una obligación de garantía que permita o requiera la sustitución de un activo igual o similar, cuando el activo especificado no funcione adecuadamente, no impide su tratamiento como arrendamiento. Asimismo, una cláusula contractual (contingente o de otro tipo) que permita o requiera que el proveedor sustituya otros activos por cualquier razón a partir de una fecha especificada, no impide su tratamiento como arrendamiento antes de la fecha de sustitución.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 activo habrá sido especificado implícitamente si, por ejemplo, el proveedor tiene o arrienda un único activo, con el cual cumple la obligación y el cumplimiento de ésta, utilizando activos alternativos, no resulta factible o posible, desde el punto de vista económico, cumplir su obligación utilizando activos alternativos.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acuerdo traspasa el derecho de uso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 acuerdo traspasa el derecho de uso del activo si transfiere al comprador (arrendatario) el derecho a controlar el uso del activo subyacente. Esto ocurre cuando se cumple alguna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comprador tiene la capacidad o el derecho de operar el activo, o dirigir a otros para que lo operen en la forma que determine, al mismo tiempo que obtiene o controla un importe, que no sea insignificante, de la producción u otros beneficios provenientes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comprador tiene la capacidad o el derecho de controlar el acceso físico al activo subyacente, al mismo tiempo que obtiene o controla un importe, que no sea insignificante, de la producción u otros beneficios provenientes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hechos y circunstancias indican que es remota la probabilidad de que una o más partes, distintas del comprador, obtengan más que un importe insignificante de la producción u otros beneficios que el activo genere durante el periodo del acuerdo, y que el </w:t>
      </w:r>
      <w:r w:rsidRPr="00401DFF">
        <w:rPr>
          <w:rFonts w:ascii="Times New Roman" w:eastAsia="Times New Roman" w:hAnsi="Times New Roman" w:cs="Times New Roman"/>
          <w:sz w:val="24"/>
          <w:szCs w:val="24"/>
          <w:lang w:eastAsia="es-CO"/>
        </w:rPr>
        <w:lastRenderedPageBreak/>
        <w:t>precio que el comprador pagará por la producción no está fijado contractualmente por unidad de producto ni es igual al precio de mercado corriente, por unidad de producto, en la fecha de entrega de dicho producto.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o reconsideración de si un acuerdo es, o contiene, un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evaluación de si un acuerdo contiene un arrendamiento deberá efectuarse al inicio del acuerdo, es decir, en la primera de las dos fechas siguientes: la del acuerdo o la del compromiso entre las partes sobre los términos fundamentales del acuerdo, considerando todos los hechos y circunstancias. La reconsideración de si el acuerdo contiene un arrendamiento, tras el inicio del mismo, se hará sólo si se cumple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ha producido un cambio en los términos contractuales, a menos que dicho cambio corresponda solamente a la renovación o prórroga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ha ejercido la opción de renovación o las partes han acordado una prórroga del acuerdo, a menos que los términos de la renovación o prórroga hubieran sido incluidos inicialmente en las condiciones del arrendamiento, de acuerdo con el párrafo 4 de la NIC 17. Una renovación o prórroga del acuerdo que no incluya modificación alguna de los términos del acuerdo original, ya se produzca antes o al vencimiento de éste, se evaluará, de acuerdo con los párrafos 6 a 9, sólo en lo que concierne al periodo de renovación o prórroga.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Ha habido un cambio en la decisión de que el cumplimiento es, o no es, dependiente de un activo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Se ha producido un cambio sustancial en el activo, por ejemplo un cambio físico sustancial en las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reconsideración de la evaluación anterior de un acuerdo se basará en los hechos y circunstancias en la fecha de la reconsideración, incluyendo el plazo restante del acuerdo. Los cambios en las estimaciones (por ejemplo, el importe estimado de productos a entregar al comprador o a otros compradores potenciales) no desencadenarán necesariamente una reconsideración. Si un acuerdo es reconsiderado y se determina que contiene un arrendamiento (o que no lo contiene), la contabilización como arrendamiento deberá aplicarse (o dejar de aplicarse):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los casos (a), (c) o (d) del párrafo 10, desde el momento en que ocurra el cambio en las circunstancias que den lugar a una reconsideración;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el caso (b) del párrafo 10, desde el inicio del periodo de renovación o prórroga.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Separación de los pagos específicos del arrendamiento, de otros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 Si el acuerdo contiene un arrendamiento, las partes aplicarán los requerimientos de la NIC 17 al elemento de arrendamiento del acuerdo, a menos que esté exento de dichos requerimientos de acuerdo con el párrafo 2 de la NIC 17. Por consiguiente, si el acuerdo contiene un arrendamiento, será clasificado como arrendamiento financiero u operativo de acuerdo con los párrafos 7 a 19 de la NIC 17. Los demás elementos del acuerdo, que estén fuera del alcance de la NIC 17, se contabilizarán de acuerdo con otras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A efectos de aplicar los requerimientos de la NIC 17, los pagos y demás contraprestaciones requeridas por el acuerdo se separarán, al inicio del mismo o tras haber hecho la correspondiente reconsideración, entre los derivados del arrendamiento y los derivados de los otros elementos, sobre la base de sus valores razonables relativos. Los pagos mínimos por el arrendamiento, definidos en el párrafo 4 de la NIC 17, incluyen sólo los pagos derivados del arrendamiento (es decir, el derecho de uso del activo) y excluyen los pagos por los otros elementos del acuerdo (por ejemplo, por servicios y el costo de los insumos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En algunos casos, la separación de los pagos por el arrendamiento de los pagos por los otros elementos del acuerdo obligará al comprador a la utilización de alguna técnica de estimación. Por ejemplo, un comprador podría estimar los pagos del arrendamiento por referencia a un acuerdo de arrendamiento de activos comparables que no contenga elementos adicionales, o estimando los pagos por los otros elementos del acuerdo por referencia a acuerdos comparables y deduciendo luego tales pagos de los pagos totales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el comprador concluyera que es impracticable separar con fiabilidad los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se trata de un arrendamiento financiero, reconocerá un activo y un pasivo por un mismo importe, igual al valor razonable</w:t>
      </w:r>
      <w:hyperlink r:id="rId59" w:anchor="bf13a2ca4a5acdd4fc99bf8268c3e2c0593nf9" w:tgtFrame="_self" w:history="1">
        <w:r w:rsidRPr="00401DFF">
          <w:rPr>
            <w:rFonts w:ascii="Times New Roman" w:eastAsia="Times New Roman" w:hAnsi="Times New Roman" w:cs="Times New Roman"/>
            <w:color w:val="0000FF"/>
            <w:sz w:val="20"/>
            <w:szCs w:val="20"/>
            <w:u w:val="single"/>
            <w:vertAlign w:val="superscript"/>
            <w:lang w:eastAsia="es-CO"/>
          </w:rPr>
          <w:t>(55)</w:t>
        </w:r>
      </w:hyperlink>
      <w:r w:rsidRPr="00401DFF">
        <w:rPr>
          <w:rFonts w:ascii="Times New Roman" w:eastAsia="Times New Roman" w:hAnsi="Times New Roman" w:cs="Times New Roman"/>
          <w:sz w:val="24"/>
          <w:szCs w:val="24"/>
          <w:lang w:eastAsia="es-CO"/>
        </w:rPr>
        <w:t xml:space="preserve"> del activo subyacente identificado en los párrafos 7 y 8 como objeto del arrendamiento. Posteriormente, el pasivo se reducirá por los pagos efectuados, reconociendo la carga financiera imputada a dicho pasivo mediante la utilización de la tasa de interés incremental del endeudamiento del comprador</w:t>
      </w:r>
      <w:hyperlink r:id="rId60" w:anchor="bf130dbf457c9df4a688afe62c2c4a7a651nf9" w:tgtFrame="_self" w:history="1">
        <w:r w:rsidRPr="00401DFF">
          <w:rPr>
            <w:rFonts w:ascii="Times New Roman" w:eastAsia="Times New Roman" w:hAnsi="Times New Roman" w:cs="Times New Roman"/>
            <w:color w:val="0000FF"/>
            <w:sz w:val="20"/>
            <w:szCs w:val="20"/>
            <w:u w:val="single"/>
            <w:vertAlign w:val="superscript"/>
            <w:lang w:eastAsia="es-CO"/>
          </w:rPr>
          <w:t>(56)</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se trata de un arrendamiento operativo, tratará todos los pagos derivados del acuerdo como pagos por arrendamiento a fin de cumplir con los requisitos de información de la NIC 17, pero revelará tales pagos separadamente de los pagos mínimos de arrendamiento procedentes de otros acuerdos que no incluyan pagos por elementos no arrendados,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declarará que los pagos revelados también incluyen pagos por elementos no arrendados dentro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Una entidad aplicará esta Interpretación en los periodos anuales que comiencen a partir del 1 de enero de 2006. Se aconseja su aplicación anticipada. Si una entidad aplicase la Interpretación en un periodo que comenzase con anterioridad al 1 de enero de 2006,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16A Una entidad aplicará la modificación en el párrafo 4(b) para los periodos que comiencen a partir del 1 de enero de 2008. Si una entidad aplica la CINIIF 12 a un periodo anterior, esta modificación debe aplicarse para dicho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La NIC 8 especifica cómo una entidad aplicará un cambio en una política contable que resulte de la aplicación inicial de una Interpretación. No se requiere cumplir con tales requerimientos cuando se aplique por primera vez esta Interpretación. Si una entidad aplica esta exención, aplicará los párrafos 6 a 9 de esta Interpretación a los acuerdos existentes al inicio del periodo más antiguo para el que presente información comparativa de acuerdo con las NIIF, considerando los hechos y circunstancias existentes al principio de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La NIC 17 utiliza el término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valor razonable</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de una forma que difiere en algunos aspectos de la definición de valor razonable de la NIIF 13. Por ello, al aplicar la NIC 17 una entidad medirá el valor razonable de acuerdo con esta NIC 17 y no de acuerdo con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Es decir, la tasa de interés incremental del endeudamiento del arrendatario, definido en el párrafo 4 de la NIC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Derechos por la Participación en Fondos para el Retiro del servicio, la Restauración y la Rehabilitación Medioambiental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28 </w:t>
      </w:r>
      <w:r w:rsidRPr="00401DFF">
        <w:rPr>
          <w:rFonts w:ascii="Times New Roman" w:eastAsia="Times New Roman" w:hAnsi="Times New Roman" w:cs="Times New Roman"/>
          <w:i/>
          <w:iCs/>
          <w:sz w:val="24"/>
          <w:szCs w:val="24"/>
          <w:lang w:eastAsia="es-CO"/>
        </w:rPr>
        <w:t>Participaciones en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10 </w:t>
      </w:r>
      <w:r w:rsidRPr="00401DFF">
        <w:rPr>
          <w:rFonts w:ascii="Times New Roman" w:eastAsia="Times New Roman" w:hAnsi="Times New Roman" w:cs="Times New Roman"/>
          <w:i/>
          <w:i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11 </w:t>
      </w:r>
      <w:r w:rsidRPr="00401DFF">
        <w:rPr>
          <w:rFonts w:ascii="Times New Roman" w:eastAsia="Times New Roman" w:hAnsi="Times New Roman" w:cs="Times New Roman"/>
          <w:i/>
          <w:i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SIC-12 </w:t>
      </w:r>
      <w:r w:rsidRPr="00401DFF">
        <w:rPr>
          <w:rFonts w:ascii="Times New Roman" w:eastAsia="Times New Roman" w:hAnsi="Times New Roman" w:cs="Times New Roman"/>
          <w:i/>
          <w:iCs/>
          <w:sz w:val="24"/>
          <w:szCs w:val="24"/>
          <w:lang w:eastAsia="es-CO"/>
        </w:rPr>
        <w:t>Consolidación</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Entidades de Cometido Específico</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 La finalidad de la constitución de fondos para retiro del servicio, la restauración y la rehabilitación medioambiental, que en lo sucesivo se denominarán “fondos para retiro del servicio” o “fondos”, consiste en segregar activos para financiar algunos o todos los costos de retiro del servicio de una fábrica (por ejemplo una planta nuclear) o de algún equipo (como un automóvil), o los derivados de un compromiso de rehabilitación medioambiental (como la depuración de aguas o la restauración del terreno de una mina), actividades que se denominan genéricamente de “retiro del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Las aportaciones a estos fondos pueden ser voluntarias o requeridas por reglamentos o leyes. Los fondos pueden tener alguna de las siguientes estructuras: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Fondos establecidos por un único contribuyente, para cubrir sus propias obligaciones por retiro del servicio, ya sea para un emplazamiento particular, o para varios emplazamientos dispersos geográficamente.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Fondos establecidos por múltiples contribuyentes, con el fin de constituir fondos para cubrir sus obligaciones por retiro del servicio, individuales o conjuntas, donde los contribuyentes tienen derecho al reembolso de gastos de retiro del servicio hasta el límite de sus contribuciones más los rendimientos de las mismas, menos su participación en los costos de administración del fondo. Los contribuyentes pueden tener la obligación de efectuar aportaciones adicionales, por ejemplo, en el caso de la quiebra de algún otro contribuyente.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Fondos establecidos por múltiples contribuyentes con el fin de constituir fondos para sus obligaciones de retiro del servicio, individuales o conjuntas, donde el nivel de aportación requerido al contribuyente está basado en su nivel de actividad corriente, y la prestación obtenida por el contribuyente está basada en su actividad pasada. En estos casos, podría existir un desajuste entre el montante de la aportación efectuada por el contribuyente (basada en su actividad corriente) y el valor realizable a obtener del fondo (basado en la actividad pasada).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Fondos como los descritos tienen generalmente las siguientes características: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fondo es administrado separadamente por gestores independientes.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entidades (contribuyentes) efectúan aportaciones al fondo, que se invierten en una gama de activos, que puede comprender tanto instrumentos de deuda como de patrimonio, que están disponibles para ayudar a pagar los costos de retiro del servicio de los contribuyentes. Los gestores determinan cómo se invierten las aportaciones, dentro de las restricciones establecidas por los estatutos que regulen el fondo, así como las contenidas en cualquier legislación o regulación aplicable.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contribuyentes conservan la obligación de pagar los costos de retiro del servicio. Sin embargo, los contribuyentes pueden obtener del fondo reembolsos por el menor valor de: los costos de retiro del servicio en los que hayan incurrido y su participación en los activos del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Los contribuyentes pueden tener acceso restringido, o no tener acceso, a cualquier superávit de activos del fondo sobre los que se hayan calificado como costos de retiro del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se aplica a la contabilización, en los estados financieros del contribuyente, de las participaciones surgidas de fondos para retiro del servicio que contengan las dos características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son administrados de forma separada (ya sea por estar mantenidos en una entidad diferente o como activos segregados dentro de otra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está restringido el derecho del contribuyente a acceder a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Una participación residual en un fondo más allá del simple derecho al reembolso, tal como un derecho contractual al reparto del remanente, una vez que todo el retiro del servicio haya sido completado o sobre la liquidación del fondo, podría ser un instrumento de patrimonio dentro del alcance de la NIIF 9, y, por tanto, está fuera del alcance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¿cómo contabilizaría un contribuyente su participación en un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un contribuyente tiene la obligación de efectuar aportaciones adicionales, por ejemplo, en el caso de quiebra de otro contribuyente, ¿cómo se contabilizaría esa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la participación en un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El contribuyente reconocerá su obligación a pagar los costos de retiro del servicio como un pasivo y reconocerá su participación en el fondo de forma separada, a menos que el contribuyente no fuera responsable de pagar los costos de retiro del servicio incluso en el caso de que el fondo no hiciese frente a los pagos.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El contribuyente determinará si tiene control, control conjunto o influencia significativa sobre el fondo por referencia a las NIIF 10, NIIF 11 y NIC 28. Si así fuera, el contribuyente contabilizará su participación en el fondo según establecen las citadas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9 Si el contribuyente no tiene control, </w:t>
      </w:r>
      <w:r w:rsidRPr="00401DFF">
        <w:rPr>
          <w:rFonts w:ascii="Times New Roman" w:eastAsia="Times New Roman" w:hAnsi="Times New Roman" w:cs="Times New Roman"/>
          <w:sz w:val="24"/>
          <w:szCs w:val="24"/>
          <w:u w:val="single"/>
          <w:lang w:eastAsia="es-CO"/>
        </w:rPr>
        <w:t xml:space="preserve">o </w:t>
      </w:r>
      <w:r w:rsidRPr="00401DFF">
        <w:rPr>
          <w:rFonts w:ascii="Times New Roman" w:eastAsia="Times New Roman" w:hAnsi="Times New Roman" w:cs="Times New Roman"/>
          <w:sz w:val="24"/>
          <w:szCs w:val="24"/>
          <w:lang w:eastAsia="es-CO"/>
        </w:rPr>
        <w:t>control conjunto o influencia significativa sobre el fondo, reconocerá el derecho a recibir los pagos del fondo como un reembolso, tal como dispone la NIC 37. Este reembolso se medirá por el menor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 la obligación de retiro del servicio reconocida;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participación del contribuyente en el valor razonable de los activos netos del fondo atribuibles a los contribuyentes.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cambios del importe en libros del derecho a recibir reembolsos, distintos de las aportaciones y los pagos del fondo, se reconocerán en el resultado del periodo en el que tengan lugar dichos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las obligaciones de efectuar aportaciones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Cuando el contribuyente tenga la obligación de efectuar potenciales aportaciones adicionales, por ejemplo, en el caso de quiebra de algún otro contribuyente o si se redujese el valor de las inversiones del fondo, hasta el punto de ser insuficientes para cumplir con sus compromisos de reembolso, esta obligación será un pasivo contingente dentro del alcance de la NIC 37. El contribuyente reconocerá un pasivo sólo si fuera probable que tuviera que efectuar aportaciones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El contribuyente revelará la naturaleza de su participación en el fondo así como toda restricción al acceso a los activos en el fondo.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Cuando el contribuyente tenga la obligación de efectuar aportaciones potenciales adicionales, que no estén reconocidas como pasivos (véase párrafo 10), deberá revelar la información requerida por el párrafo 86 de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Cuando el contribuyente contabilice su participación en el fondo de acuerdo con el párrafo 9, deberá revelar las informaciones requeridas por el apartado (c) del párrafo 85 de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entidad aplicará esta Interpretación en los periodos anuales que comiencen a partir del 1 de enero de 2006. Se aconseja su aplicación anticipada. Si la entidad aplicase esta Interpretación en un ejercicio que comenzase con anterioridad al 1 de enero de 2006,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14A La NIIF 9 emitida en octubre de 2010, modificó el párrafo 5.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14B La NIIF 10 y la NIIF 11, emitidas en mayo de 2011, modificaron los párrafos 8 y 9.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Los cambios en las políticas contables serán contabilizados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Obligaciones Surgidas de la Participación en Mercados Específicos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Residuos de Aparatos Eléctricos y Electrónicos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párrafo 17 de la NIC 37 dispone que el suceso que da origen a una obligación es un suceso pasado del que se deriva una obligación que la entidad no tiene otra alternativa más realista que liquidar.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El párrafo 19 de la NIC 37 establece que se reconocerán como provisiones sólo “aquellas obligaciones surgidas a raíz de sucesos pasados, cuya existencia sea independiente de las acciones futuras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La Directiva de la Unión Europea sobre residuos de aparatos eléctricos y electrónicos (RAEE), que regula la recogida, el tratamiento, la recuperación y la eliminación respetuosa con el medio ambiente de los RAEE, ha generado preguntas sobre el momento en que debería reconocerse la obligación por el desmantelamiento de RAEE. La Directiva distingue entre residuos “nuevos” y residuos “históricos”, y entre residuos procedentes de hogares particulares y residuos no procedentes de hogares particulares. Los nuevos residuos se refieren a productos vendidos después del 13 de agosto de 2005. Se considera que todo aparato doméstico vendido antes de dicha fecha dará lugar a residuos históricos, a efectos de la Directiva.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Directiva establece que los costos de gestión de los residuos de aparatos domésticos históricos deben ser soportados por los productores de ese tipo de aparatos que estén en el mercado durante un periodo a ser especificado en la legislación aplicable de cada Estado miembro (el periodo de medición). La Directiva establece que cada Estado miembro establecerá un mecanismo en virtud del cual los productores deberán contribuir a los costos de manera proporcional, “por ejemplo, en proporción a la cuota de mercado que corresponda a cada uno de ellos por el tipo de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 Varios términos empleados en esta Interpretación, como “cuota de mercado” y “periodo de medición”, pueden definirse de maneras muy diferentes en la legislación aplicable en cada Estado miembro. Por ejemplo, el periodo de medición puede ser un año o sólo un mes. De manera similar, la evaluación de la cuota de mercado y las fórmulas para calcular la obligación pueden diferir en las diversas legislaciones nacionales. No obstante, todos estos ejemplos afectan únicamente a la medición de la obligación, cuestión que es ajena al alcance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Esta Interpretación ofrece una guía para el reconocimiento, en los estados financieros de los productores, de las obligaciones derivadas de la gestión de residuos conforme a la Directiva de la UE sobre RAEE, en cuanto se refiere a las ventas de aparatos domésticos históricos.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Interpretación no se refiere a los nuevos residuos ni a los residuos históricos no procedentes de hogares particulares. La obligación de la gestión de estos residuos está debidamente cubierta en la NIC 37. Sin embargo, si en la legislación nacional los nuevos residuos procedentes de hogares particulares se tratasen de manera similar a los residuos históricos procedentes de hogares particulares, los principios de la Interpretación se aplicarán por referencia a la jerarquía establecida en los párrafos 10 a 12 de la NIC 8. La jerarquía de la NIC 8 es también pertinente para otras regulaciones que imponen obligaciones de una manera similar al modelo de atribución de costos previsto en la Directiva de la 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Se pidió al CINIIF que determinara, en el contexto del desmantelamiento de RAEE, cuál es el suceso que da origen a la obligación, de conformidad con el apartado (a) del párrafo 14 de la NIC 37, para el reconocimiento de una provisión por costos de gestión de residuos: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fabricación o la venta de aparatos domésticos históricos?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participación en el mercado durante el periodo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¿el incurrimiento de costos en la ejecución de actividades de gestión de residuos?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La participación en el mercado durante el periodo de medición es el suceso que da origen a la obligación, de acuerdo con el apartado (a) del párrafo 14 de la NIC 37. Por consiguiente, la obligación por los costos de gestión de residuos procedentes de aparatos domésticos históricos no nace cuando los productos se fabrican o se venden. Puesto que la obligación relacionada con los aparatos domésticos históricos no está vinculada a la producción o venta de los artículos que deben eliminarse, sino a la participación en el mercado durante el periodo de medición, no existe obligación alguna a menos y hasta que </w:t>
      </w:r>
      <w:r w:rsidRPr="00401DFF">
        <w:rPr>
          <w:rFonts w:ascii="Times New Roman" w:eastAsia="Times New Roman" w:hAnsi="Times New Roman" w:cs="Times New Roman"/>
          <w:sz w:val="24"/>
          <w:szCs w:val="24"/>
          <w:lang w:eastAsia="es-CO"/>
        </w:rPr>
        <w:lastRenderedPageBreak/>
        <w:t>exista una cuota de mercado durante el periodo de medición. El momento de aparición del suceso que da origen a la obligación puede ser también independiente del periodo concreto en que se emprendan las actividades para ejecutar la gestión de residuos y se incurra en los costos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Una entidad aplicará esta Interpretación en los periodos anuales que comiencen a partir del 1 de diciembre de 2005. Se aconseja su aplicación anticipada. Si una entidad aplicase la Interpretación en un periodo que comenzase con anterioridad al 1 diciembre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Los cambios en las políticas contables deberán contabilizarse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Aplicación del Procedimiento de Reexpresión según la NIC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Financiera en Economías Hiperinflacionarias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29 </w:t>
      </w:r>
      <w:r w:rsidRPr="00401DFF">
        <w:rPr>
          <w:rFonts w:ascii="Times New Roman" w:eastAsia="Times New Roman" w:hAnsi="Times New Roman" w:cs="Times New Roman"/>
          <w:i/>
          <w:iCs/>
          <w:sz w:val="24"/>
          <w:szCs w:val="24"/>
          <w:lang w:eastAsia="es-CO"/>
        </w:rPr>
        <w:t>Información Financiera en Economías Hiperinflacionarias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Esta Interpretación suministra guías acerca de la aplicación de los requerimientos de la NIC 29 en un periodo sobre el que se informa en el que una entidad identifique</w:t>
      </w:r>
      <w:hyperlink r:id="rId61" w:anchor="bf1b3ba941d4ebe44c6bbc8c3db72827bb2nf9" w:tgtFrame="_self" w:history="1">
        <w:r w:rsidRPr="00401DFF">
          <w:rPr>
            <w:rFonts w:ascii="Times New Roman" w:eastAsia="Times New Roman" w:hAnsi="Times New Roman" w:cs="Times New Roman"/>
            <w:color w:val="0000FF"/>
            <w:sz w:val="20"/>
            <w:szCs w:val="20"/>
            <w:u w:val="single"/>
            <w:vertAlign w:val="superscript"/>
            <w:lang w:eastAsia="es-CO"/>
          </w:rPr>
          <w:t>(57)</w:t>
        </w:r>
      </w:hyperlink>
      <w:r w:rsidRPr="00401DFF">
        <w:rPr>
          <w:rFonts w:ascii="Times New Roman" w:eastAsia="Times New Roman" w:hAnsi="Times New Roman" w:cs="Times New Roman"/>
          <w:sz w:val="24"/>
          <w:szCs w:val="24"/>
          <w:lang w:eastAsia="es-CO"/>
        </w:rPr>
        <w:t xml:space="preserve"> la existencia de hiperinflación en la economía de su moneda funcional, cuando dicha economía no hubiese sido hiperinflacionaria en un período anterior, y por lo tanto, reexpresa sus estados financieros de acuerdo con la NIC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Los problemas tratados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¿cómo se interpreta el requerimiento que figura en el párrafo 8 de la NIC 29 “... se establecerán en términos de la unidad de medida corriente al final del periodo sobre el que se informa” cuando la entidad aplique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¿cómo debería una entidad contabilizar las partidas iniciales por impuestos diferidos en sus estados financieros reexpresados?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el periodo en el que una entidad identifique la existencia de hiperinflación en la economía de su moneda funcional, sin que haya sido hiperinflacionaria en el periodo anterior, la entidad aplicará los requerimientos de la NIC 29 como si la economía hubiese sido siempre hiperinflacionaria. Por lo tanto, en relación con las partidas no monetarias medidas al costo histórico, el estado de situación financiera de apertura de la entidad al principio del periodo más antiguo presentado en los estados financieros se reexpresará de forma que refleje el efecto de la inflación desde la fecha en que los activos fueron adquiridos y los pasivos fueron incurridos o asumidos, hasta el final del periodo sobre el que se informa. Para las partidas no monetarias registradas en el estado de situación financiera de apertura por sus importes corrientes en fechas que sean distintas de la de adquisición o asunción, la reexpresión reflejará el efecto de la inflación desde las fechas en que esos importes en libros fueron determinados, hasta 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Al final del periodo sobre el que se informa, las partidas por impuestos diferidos se reconocerán y medirán de acuerdo con la NIC 12. No obstante, los importes por impuestos diferidos que figuren en el estado de situación financiera de apertura del periodo sobre el que se informa, se determinarán de la siguiente manera: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volverá a medir las partidas por impuestos diferidos según la NIC 12 después de que haya reexpresado los importes nominales en libros de sus partidas no monetarias en la fecha del estado de situación financiera de apertura del periodo sobre el que se informa, aplicando la unidad de medida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partidas por impuestos diferidos medidas de nuevo de conformidad con el apartado (a) anterior, se reexpresarán por la variación en la unidad de medida, desde la fecha del estado de situación financiera de apertura del periodo sobre el que se informa, hasta 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aplicará el procedimiento que figura en los apartados (a) y (b) anteriores en la reexpresión de las partidas por impuestos diferidos en el estado de situación financiera de apertura de cualquier periodo comparativo presentado en los estados financieros reexpresados para el periodo sobre el que se informa, al que le sea de aplicación la NIC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Después de que una entidad haya reexpresado sus estados financieros, todas las cifras comparativas que figuren en esos estados para periodos posteriores, incluyendo las partidas por impuestos diferidos, se reexpresarán aplicando la variación en la unidad de medida para esos periodos posteriores, únicamente a los estados financieros reexpresados en el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Una entidad aplicará esta Interpretación en los periodos anuales que comiencen a partir del 1 de marzo de 2006. Se aconseja su aplicación anticipada. Si una entidad aplicase esta Interpretación para un periodo que comenzase antes del 1 de marzo de 2006,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La identificación de hiperinflación se base en la valoración de la entidad de los criterios del párrafo 3 de la NIC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Financiera Intermedia y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9 </w:t>
      </w:r>
      <w:r w:rsidRPr="00401DFF">
        <w:rPr>
          <w:rFonts w:ascii="Times New Roman" w:eastAsia="Times New Roman" w:hAnsi="Times New Roman" w:cs="Times New Roman"/>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34 </w:t>
      </w:r>
      <w:r w:rsidRPr="00401DFF">
        <w:rPr>
          <w:rFonts w:ascii="Times New Roman" w:eastAsia="Times New Roman" w:hAnsi="Times New Roman" w:cs="Times New Roman"/>
          <w:i/>
          <w:iCs/>
          <w:sz w:val="24"/>
          <w:szCs w:val="24"/>
          <w:lang w:eastAsia="es-CO"/>
        </w:rPr>
        <w:t>Información Financiera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36 </w:t>
      </w:r>
      <w:r w:rsidRPr="00401DFF">
        <w:rPr>
          <w:rFonts w:ascii="Times New Roman" w:eastAsia="Times New Roman" w:hAnsi="Times New Roman" w:cs="Times New Roman"/>
          <w:i/>
          <w:iCs/>
          <w:sz w:val="24"/>
          <w:szCs w:val="24"/>
          <w:lang w:eastAsia="es-CO"/>
        </w:rPr>
        <w:t>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Se requiere que una entidad evalúe el deterioro de valor de la plusvalía al final de cada periodo sobre el que se informa y, si fuera preciso, reconozca una pérdida por deterioro de valor en esa fecha de acuerdo con la NIC 36. Sin embargo, al final de un periodo posterior sobre el que se informa, las condiciones pueden haber cambiado de tal manera que la pérdida por deterioro del valor se podría haberse reducido o evitado si dicha evaluación se hubiese realizado únicamente en esa fecha. Esta Interpretación proporciona guías sobre si tales pérdidas por deterioro del valor deben revertirse en algún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Interpretación aborda la interacción entre los requerimientos de la NIC 34 y el reconocimiento de las pérdidas por deterioro del valor de la plusvalía conforme a la NIC 36, así como el efecto de dicha interacción en los estados financieros intermedios y anuales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 párrafo 28 de la NIC 34 requiere que una entidad aplique en sus estados financieros intermedios las mismas políticas contables que en sus estados financieros anuales. También señala que “la frecuencia con que la entidad presente información (anual, semestral o trimestralmente) no debe afectar a la medición de las cifras contables anuales. Para conseguir tal objetivo, las mediciones realizadas de cara a la información intermedia deben abarcar todo el intervalo transcurrido desde principio del periodo anual hasta la fecha final del periodo intermedio”.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 El párrafo 124 de la NIC 36 establece que “Una pérdida por deterioro del valor reconocida en la plusvalía no revertirá en los periodos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Esta Interpretación trata la siguiente cuestión: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¿Debería una entidad revertir las pérdidas por deterioro del valor de la plusvalía reconocidas en un periodo intermedio cuando, en el caso de que una evaluación del deterioro del valor se hubiese realizado en un periodo posterior sobre el que se informa, no se habría reconocido ninguna pérdida o ésta habría sido por una cantidad inferior?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entidad no deberá revertir una pérdida por deterioro del valor de la plusvalía reconocida en un periodo intermedio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entidad no deberá extender este acuerdo, por analogía, a otros ámbitos de conflicto potencial entre la NIC 34 y otras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Una entidad aplicará esta Interpretación, en los periodos anuales que comiencen a partir del 1 de noviembre de 2006. Se aconseja su aplicación anticipada. Si una entidad aplicase la Interpretación en un periodo que comenzase con anterioridad al 1 noviembre de 2006, revelará este hecho. Una entidad aplicará esta Interpretación a la plusvalía de forma prospectiva a partir de la fecha en que haya aplicado por primera vez la NIC 36; y a las inversiones en instrumentos de patrimonio o en activos financieros contabilizados al costo, de forma prospectiva a partir de la fecha en que haya aplicado por primera vez los criterios de medición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La NIIF 9 emitida en octubre de 2010, modificó los párrafos 1, 2, 7 y 8 y eliminó los párrafos 5, 6 y 11.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Marco Conceptual para la Preparación y Presentación de Estados Financieros</w:t>
      </w:r>
      <w:hyperlink r:id="rId62" w:anchor="bf1e5af18701e9d40f89cb93f3b693f0972nf9" w:tgtFrame="_self" w:history="1">
        <w:r w:rsidRPr="00401DFF">
          <w:rPr>
            <w:rFonts w:ascii="Times New Roman" w:eastAsia="Times New Roman" w:hAnsi="Times New Roman" w:cs="Times New Roman"/>
            <w:color w:val="0000FF"/>
            <w:sz w:val="20"/>
            <w:szCs w:val="20"/>
            <w:u w:val="single"/>
            <w:vertAlign w:val="superscript"/>
            <w:lang w:eastAsia="es-CO"/>
          </w:rPr>
          <w:t>(58)</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 xml:space="preserve">• </w:t>
      </w:r>
      <w:r w:rsidRPr="00401DFF">
        <w:rPr>
          <w:rFonts w:ascii="Times New Roman" w:eastAsia="Times New Roman" w:hAnsi="Times New Roman" w:cs="Times New Roman"/>
          <w:sz w:val="24"/>
          <w:szCs w:val="24"/>
          <w:lang w:eastAsia="es-CO"/>
        </w:rPr>
        <w:t xml:space="preserve">NIIF 1 </w:t>
      </w:r>
      <w:r w:rsidRPr="00401DFF">
        <w:rPr>
          <w:rFonts w:ascii="Times New Roman" w:eastAsia="Times New Roman" w:hAnsi="Times New Roman" w:cs="Times New Roman"/>
          <w:i/>
          <w:iCs/>
          <w:sz w:val="24"/>
          <w:szCs w:val="24"/>
          <w:lang w:eastAsia="es-CO"/>
        </w:rPr>
        <w:t>Adopción por Primera vez de las Normas Internacionales de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NIIF 7 </w:t>
      </w:r>
      <w:r w:rsidRPr="00401DFF">
        <w:rPr>
          <w:rFonts w:ascii="Times New Roman" w:eastAsia="Times New Roman" w:hAnsi="Times New Roman" w:cs="Times New Roman"/>
          <w:i/>
          <w:iCs/>
          <w:sz w:val="24"/>
          <w:szCs w:val="24"/>
          <w:lang w:eastAsia="es-CO"/>
        </w:rPr>
        <w:t>Instrumentos Financieros: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16 </w:t>
      </w:r>
      <w:r w:rsidRPr="00401DFF">
        <w:rPr>
          <w:rFonts w:ascii="Times New Roman" w:eastAsia="Times New Roman" w:hAnsi="Times New Roman" w:cs="Times New Roman"/>
          <w:i/>
          <w:iCs/>
          <w:sz w:val="24"/>
          <w:szCs w:val="24"/>
          <w:lang w:eastAsia="es-CO"/>
        </w:rPr>
        <w:t>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NIC 17</w:t>
      </w:r>
      <w:r w:rsidRPr="00401DFF">
        <w:rPr>
          <w:rFonts w:ascii="Times New Roman" w:eastAsia="Times New Roman" w:hAnsi="Times New Roman" w:cs="Times New Roman"/>
          <w:i/>
          <w:iCs/>
          <w:sz w:val="24"/>
          <w:szCs w:val="24"/>
          <w:lang w:eastAsia="es-CO"/>
        </w:rPr>
        <w:t xml:space="preserve"> 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NIC 20</w:t>
      </w:r>
      <w:r w:rsidRPr="00401DFF">
        <w:rPr>
          <w:rFonts w:ascii="Times New Roman" w:eastAsia="Times New Roman" w:hAnsi="Times New Roman" w:cs="Times New Roman"/>
          <w:i/>
          <w:iCs/>
          <w:sz w:val="24"/>
          <w:szCs w:val="24"/>
          <w:lang w:eastAsia="es-CO"/>
        </w:rPr>
        <w:t xml:space="preserve"> Contabilización de las Subvenciones del Gobierno e Información a Revelar sobre Ayudas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23 </w:t>
      </w:r>
      <w:r w:rsidRPr="00401DFF">
        <w:rPr>
          <w:rFonts w:ascii="Times New Roman" w:eastAsia="Times New Roman" w:hAnsi="Times New Roman" w:cs="Times New Roman"/>
          <w:i/>
          <w:iCs/>
          <w:sz w:val="24"/>
          <w:szCs w:val="24"/>
          <w:lang w:eastAsia="es-CO"/>
        </w:rPr>
        <w:t>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32 </w:t>
      </w:r>
      <w:r w:rsidRPr="00401DFF">
        <w:rPr>
          <w:rFonts w:ascii="Times New Roman" w:eastAsia="Times New Roman" w:hAnsi="Times New Roman" w:cs="Times New Roman"/>
          <w:i/>
          <w:iCs/>
          <w:sz w:val="24"/>
          <w:szCs w:val="24"/>
          <w:lang w:eastAsia="es-CO"/>
        </w:rPr>
        <w:t>Instrumentos Financieros: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36 </w:t>
      </w:r>
      <w:r w:rsidRPr="00401DFF">
        <w:rPr>
          <w:rFonts w:ascii="Times New Roman" w:eastAsia="Times New Roman" w:hAnsi="Times New Roman" w:cs="Times New Roman"/>
          <w:i/>
          <w:iCs/>
          <w:sz w:val="24"/>
          <w:szCs w:val="24"/>
          <w:lang w:eastAsia="es-CO"/>
        </w:rPr>
        <w:t>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NIC 38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CINIIF 4</w:t>
      </w:r>
      <w:r w:rsidRPr="00401DFF">
        <w:rPr>
          <w:rFonts w:ascii="Times New Roman" w:eastAsia="Times New Roman" w:hAnsi="Times New Roman" w:cs="Times New Roman"/>
          <w:i/>
          <w:iCs/>
          <w:sz w:val="24"/>
          <w:szCs w:val="24"/>
          <w:lang w:eastAsia="es-CO"/>
        </w:rPr>
        <w:t xml:space="preserve"> Determinación de si un Acuerdo contiene un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SIC-29 </w:t>
      </w:r>
      <w:r w:rsidRPr="00401DFF">
        <w:rPr>
          <w:rFonts w:ascii="Times New Roman" w:eastAsia="Times New Roman" w:hAnsi="Times New Roman" w:cs="Times New Roman"/>
          <w:i/>
          <w:iCs/>
          <w:sz w:val="24"/>
          <w:szCs w:val="24"/>
          <w:lang w:eastAsia="es-CO"/>
        </w:rPr>
        <w:t>Acuerdos de Concesión de Servicios: Información a Revelar</w:t>
      </w:r>
      <w:hyperlink r:id="rId63" w:anchor="bf1cf5c324521f14a2ab0ba10b4875abc45nf9" w:tgtFrame="_self" w:history="1">
        <w:r w:rsidRPr="00401DFF">
          <w:rPr>
            <w:rFonts w:ascii="Times New Roman" w:eastAsia="Times New Roman" w:hAnsi="Times New Roman" w:cs="Times New Roman"/>
            <w:color w:val="0000FF"/>
            <w:sz w:val="20"/>
            <w:szCs w:val="20"/>
            <w:u w:val="single"/>
            <w:vertAlign w:val="superscript"/>
            <w:lang w:eastAsia="es-CO"/>
          </w:rPr>
          <w:t>(59)</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muchos países, las infraestructuras de servicio público —como carreteras, puentes, túneles, prisiones, hospitales, aeropuertos, instalaciones de distribución de agua, redes de suministro de energía y de telecomunicaciones— han sido tradicionalmente construidas, operadas y mantenidas por el sector público y financiadas mediante asignaciones del presupuesto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En algunos países, los gobiernos han introducido acuerdos de servicio contractuales para atraer la participación del sector privado en el desarrollo, la financiación, la operación y el mantenimiento de dichas infraestructuras. La infraestructura en cuestión puede existir previamente, o puede tenerse que construir durante el periodo del acuerdo de servicios. Un </w:t>
      </w:r>
      <w:r w:rsidRPr="00401DFF">
        <w:rPr>
          <w:rFonts w:ascii="Times New Roman" w:eastAsia="Times New Roman" w:hAnsi="Times New Roman" w:cs="Times New Roman"/>
          <w:sz w:val="24"/>
          <w:szCs w:val="24"/>
          <w:lang w:eastAsia="es-CO"/>
        </w:rPr>
        <w:lastRenderedPageBreak/>
        <w:t>acuerdo que esté dentro del alcance de esta Interpretación involucra habitualmente a una entidad del sector privado (un operador) que construye o mejora la infraestructura utilizada para proporcionar el servicio público (por ejemplo, mediante el incremento de su capacidad) y que opera y mantiene esa infraestructura durante un periodo especificado. El operador recibe pagos por sus servicios durante el tiempo del acuerdo. Éste se rige por un contrato que establece los niveles de ejecución, los mecanismos para ajustar los precios y los acuerdos para arbitrar disputas. Tal acuerdo a menudo se describe como un acuerdo de concesión del tipo “construir-operar-transferir”, o bien de “rehabilitar-operar-transferir”, o bien como un acuerdo de concesión de un “servicio público a un operador privado”.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Una característica de estos acuerdos de servicios es la naturaleza de servicio público de la obligación asumida por el operador. Existen políticas públicas que hacen referencia a los servicios relacionados con la infraestructura que se proporcionan al público, independientemente de quién sea la parte que opera el servicio. El acuerdo de servicio obliga contractualmente al operador a proporcionar los servicios al público en nombre de la entidad del sector público. Otras características comunes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parte que concede el acuerdo de servicio (la concedente) es una entidad del sector público, incluyendo a los organismos gubernamentales, o bien una entidad del sector privado en la que se ha delegado la responsabilidad del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operador es responsable al menos de una parte de la gestión de la infraestructura y servicios relacionados y no actúa simplemente como un agente por cuenta de la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contrato establece los precios iniciales que debe recaudar el operador y regula las revisiones de precios durante el periodo de acuerdo del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operador está obligado a entregar la infraestructura a la concedente en unas condiciones especificadas al final del periodo del acuerdo, sin contraprestación o con una contraprestación pequeña, independientemente de cuál haya sido la parte que la haya financiado inicialmente.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proporciona guías para la contabilización de los acuerdos de concesión de servicios públicos a un operador privado.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Interpretación se aplica a los acuerdos de concesión de servicios públicos a un operador privado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concedente controla o regula qué servicios debe proporcionar el operador con la infraestructura, a quién debe proporcionarlos y a qué precio;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concedente controla —a través de la propiedad, del derecho de uso o de otra manera— cualquier participación residual significativa en la infraestructura al final del plazo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La infraestructura usada en acuerdos de concesión de servicios públicos a un operador privado durante toda su vida útil (toda la vida de los activos) queda dentro del alcance de esta Interpretación si se cumplen las condiciones contenidas en el párrafo 5(a). Los párrafos GA1 a GA8 proporcionan guías para determinar si los acuerdos de concesión de servicios públicos a un operador privado están dentro del alcance de esta Interpretación y, en tal caso, en qué medida lo están.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Esta Interpretación se aplica tanto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infraestructuras que el operador construya o adquiera de un tercero para ser destinadas al acuerdo de prestación de servicios;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infraestructuras ya existentes a las que el operador tenga acceso, con el fin de prestar los servicios previstos en la concesión, por acuerdo de la entidad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Esta Interpretación no especifica la forma de contabilizar las infraestructuras que hubiera reconocido y mantuviera como propiedades, planta y equipo el operador antes del comienzo del acuerdo de servicio. A tales infraestructuras se aplican los requerimientos de baja en cuentas de las NIIF (establecidos en la NIC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Esta Interpretación no aborda la contabilización a llevar a cabo por las entidades concedentes.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Esta Interpretación establece principios generales de reconocimiento y medición de las obligaciones y derechos relacionados en los acuerdos de concesión de servicios. Los requerimientos relativos a la información a revelar sobre los acuerdos de concesión de servicios están en la SIC-29.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tratamiento de los derechos del operador sobre la infraestructura;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reconocimiento y medición de la contraprestación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servicios de construcción o mejora;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servicios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tratamiento contable posterior de los activos financieros y los activos intangibles;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elementos proporcionados al operador por la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Tratamiento de los derechos del operador sobre la infraestructura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Las infraestructuras que entran dentro del alcance de esta Interpretación no deben ser reconocidas como elementos de propiedad, planta y equipo del operador, porque el acuerdo contractual de servicios no otorga a éste el derecho a usarlas. El operador tiene acceso a la operación de la infraestructura para proporcionar el servicio público en nombre de la concedente, de acuerdo con los términos especificados en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 de la contraprestación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Según los términos de los acuerdos que constituyen el alcance de la Interpretación, el operador actúa como un suministrador de servicios. El operador construye o mejora la infraestructura (servicios de construcción o mejora) utilizada para proporcionar un servicio público y la opera y mantiene (servicios de operación) durante un periodo de tiempo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 operador debe reconocer y medir los ingresos de actividades ordinarias, para los servicios que preste, de acuerdo con las NIC 11 y 18. Si el operador presta más de un servicio (es decir, servicios de construcción o mejora y servicios de operación) bajo un mismo contrato o acuerdo, la contraprestación recibida o por recibir debe ser distribuida tomando como referencia los valores razonables relativos de los servicios prestados, cuando los importes sean identificables por separado. La naturaleza de la contraprestación determina su tratamiento contable posterior. El tratamiento contable posterior de la contraprestación recibida como activo financiero y como activo intangible se detalla más adelante, en los párrafos 23 a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Servicios de construcción o de mejora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El operador debe contabilizar los ingresos de actividades ordinarias y los costos relacionados con los servicios de construcción o de mejora de acuerdo con la NIC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Contraprestación dada por la concedente al operador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el operador proporciona servicios de construcción o de mejora, la contraprestación recibida o a recibir por dicho operador se reconocerá por su valor razonable. La contraprestación puede consistir en derechos sobre: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activo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El operador reconocerá un activo financiero en la medida que tenga un derecho contractual incondicional a recibir de la concedente, o de una entidad bajo la supervisión de ella, efectivo u otro activo financiero por los servicios de construcción; y que la concedente tenga poca o ninguna capacidad de evitar el pago, normalmente porque el acuerdo es exigible por estatutos. El operador tiene un derecho incondicional a recibir efectivo cuando </w:t>
      </w:r>
      <w:r w:rsidRPr="00401DFF">
        <w:rPr>
          <w:rFonts w:ascii="Times New Roman" w:eastAsia="Times New Roman" w:hAnsi="Times New Roman" w:cs="Times New Roman"/>
          <w:sz w:val="24"/>
          <w:szCs w:val="24"/>
          <w:lang w:eastAsia="es-CO"/>
        </w:rPr>
        <w:lastRenderedPageBreak/>
        <w:t>la concedente garantiza el pago al operador de (a) importes especificados o determinables o (b) el déficit, si lo hubiere, entre los importes recibidos de los usuarios del servicio público y los importes especificados o determinables, incluso cuando el pago esté condicionado a que el operador garantice que la infraestructura cumple con los requerimientos de calidad o eficiencia especificados.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El operador reconocerá un activo intangible en la medida en que reciba un derecho (una licencia) a efectuar cargos a los usuarios del servicio público. El derecho para efectuarlos no es un derecho incondicional a recibir efectivo porque los importes están condicionados al grado de uso del servicio por parte del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Si se paga al operador por los servicios de construcción, en parte mediante un activo financiero y en parte mediante un activo intangible, es necesario que cada componente de la contraprestación del operador se contabilice por separado. La contraprestación recibida o a recibir por ambos componentes deberá ser inicialmente reconocida por el valor razonable de la contraprestación recibida o por recibir.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La naturaleza de la contraprestación dada por la concedente al operador se determinará por referencia a las condiciones del contrato y, cuando exista, a la ley de contratos pertinente.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Servicios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El operador contabilizará los ingresos de actividades ordinarias y los costos relacionados con los servicios de operación de acuerdo con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Obligaciones contractuales para restaurar la infraestructura y darle una capacidad especificada de servicio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El operador puede tener obligaciones contractuales que deba cumplir como una condición de su licencia, para (a) mantener la infraestructura con una capacidad especificada de servicio, o para (b) restaurar la infraestructura hasta darle una condición de servicio especificada antes de entregarla a la concedente al final del acuerdo de servicio. Excepto por lo que se refiere a los elementos de mejora (véase el párrafo 14), estas obligaciones contractuales para mantener o restaurar la infraestructura deberán reconocerse y medirse de acuerdo con la NIC 37, es decir, según la mejor estimación del desembolso que se requeriría para cancelar la obligación presente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por préstamos incurridos por el operador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De acuerdo con la NIC 23, los costos por préstamos que sean atribuibles a estos acuerdos se reconocerán como un gasto en el periodo en que se incurra en ellos, a menos que el operador tenga un derecho contractual a recibir un activo intangible (un derecho para cobrar a los usuarios del servicio público). En este caso, los costos por préstamos que sean </w:t>
      </w:r>
      <w:r w:rsidRPr="00401DFF">
        <w:rPr>
          <w:rFonts w:ascii="Times New Roman" w:eastAsia="Times New Roman" w:hAnsi="Times New Roman" w:cs="Times New Roman"/>
          <w:sz w:val="24"/>
          <w:szCs w:val="24"/>
          <w:lang w:eastAsia="es-CO"/>
        </w:rPr>
        <w:lastRenderedPageBreak/>
        <w:t>atribuibles a estos acuerdos se capitalizarán durante la fase de construcción del acuerdo según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Las NIC 32 y las NIIF 7 y 9 se aplican al activo financiero reconocido según los párrafos 16 y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El importe debido por la concedente o por una entidad bajo la supervisión de ella se contabilizará de acuerdo con la NIIF 9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costo amortizado;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medido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Cuando el importe debido por la concedente se contabiliza al costo amortizado, la NIIF 9 requiere que el interés calculado utilizando el método del interés efectivo, se reconozca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La NIC 38 se aplica al activo intangible reconocido según los párrafos 17 y 18. Los párrafos 45 a 47 de la NIC 38 proporcionan guías para la medición de los activos intangibles adquiridos a cambio de uno o varios activos no monetarios, o bien a cambio de una combinación de activos monetarios y no monetarios.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Elementos proporcionados al operador por la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De acuerdo con el párrafo 11, los elementos de infraestructura a los que la concedente haya dado acceso al operador para los propósitos del acuerdo de servicio, no se reconocen como propiedades, planta y equipo del operador. La concedente puede también proporcionar otros elementos al operador para que los conserve o trate como desee. Si dichos activos forman parte de la contraprestación a ser pagada por la concedente por los servicios, no son subvenciones del gobierno según se las define en la NIC 20. Se reconocen como activos del operador, medidos al valor razonable en el reconocimiento inicial. El operador deberá reconocer un pasivo por las obligaciones que haya asumido a cambio de los activos y que todavía no haya cumplido.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aplicará esta Interpretación en los periodos anuales que comiencen a partir del 1 de enero de 2008. Se permite su aplicación anticipada. Si una entidad aplicase la Interpretación en un periodo que comenzase con anterioridad al 1 de enero de 2008,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28B La NIIF 9 emitida en octubre de 2010, modificó el párrafo 23 a 25 y eliminó el párrafo 28A.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Conforme al párrafo 30, los cambios en las políticas contables se contabilizan de acuerdo con la NIC 8, es decir, retroactivamente.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Si, para algún acuerdo de servicios particular, la aplicación retroactiva de esta Interpretación al comienzo del periodo más antiguo presentado por parte de un operador resulta impracticable, éste deberá: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reconocer los activos financieros y activos intangibles que existieran al principio del periodo más antiguo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utilizar los importes en libros previos de esos activos financieros e intangibles (sin embargo, previamente clasificados) como sus importes en libros en esa fecha;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comprobar el deterioro de valor de los activos financieros e intangibles en esa fecha, a menos que no sea practicable, en cuyo caso deberá comprobarse el deterioro de valor de los importes al principio del periodo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 (párrafo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 El párrafo 5 de esta Interpretación especifica que la infraestructura está dentro del alcance de la Interpretación cuando concurren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concedente controla o regula qué servicios debe proporcionar el operador con la infraestructura, a quién debe proporcionarlos y a qué precio;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concedente controla —a través de la propiedad, del derecho de uso o de otra manera— cualquier participación residual significativa en la infraestructura al final del plazo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GA2 El control o regulación a que se refiere la condición (a) podría ejercerse mediante contrato o de otra manera (por ejemplo a través de un regulador), e incluye los casos en que la concedente compra toda la producción, así como aquéllos en las que la producción es comprada total o parcialmente por otros usuarios. Al aplicar esta condición, la concedente y cualesquiera partes relacionadas con ella deberán considerarse de forma conjunta. Si la </w:t>
      </w:r>
      <w:r w:rsidRPr="00401DFF">
        <w:rPr>
          <w:rFonts w:ascii="Times New Roman" w:eastAsia="Times New Roman" w:hAnsi="Times New Roman" w:cs="Times New Roman"/>
          <w:sz w:val="24"/>
          <w:szCs w:val="24"/>
          <w:lang w:eastAsia="es-CO"/>
        </w:rPr>
        <w:lastRenderedPageBreak/>
        <w:t>concedente es una entidad del sector público, a los efectos de esta Interpretación deberá considerarse al sector público en su conjunto, junto con cualquier otro regulador que actúe en interés público, como vinculado con la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 Para el propósito de la condición (a), no es necesario que la concedente tenga el control completo del precio: es suficiente que éste sea regulado por la concedente, contrato o regulador, por ejemplo a través de un mecanismo que lo limite. No obstante, la condición deberá aplicarse a la esencia del acuerdo. Deberán ignorarse las características no sustantivas, tales como un límite que se aplicará sólo en circunstancias remotas. Por el contrario, si por ejemplo, un contrato pretende dar libertad al operador para establecer los precios, pero cualquier ganancia en exceso se devuelve a la concedente, el retorno del operador está limitado y se cumple el elemento de precio de la prueba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 Para los propósitos de la condición (b) el control de la concedente sobre cualquier participación residual significativa debe restringir la capacidad práctica del operador de vender o pignorar la infraestructura, y debe conceder a la concedente un derecho de uso continuado a lo largo del periodo del acuerdo. La participación residual en la infraestructura es el valor corriente estimado de la infraestructura como si ya tuviera los años y se encontrara en las condiciones en las que se espera que esté al final del periodo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GA5 El control debe distinguirse de la gestión. Si la concedente retiene el grado de control descrito en el párrafo 5(a), así como cualquier participación residual en la infraestructura, el operador sólo está gestionando la infraestructura en nombre de la concedente —aún cuando, en muchos casos, pueda tener amplia discreción gerencial.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GA6 Las condiciones (a) y (b), de forma conjunta, identifican cuándo la infraestructura, incluyendo cualquier sustitución requerida (véase el párrafo 21), está controlada por la concedente durante la totalidad de su vida económica. Por ejemplo, si el operador tiene que sustituir un elemento de infraestructura durante el periodo del acuerdo (sea, la capa superior de una carretera o el tejado de un edificio), el elemento de infraestructura deberá considerarse en su conjunto. Por tanto, la condición (b) se cumple para la totalidad de la infraestructura, incluyendo la parte que es sustituida, siempre que la concedente controle cualquier participación residual significativa en la sustitución final de esa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GA7 A veces, la utilización de la infraestructura está en parte regulada de la manera descrita en el párrafo 5(a) y en parte no regulada. Sin embargo, estos acuerdos toman varias formas: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Cualquier infraestructura que se pueda separar físicamente, que sea susceptible de ser operada de forma independiente, y que cumpla la definición de unidad generadora de efectivo tal como se define en la NIC 36, deberá analizarse de forma separada cuando se utiliza enteramente para fines no regulados. Esto podría aplicar, por ejemplo, a un ala privada de un hospital, cuando la concedente utiliza el resto del hospital para tratar pacientes públicos.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Cuando las actividades puramente complementarias (como una tienda en un hospital) no están reguladas, la comprobación del control deberá aplicarse como si esos servicios no </w:t>
      </w:r>
      <w:r w:rsidRPr="00401DFF">
        <w:rPr>
          <w:rFonts w:ascii="Times New Roman" w:eastAsia="Times New Roman" w:hAnsi="Times New Roman" w:cs="Times New Roman"/>
          <w:sz w:val="24"/>
          <w:szCs w:val="24"/>
          <w:lang w:eastAsia="es-CO"/>
        </w:rPr>
        <w:lastRenderedPageBreak/>
        <w:t>existiesen, porque en los casos en los que la concedente controla los servicios de la forma descrita en el párrafo 5, la existencia de actividades complementarias no limita el control de la concedente sobre la infraestructura.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 El operador puede tener un derecho a utilizar la infraestructura separable descrita en el párrafo GA7(a) o las instalaciones utilizadas para proporcionar los servicios complementarios no regulados descritos en el párrafo GA7(b). En otros casos, puede existir, en sustancia, un arrendamiento de la concedente al operador; en cuyo caso deberá contabilizárselo de acuerdo con la NIC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(58)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(59) El título de la SIC-29, anteriormente </w:t>
      </w:r>
      <w:r w:rsidRPr="00401DFF">
        <w:rPr>
          <w:rFonts w:ascii="Times New Roman" w:eastAsia="Times New Roman" w:hAnsi="Times New Roman" w:cs="Times New Roman"/>
          <w:i/>
          <w:iCs/>
          <w:sz w:val="24"/>
          <w:szCs w:val="24"/>
          <w:lang w:eastAsia="es-CO"/>
        </w:rPr>
        <w:t>Información a Revelar</w:t>
      </w:r>
      <w:r w:rsidRPr="00401DFF">
        <w:rPr>
          <w:rFonts w:ascii="Times New Roman" w:eastAsia="Times New Roman" w:hAnsi="Times New Roman" w:cs="Times New Roman"/>
          <w:sz w:val="24"/>
          <w:szCs w:val="24"/>
          <w:lang w:eastAsia="es-CO"/>
        </w:rPr>
        <w:t>—</w:t>
      </w:r>
      <w:r w:rsidRPr="00401DFF">
        <w:rPr>
          <w:rFonts w:ascii="Times New Roman" w:eastAsia="Times New Roman" w:hAnsi="Times New Roman" w:cs="Times New Roman"/>
          <w:i/>
          <w:iCs/>
          <w:sz w:val="24"/>
          <w:szCs w:val="24"/>
          <w:lang w:eastAsia="es-CO"/>
        </w:rPr>
        <w:t xml:space="preserve">Acuerdos de Concesión de Servicios </w:t>
      </w:r>
      <w:r w:rsidRPr="00401DFF">
        <w:rPr>
          <w:rFonts w:ascii="Times New Roman" w:eastAsia="Times New Roman" w:hAnsi="Times New Roman" w:cs="Times New Roman"/>
          <w:sz w:val="24"/>
          <w:szCs w:val="24"/>
          <w:lang w:eastAsia="es-CO"/>
        </w:rPr>
        <w:t>fue modificado por la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Programas de Fidelización de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13 </w:t>
      </w:r>
      <w:r w:rsidRPr="00401DFF">
        <w:rPr>
          <w:rFonts w:ascii="Times New Roman" w:eastAsia="Times New Roman" w:hAnsi="Times New Roman" w:cs="Times New Roman"/>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Las entidades utilizan los programas de fidelización de clientes para proporcionarles incentivos para comprar sus bienes y servicios. Si un cliente compra bienes y servicios, la entidad le concede créditos-premio (a menudo denominados “puntos”). El cliente puede canjear los créditos-premio mediante adjudicaciones tales como bienes o servicios gratuitos o descuentos sobre éstos.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Los programas operan según una variedad de formas. Se puede exigir a los clientes que acumulen un número o valor mínimo especificado de créditos-premio antes de que pueda canjearlos. Los créditos-premio pueden estar vinculados a compras individuales o grupos de compras o a la continuidad del cliente durante un periodo especificado. La entidad puede gestionar el programa de fidelización de clientes por sí misma o participar en un programa gestionado por terceros. Los premios ofrecidos pueden incluir bienes o servicios suministrados por la propia entidad, así como derechos a reclamar bienes o servicios a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interpretación se aplica a créditos-premio por fidelización de clientes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conceda a sus clientes como parte de una transacción de venta, es decir, una venta de bienes, prestación de servicios o uso por parte de un cliente de activos de la entidad, y que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sujetos al cumplimiento de cualquier condición adicional estipulada como requisito, los clientes puedan canjear en el futuro en forma de bienes o servicios gratuitos o descuentos sobre éstos.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Interpretación aborda la contabilización por la entidad que concede créditos-premio a sus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obligación que la entidad tiene de proporcionar en el futuro bienes o servicios gratuitos o descuentos sobre éstos (los “premios”) debe reconocerse y medirse: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CINIIF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asignando parte de la contraprestación recibida o por recibir, derivada de transacciones de venta, a los créditos-premio y diferir el reconocimiento del ingreso de actividades ordinarias (aplicando el párrafo 13 de la NIC 18);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previendo la estimación de los costos futuros de suministrar los premios (aplicando el párrafo 19 de la NIC 18);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contraprestación se asigna a los créditos-premio: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cuánto debe asignarse entre los mismos;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cuándo debe reconocerse el ingreso de actividades ordinarias;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si un tercero suministra los premios, cómo debe medirse el ingreso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Una entidad aplicará el párrafo 13 de la NIC 18 y contabilizará los créditos-premio por separado como un componente identificable de las transacciones de venta en las que éstos se concedan (la “venta inicial”). El valor razonable de la contraprestación recibida o por </w:t>
      </w:r>
      <w:r w:rsidRPr="00401DFF">
        <w:rPr>
          <w:rFonts w:ascii="Times New Roman" w:eastAsia="Times New Roman" w:hAnsi="Times New Roman" w:cs="Times New Roman"/>
          <w:sz w:val="24"/>
          <w:szCs w:val="24"/>
          <w:lang w:eastAsia="es-CO"/>
        </w:rPr>
        <w:lastRenderedPageBreak/>
        <w:t>recibir con respecto a la venta inicial deberá distribuirse entre los créditos-premio y los otros componentes de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contraprestación asignada a los créditos-premio se medirá con referencia a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Si la entidad suministra los premios ella misma, reconocerá la contraprestación asignada a los créditos-premio como ingreso de actividades ordinarias cuando éstos sean canjeados y cumpla con su obligación de suministrar los premios. El importe de los ingresos de actividades ordinarias reconocidos deberá basarse en el número de créditos-premio que se hayan canjeado a cambio de los premios, tomados en relación con el número total de rescates esperados.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Si es un tercero quien suministra los premios, la entidad evaluará si recibe la contraprestación asignada a los créditos-premio en su propio nombre (es decir como el principal en la transacción) o en nombre del tercero (es decir como un agente que obra por cuenta del tercero).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entidad recoge la contraprestación en nombre del tercero: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medirá su ingreso de actividades ordinarias como el importe neto retenido a su favor, es decir la diferencia entre la contraprestación asignada a los créditos-premio y el importe por pagar al tercero por el suministro de los premios;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reconocerá este importe neto como ingreso de actividades ordinarias cuando el tercero pase a estar obligado a suministrar el premio y tenga derecho a recibir la contraprestación por hacerlo. Estos hechos pueden tener lugar tan pronto como se concedan los créditos-premio. De forma alternativa, si el cliente puede elegir entre reclamar los premios a la entidad o al tercero, estos hechos pueden tener lugar solo cuando el cliente elija reclamar los premios a este último.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entidad recoge la contraprestación en su propio nombre, medirá su ingreso de actividades ordinarias como la contraprestación bruta distribuida entre los créditos premio y lo reconocerá cuando cumpla con sus obligaciones con respecto a dichos premios.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Si en cualquier momento los costos necesarios para cumplir con las obligaciones de suministrar los premios se espera que excedan la contraprestación recibida y pendiente de recibir por este concepto (es decir la contraprestación asignada a los créditos-premio en el momento de la venta inicial que no se ha reconocido todavía como ingreso de actividades ordinarias más cualquier contraprestación adicional por recibir cuando el cliente canjee los créditos-premio), la entidad tiene un contrato oneroso. Se reconocerá un pasivo por el exceso de acuerdo con la NIC 37. La necesidad de reconocer este pasivo podría surgir si los costos esperados por suministrar el premio se incrementan, por ejemplo si la entidad revisa sus expectativas sobre el número de créditos-premio que se canjearán.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10 Una entidad aplicará esta Interpretación para los periodos anuales que comiencen a partir del 1 de julio de 2008. Se permite su aplicación anticipada. Si una entidad aplicase esta Interpretación en un periodo que comenzase antes del 1 de julio de 2008,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10A El párrafo GA2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 modificación para los periodos anuales que comiencen a partir del 1 de enero de 2011.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10B La NIIF 13, emitida en mayo de 2011, modificó el párrafo 6 y GA1 a GA3.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Los cambios en las políticas contables se tratarán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valor razonable de los créditos-premio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 El párrafo 6 del acuerdo requiere que la contraprestación asignada a los créditos-premio sea medida con referencia a su valor razonable. Si no existe un precio de mercado cotizado para un crédito-premio idéntico, el valor razonable debe medirse utilizando otra técnica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 Una entidad puede medir el valor razonable de los créditos-premio por referencia al valor razonable de los premios por los que se podrían canjear. El valor razonable de los créditos-premio tendrá en cuenta, cuando proceda: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 los descuentos o incentivos que se ofrecerían en cualquier caso a los clientes que no hayan obtenido créditos-premio en la fecha de la venta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proporción de créditos-premio que no se espera que vayan a ser canjeados por los clientes;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riesgo de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los clientes pueden elegir entre una variedad de premios diferentes, el valor razonable de los créditos-premio reflejará los valores razonables de la variedad de premios disponibles, ponderados en proporción a la frecuencia con que se espere que cada premio sea seleccionado.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GA3 En algunas circunstancias, pueden estar disponibles otras técnicas de valoración. Por ejemplo, si es un tercero el que va a suministrar los premios y la entidad paga a éste por cada crédito-premio que concede, se puede medir el valor razonable de los créditos de premio por referencia al importe que paga al tercero, añadiendo un margen razonable de ganancia. Se requiere utilizar el juicio profesional para seleccionar y aplicar la técnica de valoración que satisfaga los requerimientos del párrafo 6 del acuerdo y sea la más adecuada en función de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NIC 19—</w:t>
      </w:r>
      <w:r w:rsidRPr="00401DFF">
        <w:rPr>
          <w:rFonts w:ascii="Times New Roman" w:eastAsia="Times New Roman" w:hAnsi="Times New Roman" w:cs="Times New Roman"/>
          <w:b/>
          <w:bCs/>
          <w:i/>
          <w:iCs/>
          <w:sz w:val="24"/>
          <w:szCs w:val="24"/>
          <w:lang w:eastAsia="es-CO"/>
        </w:rPr>
        <w:t>El Límite de un Activo por Beneficios Definidos, Obligación de Mantener un Nivel Mínimo de Financiación y su Interacción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párrafo 64 de la NIC 19 limita la medición de un activo de beneficios definidos neto al menor del superávit en el plan de beneficios definidos y del techo del activo. El párrafo 8 de la NIC 19 define el techo del activo como “el valor presente de cualesquiera beneficios económicos disponibles en forma de reembolsos del plan o reducciones en las aportaciones futuras al mismo”. Han surgido preguntas sobre cuándo deben considerarse disponibles los reembolsos o reducciones en aportaciones futuras, en particular cuando existe el requerimiento de mantener un nivel mínimo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En muchos países existe el requerimiento de mantener un nivel mínimo de financiación, con el fin de mejorar la seguridad de las promesas de beneficios post-empleo hechas a los miembros de un plan de beneficios a los empleados. Estos requisitos estipulan normalmente un importe o nivel mínimo de aportaciones que deben efectuarse al plan durante un periodo determinado. Por lo tanto, un requerimiento de mantener un nivel mínimo de financiación puede limitar la capacidad de una entidad para reducir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Además, el límite de la medición de un activo por beneficios definidos puede ocasionar que la obligación de mantener un nivel mínimo de financiación sea onerosa. Normalmente, un requerimiento de efectuar aportaciones a un plan no afectaría a la medición del activo o del pasivo por beneficios definidos. Esto ocurre porque las aportaciones, una vez pagadas, pasarán a ser activos del plan, de modo que el pasivo neto adicional es cero. Sin embargo, </w:t>
      </w:r>
      <w:r w:rsidRPr="00401DFF">
        <w:rPr>
          <w:rFonts w:ascii="Times New Roman" w:eastAsia="Times New Roman" w:hAnsi="Times New Roman" w:cs="Times New Roman"/>
          <w:sz w:val="24"/>
          <w:szCs w:val="24"/>
          <w:lang w:eastAsia="es-CO"/>
        </w:rPr>
        <w:lastRenderedPageBreak/>
        <w:t>la obligación de mantener un nivel mínimo de financiación puede ocasionar un pasivo si la entidad no va a disponer de las aportaciones requeridas una vez que hayan sido pagadas.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3A En noviembre de 2009 el Consejo de Normas Internaciones de Contabilidad modificó la CINIIF 14 para eliminar una consecuencia no pretendida que surge del tratamiento de los pagos anticipados de aportaciones futuras en algunas circunstancias cuando existe una obligación de mantener un nivel mínimo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se aplica a todos los beneficios definidos post-empleo y a otros beneficios definidos a los empleados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A efectos de esta Interpretación, se consideran requerimientos de mantener un nivel mínimo de financiación a cualesquiera exigencias de financiar un plan de beneficios definidos post-empleo u otro plan de beneficios definidos a largo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cuándo deben considerarse como disponibles los reembolsos o reducciones en las aportaciones futuras de acuerdo con la definición de techo del activo del párrafo 8 de la NIC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cómo puede una obligación de mantener un nivel mínimo de financiación afectar a la disponibilidad de reducciones en las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cuándo puede ocasionar un pasivo el requerimiento de mantener un nivel mínimo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Disponibilidad de un reembolso o reducción en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Una entidad determinará la disponibilidad de un reembolso o de una reducción en las aportaciones futuras de acuerdo con los términos y condiciones del plan y con los requerimientos legales en la jurisdicción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 beneficio económico en forma de un reembolso o de una reducción en las aportaciones futuras está disponible si la entidad puede realizarla en algún momento durante la vida del plan o cuando se liquiden los pasivos de éste. En particular, podría estar disponible aún cuando no fuera realizable inmediatamente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 El beneficio económico disponible no depende de la manera en que la entidad pretenda utilizar el superávit. Una entidad determinará el beneficio económico máximo que está disponible a partir de los reembolsos, de las reducciones en aportaciones futuras o de una combinación de ambos. Una entidad no reconocerá beneficios económicos a partir de una combinación de reembolsos y de reducciones en aportaciones futuras que esté basada en hipótesis que sean mutuamente excluyentes.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De acuerdo con la NIC 1, la entidad revelará información sobre los datos clave de la incertidumbre en la estimación al final del periodo sobre el que se informa siempre que lleven asociados un riesgo significativo de provocar ajustes significativos al importe en libros del activo o pasivo neto reconocido en el estado de situación financiera. Esto puede incluir revelaciones acerca de cualquier restricción sobre la realización presente del superávit o sobre el criterio utilizado para determinar el importe del beneficio económico que vaya a surgir.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 económico disponible en forma de una reducción de la aportación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derecho a un reembolso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Para una entidad, un reembolso estará disponible sólo si ella tiene un derecho incondicional sobre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durante la vida del plan, sin suponer que los pasivos del plan deban liquidarse para obtener el reembolso (por ejemplo, en algunas jurisdicciones, la entidad puede tener el derecho a un reembolso durante la vida del plan independientemente del hecho de que los pasivos de éste se hayan liquidado);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caso de la liquidación gradual de los pasivos del plan a lo largo del tiempo hasta que todos los miembros hayan abandonado el plan;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 caso de liquidación total de los pasivos del plan en un solo acto (es decir como una liquidación del 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derecho incondicional a un reembolso puede existir cualquiera que sea el nivel de financiación de un plan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Si el derecho de la entidad al reembolso de un superávit depende de que ocurran o no, uno o más hechos futuros inciertos que no están totalmente bajo su control, la entidad no tendrá un derecho incondicional y no reconocerá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Disponibilidad del beneficio económico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Una entidad medirá el beneficio económico que vaya a surgir en forma de un reembolso como el importe del superávit al final del periodo sobre el que se informa (que será el valor razonable de los activos del plan menos el valor actual de la obligación por beneficios definidos) que la entidad tiene derecho a recibir en forma de reembolso, menos cualquier </w:t>
      </w:r>
      <w:r w:rsidRPr="00401DFF">
        <w:rPr>
          <w:rFonts w:ascii="Times New Roman" w:eastAsia="Times New Roman" w:hAnsi="Times New Roman" w:cs="Times New Roman"/>
          <w:sz w:val="24"/>
          <w:szCs w:val="24"/>
          <w:lang w:eastAsia="es-CO"/>
        </w:rPr>
        <w:lastRenderedPageBreak/>
        <w:t>costo asociado. Por ejemplo, si un reembolso estuviera sujeto a un impuesto distinto del impuesto sobre las ganancias, una entidad medirá el importe del reembolso neto de impuestos.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Al medir el importe de un reembolso disponible cuando el plan se liquide [párrafo 11(c)], una entidad incluirá el costo que para el plan tengan la liquidación de sus pasivos del plan y la realización del reembolso. Por ejemplo, una entidad deducirá los honorarios profesionales si estos son pagados por el plan y no por la entidad, y los costos de cualquier prima de seguros que pueda exigirse para garantizar el pago del pasivo en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el importe de un reembolso se determina como el importe total o como una proporción del superávit y no como un importe fijo, una entidad no realizará ajustes derivados del valor del dinero en el tiempo, aunque el reembolso se realice únicamente en una fecha futura.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 económico disponible en forma de una reducción de la aportación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Cuando no existe obligación de mantener un nivel mínimo de financiación para aportaciones relacionadas con un servicio futuro, el beneficio económico disponible en forma de una reducción en las aportaciones futuras es el costo del servicio futuro para la entidad para cada periodo durante la más corta entre la vida esperada del plan y la de la entidad. El costo del servicio futuro para la entidad excluye los importes que correrán a cargo de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Una entidad determinará el costo de los servicios futuros utilizando suposiciones congruentes con las empleadas para determinar la obligación por beneficios definidos y con la situación que exista al final del periodo sobre el que se informa como establece la NIC 19. Por lo tanto, una entidad supondrá que no habrá cambios en los beneficios a proporcionar por un plan en el futuro hasta que el plan se modifique y supondrá una plantilla de trabajadores que permanecerá estable en el futuro, a menos que la entidad reduzca el número de empleados cubiertos por el plan. En este último caso, la suposición sobre la plantilla de trabajadores futura incluirá la citada reducción.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Efecto de la obligación de mantener un nivel mínimo de financiación sobre el beneficio económico disponible en forma de una reducción en las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Una entidad discriminará cualquier requerimiento de mantener un nivel mínimo de financiación, en una fecha determinada, entre las aportaciones que se exijan para cubrir (a) cualquier déficit por servicios pasados sobre la base de la financiación mínima y (b) el servicio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Las aportaciones para cubrir cualquier déficit de financiación mínima atribuible a servicios ya recibidos no afectan a las aportaciones futuras por servicios futuros. Éstas pueden ocasionar un pasivo de acuerdo con los párrafos 23 a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20 Si existe una obligación de mantener un nivel mínimo de financiación para las aportaciones relacionadas con servicios futuros, el beneficio económico disponible en forma de una reducción en las aportaciones futuras, será la suma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cualquier importe que reduzca las aportaciones derivadas de la obligación de mantener un nivel mínimo de financiación para servicios futuros porque la entidad realizó pagos anticipados (es decir pagó el importe antes de requerírsele que lo hiciera);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costo del servicio futuro estimado en cada periodo de acuerdo con los párrafos 16 y 17, menos las aportaciones estimadas derivadas de la obligación de mantener el nivel mínimo de financiación que serían requeridas para el servicio futuro en esos periodos si no hubiera habido pagos anticipados conforme se describe en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Una entidad estimará las aportaciones futuras derivadas de la obligación de mantener un nivel mínimo de financiación para el servicio futuro teniendo en cuenta el efecto de cualquier superávit existente determinado utilizando la base de mantener un nivel de mínimo financiación pero excluyendo el pago anticipado descrito en el párrafo 20(a). Una entidad utilizará hipótesis congruentes con la base del nivel mínimo de financiación y, para cualesquiera otros factores no especificados sobre esa base, hipótesis coherentes con las utilizadas para determinar la obligación por beneficios definidos y con la situación existente al final del periodo sobre el que se informa como establece la NIC 19. La estimación incluirá cualquier cambio esperado como resultado del pago por parte de la entidad de las aportaciones mínimas cuando se deban realizar. Sin embargo, la estimación no incluirá el efecto de cambios esperados en los términos y condiciones de la base del nivel mínimo de financiación que no estén prácticamente a punto de aprobarse o acordados contractualmente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Cuando una entidad determine el importe descrito en el párrafo 20(b), si la aportación futura derivada de la obligación de mantener un nivel mínimo de financiación para el servicio futuro excede el costo del servicio futuro de la NIC 19 en cualquier periodo dado, ese exceso reducirá el importe del beneficio económico disponible como una reducción de aportaciones futuras. Sin embargo, el importe descrito en el párrafo 20(b) nunca puede ser menor que 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Cuándo puede dar lugar a un pasivo la obligación de mantener un nivel mínimo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Cuando una entidad tenga una obligación de pagar aportaciones a efectos de mantener un nivel mínimo de financiación, para cubrir un déficit existente, con respecto a servicios ya recibidos, calculado sobre la base de la mencionada financiación mínima, ella determinará si, tras pagar las aportaciones al plan, éstas estarán disponibles en forma de reembolso o reducción en aportaciones futuras.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En la medida en que dichas aportaciones a pagar no vayan a estar disponibles después de haber efectuado los pagos al plan, la entidad reconocerá un pasivo cuando surja la obligación. El pasivo reducirá el activo por beneficios definidos neto o incrementará el </w:t>
      </w:r>
      <w:r w:rsidRPr="00401DFF">
        <w:rPr>
          <w:rFonts w:ascii="Times New Roman" w:eastAsia="Times New Roman" w:hAnsi="Times New Roman" w:cs="Times New Roman"/>
          <w:sz w:val="24"/>
          <w:szCs w:val="24"/>
          <w:lang w:eastAsia="es-CO"/>
        </w:rPr>
        <w:lastRenderedPageBreak/>
        <w:t>pasivo por beneficios definidos neto de forma que no se esperen ganancias o pérdidas como resultado de aplicar el párrafo 64 de la NIC 19 cuando se paguen las aportaciones.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25-26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Una entidad aplicará esta Interpretación en los periodos anuales que comiencen a partir del 1 de enero de 2008.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27A La NIC 1 (revisada en 2007) modificó la terminología utilizada en las NIIF. Además modificó el párrafo 26.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27B </w:t>
      </w:r>
      <w:r w:rsidRPr="00401DFF">
        <w:rPr>
          <w:rFonts w:ascii="Times New Roman" w:eastAsia="Times New Roman" w:hAnsi="Times New Roman" w:cs="Times New Roman"/>
          <w:i/>
          <w:iCs/>
          <w:sz w:val="24"/>
          <w:szCs w:val="24"/>
          <w:lang w:eastAsia="es-CO"/>
        </w:rPr>
        <w:t xml:space="preserve">Pagos Anticipados de una Obligación de Mantener un Nivel Mínimo de Financiación </w:t>
      </w:r>
      <w:r w:rsidRPr="00401DFF">
        <w:rPr>
          <w:rFonts w:ascii="Times New Roman" w:eastAsia="Times New Roman" w:hAnsi="Times New Roman" w:cs="Times New Roman"/>
          <w:sz w:val="24"/>
          <w:szCs w:val="24"/>
          <w:lang w:eastAsia="es-CO"/>
        </w:rPr>
        <w:t>añadió el párrafo 3A y modificó los párrafos 16 a 18 y 20 a 22. Una entidad aplicará esas modificaciones a periodos anuales que comiencen a partir del 1 de enero de 2011.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27C La NIC 19 (modificada en 2011), modificó los párrafos 1, 6, 17 y 24 y eliminó los párrafos 25 y 26. Una entidad aplicará esas modificaciones cuando aplique la NIC 19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aplicará esta Interpretación desde el comienzo del primer periodo que se presente dentro de los primeros estados financieros a los que se aplique esta Interpretación. Una entidad reconocerá cualquier ajuste inicial que surja de la aplicación de esta Interpretación en las ganancias acumuladas al comienzo de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Una entidad aplicará las modificaciones de los párrafos 3A, 16 a 18 y 20 a 22 desde el comienzo del primer periodo comparativo anterior presentado en los primeros estados financieros en los que la entidad aplica esta Interpretación. Si la entidad hubiera aplicado anteriormente esta Interpretación antes de que aplicara las modificaciones, reconocerá el ajuste procedente de la aplicación de las modificaciones en las ganancias acumuladas al comienzo del primer periodo comparativo anterior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Acuerdos para la Construcción de Inmuebles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En julio de 2008 el Consejo de Normas Internacionales de Contabilidad emitió la CINIIF 15 </w:t>
      </w:r>
      <w:r w:rsidRPr="00401DFF">
        <w:rPr>
          <w:rFonts w:ascii="Times New Roman" w:eastAsia="Times New Roman" w:hAnsi="Times New Roman" w:cs="Times New Roman"/>
          <w:i/>
          <w:iCs/>
          <w:sz w:val="24"/>
          <w:szCs w:val="24"/>
          <w:lang w:eastAsia="es-CO"/>
        </w:rPr>
        <w:t>Acuerdos para la Construcción de Inmuebles</w:t>
      </w:r>
      <w:r w:rsidRPr="00401DFF">
        <w:rPr>
          <w:rFonts w:ascii="Times New Roman" w:eastAsia="Times New Roman" w:hAnsi="Times New Roman" w:cs="Times New Roman"/>
          <w:sz w:val="24"/>
          <w:szCs w:val="24"/>
          <w:lang w:eastAsia="es-CO"/>
        </w:rPr>
        <w:t>. Fue desarrollada por el Comité de Interpretaciones.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0"/>
        <w:gridCol w:w="6832"/>
        <w:gridCol w:w="1803"/>
        <w:gridCol w:w="243"/>
      </w:tblGrid>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ÍNDICE</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desde párrafo</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15</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i/>
                <w:iCs/>
                <w:sz w:val="24"/>
                <w:szCs w:val="24"/>
                <w:lang w:eastAsia="es-CO"/>
              </w:rPr>
              <w:t>ACUERDOS PARA LA CONSTRUCCIÓN DE INMUEBLES</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si el acuerdo está dentro del alcance de la NIC 11 o de la NIC 18</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ingresos de actividades ordinarias procedentes de la construcción de inmuebles</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MODIFICACIONES A LOS EJEMPLOS ILUSTRATIVOS QUE ACOMPAÑAN A LA NIC 18</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w:t>
            </w:r>
          </w:p>
        </w:tc>
      </w:tr>
      <w:tr w:rsidR="00401DFF" w:rsidRPr="00401DFF" w:rsidTr="00401DFF">
        <w:trPr>
          <w:tblCellSpacing w:w="15" w:type="dxa"/>
          <w:jc w:val="center"/>
        </w:trPr>
        <w:tc>
          <w:tcPr>
            <w:tcW w:w="7200" w:type="dxa"/>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tc>
        <w:tc>
          <w:tcPr>
            <w:tcW w:w="1785" w:type="dxa"/>
            <w:gridSpan w:val="2"/>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w:t>
            </w:r>
          </w:p>
        </w:tc>
      </w:tr>
      <w:tr w:rsidR="00401DFF" w:rsidRPr="00401DFF" w:rsidTr="00401DFF">
        <w:tblPrEx>
          <w:tblCellSpacing w:w="0" w:type="dxa"/>
          <w:tblBorders>
            <w:top w:val="outset" w:sz="6" w:space="0" w:color="auto"/>
            <w:left w:val="outset" w:sz="6" w:space="0" w:color="auto"/>
            <w:bottom w:val="outset" w:sz="6" w:space="0" w:color="auto"/>
            <w:right w:val="outset" w:sz="6" w:space="0" w:color="auto"/>
          </w:tblBorders>
          <w:tblCellMar>
            <w:top w:w="0" w:type="dxa"/>
            <w:left w:w="0" w:type="dxa"/>
            <w:bottom w:w="0" w:type="dxa"/>
            <w:right w:w="0" w:type="dxa"/>
          </w:tblCellMar>
        </w:tblPrEx>
        <w:trPr>
          <w:gridBefore w:val="1"/>
          <w:gridAfter w:val="1"/>
          <w:wAfter w:w="210" w:type="dxa"/>
          <w:tblCellSpacing w:w="0" w:type="dxa"/>
          <w:jc w:val="center"/>
        </w:trPr>
        <w:tc>
          <w:tcPr>
            <w:tcW w:w="90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 RESPECTO A LOS DOCUMENTOS COMPLEMENTARIOS ENUMERADOS A CONTINUACIÓN VÉASE LA PARTE B DE ESTA EDICIÓN</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7134"/>
        <w:gridCol w:w="1794"/>
      </w:tblGrid>
      <w:tr w:rsidR="00401DFF" w:rsidRPr="00401DFF" w:rsidTr="00401DFF">
        <w:trPr>
          <w:tblCellSpacing w:w="15" w:type="dxa"/>
          <w:jc w:val="center"/>
        </w:trPr>
        <w:tc>
          <w:tcPr>
            <w:tcW w:w="72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NOTA DE INFORMACIÓN</w:t>
            </w:r>
          </w:p>
        </w:tc>
        <w:tc>
          <w:tcPr>
            <w:tcW w:w="1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ANÁLISIS DE UN ACUERDO ÚNICO PARA LA CONSTRUCCIÓN DE INMUEBLES</w:t>
            </w:r>
          </w:p>
        </w:tc>
        <w:tc>
          <w:tcPr>
            <w:tcW w:w="1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ILUSTRATIVOS</w:t>
            </w:r>
          </w:p>
        </w:tc>
        <w:tc>
          <w:tcPr>
            <w:tcW w:w="1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15" w:type="dxa"/>
          <w:jc w:val="center"/>
        </w:trPr>
        <w:tc>
          <w:tcPr>
            <w:tcW w:w="720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FUNDAMENTOS DE LAS CONCLUSIONES</w:t>
            </w:r>
          </w:p>
        </w:tc>
        <w:tc>
          <w:tcPr>
            <w:tcW w:w="17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Acuerdos para la Construcción de Inmuebles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 CINIIF 12 </w:t>
      </w:r>
      <w:r w:rsidRPr="00401DFF">
        <w:rPr>
          <w:rFonts w:ascii="Times New Roman" w:eastAsia="Times New Roman" w:hAnsi="Times New Roman" w:cs="Times New Roman"/>
          <w:i/>
          <w:iCs/>
          <w:sz w:val="24"/>
          <w:szCs w:val="24"/>
          <w:lang w:eastAsia="es-CO"/>
        </w:rPr>
        <w:t>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CINIIF 13 </w:t>
      </w:r>
      <w:r w:rsidRPr="00401DFF">
        <w:rPr>
          <w:rFonts w:ascii="Times New Roman" w:eastAsia="Times New Roman" w:hAnsi="Times New Roman" w:cs="Times New Roman"/>
          <w:i/>
          <w:iCs/>
          <w:sz w:val="24"/>
          <w:szCs w:val="24"/>
          <w:lang w:eastAsia="es-CO"/>
        </w:rPr>
        <w:t>Programas de Fidelización de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el sector inmobiliario, las entidades que emprenden la construcción de inmuebles, ya sea directamente o a través de subcontratistas, pueden alcanzar acuerdos con uno o más compradores antes de que finalice la construcción. Estos acuerdos toman diversas formas.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Por ejemplo, las entidades que emprenden la construcción de inmuebles de carácter residencial pueden empezar a comercializar unidades individuales (apartamentos o casas) “sobre plano”, es decir, mientras la construcción está aún en curso, o incluso antes de que haya comenzado. Cada comprador acuerda con la entidad la adquisición de una unidad especificada cuando esté lista para ser ocupada. Habitualmente, el comprador abona un depósito a la entidad que es recuperable sólo si ésta no cumpliese la entrega de la unidad terminada, según las condiciones contratadas. El resto del importe del precio de compra, generalmente, se abona a la entidad en el momento de completar el contrato, cuando el comprador tome posesión de la unidad.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Las entidades que emprenden la construcción de inmuebles industriales o comerciales pueden alcanzar un acuerdo con un único comprador. Puede requerirse al comprador a que realice pagos en función del grado de avance de la construcción, entre el momento del acuerdo inicial y el de finalización del contrato. La construcción puede tener lugar sobre un terreno que sea propiedad del comprador, o que haya arrendado antes de que comience la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se aplicará a la contabilidad de los ingresos de actividades ordinarias y gastos asociados de las entidades que lleven a cabo la construcción de inmuebles directamente o a través de subcontratistas.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acuerdos incluidos en el alcance de esta Interpretación son los de construcción de inmuebles. Además de la construcción de inmuebles, estos acuerdos pueden incluir la entrega de otros bienes o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aborda dos cuestiones: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encuentra el acuerdo dentro del alcance de la NIC 11 o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¿Cuándo debe reconocerse el ingreso de actividades ordinarias procedente de la construcción de inmuebles?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siguiente discusión supone que la entidad ha analizado previamente el acuerdo de construcción de inmuebles y cualesquiera otros acuerdos relacionados y ha concluido que no conservara para sí ninguna participación en la administración continua en el grado generalmente asociado con la propiedad, ni retendrá el control efectivo sobre el inmueble construido hasta el punto de que pudiera impedir el reconocimiento de alguna o todas las contraprestaciones como ingreso de actividades ordinarias. Si se impidiese el reconocimiento de alguna de las contraprestaciones como ingreso de actividades ordinarias, la siguiente discusión se aplicará sólo a la parte del acuerdo por el que se reconozca el ingreso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Dentro de un único acuerdo, una entidad puede contratar la entrega de bienes o servicios, además de la construcción del inmueble (por ejemplo la venta de un terreno o la prestación de servicios de gestión del inmueble). Según el párrafo 13 de la NIC 18, puede que sea necesario dividir el mismo en componentes identificables de forma separada, incluyendo uno que sea la construcción del inmueble. El valor razonable de la contraprestación total recibida, o por recibir, derivada del acuerdo se distribuirá entre sus componentes. Si se identificasen los componentes separados, la entidad aplicará los párrafos 10 a 12 de esta Interpretación al componente de construcción del inmueble para determinar si éste se encuentra dentro del alcance de la NIC 11 o de la NIC 18. Los criterios de segmentación de la NIC 11 se aplicarán entonces a cualquier componente del acuerdo que sea un contrato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siguiente discusión se refiere a un acuerdo para la construcción de inmuebles pero también es aplicable a un componente de construcción de inmuebles, identificado dentro de un acuerdo que incluya otros componentes.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si el acuerdo está dentro del alcance de la NIC 11 o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determinación de si un acuerdo para la construcción de inmuebles está dentro del alcance de la NIC 11 o de la NIC 18 dependerá de sus condiciones y de todos los hechos y circunstancias entorno al mismo. Esta determinación implicará la realización de juicios con respecto a cada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NIC 11 se aplicará cuando el acuerdo cumpla la definición de un contrato de construcción, según el párrafo 3 de la NIC 11 “un contrato, específicamente negociado, para la fabricación de un activo o un conjunto de activos...”. Un acuerdo para la construcción de inmuebles cumple la definición de un contrato de construcción cuando el comprador sea capaz de especificar los elementos estructurales más importantes del diseño del inmueble antes de que comience la construcción, y/o los cambios estructurales más importantes una vez que la construcción esté en curso (independientemente de que ejerza o no esa capacidad). Cuando sea de aplicación la NIC 11, el contrato de construcción también incluirá cualesquiera contratos o componentes para la prestación de servicios directamente relacionados con la construcción del inmueble, de conformidad con el párrafo 5(a) de la NIC 11 y el párrafo 4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 Por el contrario, un acuerdo para la construcción de inmuebles en el que los compradores tengan sólo una capacidad limitada para influir en el diseño del inmueble, por ejemplo seleccionar un diseño a partir de un rango de opciones especificado por la entidad, o especificar sólo pequeñas variaciones del diseño básico, es un acuerdo de venta de bienes dentro del alcance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ingresos de actividades ordinarias procedentes de la construcción de inmuebles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acuerdo es un contrato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Cuando el acuerdo esté dentro del alcance de la NIC 11 y su resultado pueda estimarse de forma fiable, la entidad reconocerá el ingreso de actividades ordinarias por referencia al grado de avance de la actividad del contrato, de conformidad con la NIC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Pudiera ser que el acuerdo no cumpla la definición de un contrato de construcción y por ello, se incluya en el alcance de la NIC 18. En este caso, la entidad determinará si el acuerdo es de prestación de servicios o de 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acuerdo es de prestación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no se requiere que la entidad adquiera y suministre materiales de construcción, el acuerdo puede ser solo un acuerdo para la prestación de servicios, de conformidad con la NIC 18. En este caso, si los criterios del párrafo 20 de la NIC 18 se cumplen, la NIC 18 requiere que los ingresos de actividades ordinarias se reconozcan en función del grado de avance de la prestación, aplicando el método del porcentaje de realización. Los requerimientos de la NIC 11 son, por lo general, aplicables al reconocimiento de los ingresos de actividades ordinarias y gastos asociados a este tipo de transacción (NIC 18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acuerdo es de venta de bienes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Si se requiere que la entidad proporcione servicios junto con los materiales de construcción para llevar a cabo su obligación contractual de entregar el inmueble al comprador, el acuerdo será de venta de bienes, y se aplicarán los criterios de reconocimiento de ingresos de actividades ordinarias establecidos en el párrafo 14 de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La entidad puede transferir al comprador el control y los riesgos y ventajas significativas inherentes a la propiedad de la obra en curso en su estado actual tal como la construcción progrese. En este caso, si todos los criterios del párrafo 14 de la NIC 18 se cumpliesen de forma continuada a medida que la construcción avanza, la entidad reconocerá los ingresos de actividades ordinarias por referencia al grado de avance, utilizando el método del porcentaje de realización. Los requerimientos de la NIC 11 son, por lo general, aplicables al reconocimiento de los ingresos de actividades ordinarias y gastos asociados a este tipo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18 La entidad puede transferir al comprador el control y los riesgos y ventajas significativas inherentes a la propiedad en el inmueble por completo en un único momento (por ejemplo en el momento de la finalización, en, o después de la entrega). En este caso, la entidad reconocerá los ingresos de actividades ordinarias sólo cuando se satisfagan todos los criterios del párrafo 14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Cuando se requiera que la entidad realice trabajos posteriores en el inmueble ya entregado al comprador, ésta reconocerá un pasivo y un gasto, como establece el párrafo 19 de la NIC 18. El pasivo se medirá según lo dispuesto en la NIC 37. Cuando se requiera que la entidad entregue posteriormente bienes o servicios que sean identificables de forma separada del inmueble ya entregado al comprador, ésta habría de identificar los bienes o servicios pendientes como un componente separado de la venta, como señala el párrafo 8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Cuando una entidad reconozca ingresos de actividades ordinarias utilizando el método del porcentaje de realización para acuerdos que cumplan todos los criterios del párrafo 14 de la NIC 18 de forma continuada a medida que la construcción se realiza (véase el párrafo 17 de esta Interpretación),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cómo determina qué acuerdos cumplen todos los criterios del párrafo 14 de la NIC 18 de forma continuada a medida que la construcción se realiza;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 los ingresos de actividades ordinarias que surgen de estos acuerdos en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métodos aplicados para determinar el grado de avance del acuerdo en curso.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Para los acuerdos descritos en el párrafo 20 que estén en curso en la fecha en la que se informa, la entidad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cantidad acumulada de costos incurridos, y de ganancias reconocidas (menos las correspondientes pérdidas reconocidas) hasta la fecha;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 los anticipos recibidos.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Modificaciones a los ejemplos ilustrativos que acompañan a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22-23 [Modificaciones no aplicables a la parte normativa]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Una entidad aplicará esta Interpretación en los periodos anuales que comiencen a partir del 1 de enero de 2009. Se permite su aplicación anticipada. Si una entidad aplicase la </w:t>
      </w:r>
      <w:r w:rsidRPr="00401DFF">
        <w:rPr>
          <w:rFonts w:ascii="Times New Roman" w:eastAsia="Times New Roman" w:hAnsi="Times New Roman" w:cs="Times New Roman"/>
          <w:sz w:val="24"/>
          <w:szCs w:val="24"/>
          <w:lang w:eastAsia="es-CO"/>
        </w:rPr>
        <w:lastRenderedPageBreak/>
        <w:t>Interpretación en un periodo que comenzase con anterioridad al 1 de enero de 2009,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Los cambios en las políticas contables se contabilizarán de forma retroactiva,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Coberturas de una Inversión Neta en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21 </w:t>
      </w:r>
      <w:r w:rsidRPr="00401DFF">
        <w:rPr>
          <w:rFonts w:ascii="Times New Roman" w:eastAsia="Times New Roman" w:hAnsi="Times New Roman" w:cs="Times New Roman"/>
          <w:i/>
          <w:iCs/>
          <w:sz w:val="24"/>
          <w:szCs w:val="24"/>
          <w:lang w:eastAsia="es-CO"/>
        </w:rPr>
        <w:t>Efectos de las Variaciones en las Tasas de Cambio de la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39 </w:t>
      </w:r>
      <w:r w:rsidRPr="00401DFF">
        <w:rPr>
          <w:rFonts w:ascii="Times New Roman" w:eastAsia="Times New Roman" w:hAnsi="Times New Roman" w:cs="Times New Roman"/>
          <w:i/>
          <w:iCs/>
          <w:sz w:val="24"/>
          <w:szCs w:val="24"/>
          <w:lang w:eastAsia="es-CO"/>
        </w:rPr>
        <w:t>Instrumentos Financieros: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Muchas entidades que informan tienen inversiones en negocios en el extranjero (como se definen en el párrafo 8 de la NIC 21). Esos negocios en el extranjero pueden ser subsidiarias, asociadas, negocios conjuntos o sucursales. La NIC 21 requiere que una entidad determine la moneda funcional de cada uno de sus negocios en el extranjero como la moneda primaria del entorno económico de ese negocio. Cuando se conviertan los resultados y la situación financiera de un negocio en el extranjero a la moneda de presentación, la entidad reconocerá las diferencias de cambio en otro resultado integral, hasta la disposición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 contabilidad de coberturas del riesgo de tasa de cambio que surge de una inversión neta en un negocio en el extranjero, solo se aplicará cuando los activos netos de ese negocio en el extranjero estén incluidos en los estados financieros</w:t>
      </w:r>
      <w:hyperlink r:id="rId64" w:anchor="bf13ec3ae5d0daa4a0a930482f428b50f75nf9" w:tgtFrame="_self" w:history="1">
        <w:r w:rsidRPr="00401DFF">
          <w:rPr>
            <w:rFonts w:ascii="Times New Roman" w:eastAsia="Times New Roman" w:hAnsi="Times New Roman" w:cs="Times New Roman"/>
            <w:color w:val="0000FF"/>
            <w:sz w:val="20"/>
            <w:szCs w:val="20"/>
            <w:u w:val="single"/>
            <w:vertAlign w:val="superscript"/>
            <w:lang w:eastAsia="es-CO"/>
          </w:rPr>
          <w:t>(60)</w:t>
        </w:r>
      </w:hyperlink>
      <w:r w:rsidRPr="00401DFF">
        <w:rPr>
          <w:rFonts w:ascii="Times New Roman" w:eastAsia="Times New Roman" w:hAnsi="Times New Roman" w:cs="Times New Roman"/>
          <w:sz w:val="24"/>
          <w:szCs w:val="24"/>
          <w:lang w:eastAsia="es-CO"/>
        </w:rPr>
        <w:t>. La partida cubierta con respecto al riesgo de tasa de cambio que surge de la inversión neta en un negocio en el extranjero, puede ser un importe de activos netos igual, o menor, al importe en libros de los activos netos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una relación de contabilidad de coberturas, la NIC 39 requiere la designación de una partida cubierta elegible, y de un instrumento de cobertura elegible. Si existiese una relación de cobertura designada, en el caso de una cobertura de la inversión neta, la ganancia o pérdida del instrumento de cobertura que se determine como cobertura eficaz de la inversión neta se reconocerá en otro resultado integral, y se incluirá con las diferencias de cambio que surjan de la conversión de los resultados y la situación financiera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Una entidad con varios negocios en el extranjero puede estar expuesta a una serie de riesgos de tasa de cambio. Esta Interpretación contiene guías para la identificación de los </w:t>
      </w:r>
      <w:r w:rsidRPr="00401DFF">
        <w:rPr>
          <w:rFonts w:ascii="Times New Roman" w:eastAsia="Times New Roman" w:hAnsi="Times New Roman" w:cs="Times New Roman"/>
          <w:sz w:val="24"/>
          <w:szCs w:val="24"/>
          <w:lang w:eastAsia="es-CO"/>
        </w:rPr>
        <w:lastRenderedPageBreak/>
        <w:t>riesgos de tasa de cambio que cumplen los requisitos para considerarse como riesgo cubierto en la cobertura de una inversión neta en un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La NIC 39 permite que una entidad designe un instrumento financiero derivado o un instrumento financiero no derivado (o una combinación de instrumentos financieros derivados y no derivados) como instrumentos de cobertura del riesgo de tasa de cambio. Esta Interpretación contiene guías sobre qué entidad dentro del grupo, puede mantener instrumentos de cobertura que sean de cobertura de una inversión neta en un negocio en el extranjero, para que cumplan los requisitos de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Cuando la controladora disponga del negocio en el extranjero, la NIC 21 y la NIC 39 requieren que los importes acumulados reconocidos en otro resultado integral que estén relacionados tanto con las diferencias de cambio que surjan de la conversión de los resultados y de la situación financiera del negocio en el extranjero, como con las ganancias o pérdidas procedentes del instrumento de cobertura que se determina como cobertura eficaz de la inversión neta, se reclasifiquen del patrimonio a resultados, como un ajuste de reclasificación. Esta Interpretación proporciona guías sobre cómo una entidad determinará los importes a reclasificar del patrimonio a resultados, tanto del instrumento de cobertura como de la partida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Esta Interpretación se aplicará por las entidades que cubran el riesgo de tasa de cambio que surja de su inversión neta en negocios en el extranjero y deseen cumplir los requisitos de la contabilidad de coberturas de acuerdo con la NIC 39. Por simplificación, cuando esta Interpretación se refiera a “la entidad”, se tratará de una entidad controladora, y la referencia a “los estados financieros en los que se incluyen los activos netos de los negocios en el extranjero”, será a los estados financieros consolidados. Todas las referencias a la entidad controladora se aplicarán igualmente a una entidad que tenga una inversión neta en un negocio en el extranjero, ya sea un negocio conjunto, una asociada o una sucursal.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Esta Interpretación únicamente se aplicará a las coberturas de inversiones netas en negocios en el extranjero; no se aplicará por analogía a otros tipos de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Las inversiones en negocios en el extranjero pueden mantenerse directamente por una entidad controladora, o indirectamente a través de su subsidiaria o subsidiarias. Los problemas abordados en esta Interpretación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la naturaleza del riesgo cubierto y el importe de la partida cubierta para la cual puede designarse una relación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ya sea si la entidad controladora puede designar como riesgo cubierto solo las diferencias de cambio que surjan de la diferencia entre las monedas funcionales de la </w:t>
      </w:r>
      <w:r w:rsidRPr="00401DFF">
        <w:rPr>
          <w:rFonts w:ascii="Times New Roman" w:eastAsia="Times New Roman" w:hAnsi="Times New Roman" w:cs="Times New Roman"/>
          <w:sz w:val="24"/>
          <w:szCs w:val="24"/>
          <w:lang w:eastAsia="es-CO"/>
        </w:rPr>
        <w:lastRenderedPageBreak/>
        <w:t>entidad controladora y sus negocios en el extranjero, o si también puede designar como riesgo cubierto, las diferencias de cambio que surjan de la diferencia entre la moneda de presentación de los estados financieros consolidados de la entidad controladora y la moneda funcional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la entidad controladora mantuviese el negocio en el extranjero indirectamente, ya sea si el riesgo cubierto puede incluir solo las diferencias de cambio que surjan de las diferencias entre las monedas funcionales del negocio en el extranjero y de su entidad controladora inmediata, o si el riesgo cubierto también puede incluir cualquier diferencia de cambio entre la moneda funcional del negocio en el extranjero y la de cualquier entidad controladora intermedia o última (es decir si el hecho de que la inversión neta en el negocio en el extranjero se mantenga a través de una controladora intermedia afecta al riesgo económico de la controladora última).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qué entidad dentro del grupo puede mantener 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ya sea si una relación que cumple las condiciones de la contabilidad de coberturas se puede establecer únicamente cuando la entidad que cubre su inversión neta es una de las partes que intervienen en el instrumento de cobertura, o si cualquier entidad del grupo, independientemente de su moneda funcional, puede mantener 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ya sea si la naturaleza del instrumento de cobertura (derivado o no derivado) o el método de consolidación afecta a la evaluación de la eficacia de la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qué importes deben reclasificarse desde el patrimonio a resultados como ajustes de reclasificación cuando se disponga del negocio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cuando se disponga de un negocio en el extranjero que estaba cubierto, qué importes de la reserva de conversión de moneda extranjera de la entidad controladora, con respecto al instrumento de cobertura, y con respecto a dicho negocio en el extranjero, se reclasificarán del patrimonio a resultados, en los estados financieros consolidados de la entidad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el método de consolidación afecta a la determinación de los importes a reclasificar del patrimonio a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del riesgo cubierto e importe de la partida cubierta para la cual puede designarse una relación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La contabilidad de coberturas puede aplicarse solo a las diferencias de cambio que surgen entre la moneda funcional del negocio en el extranjero y la moneda funcional de la entidad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11 En una cobertura del riesgo de tasa de cambio que surge de una inversión neta en un negocio en el extranjero, la partida cubierta puede ser un importe de activos netos igual o menor, al importe en libros de los activos netos del negocio en el extranjero que figura en los estados financieros consolidados de la entidad controladora. El importe en libros de los activos netos de un negocio en el extranjero que pueda designarse como partida cubierta en los estados financieros consolidados de una controladora, dependerá de si una controladora de nivel inferior del negocio en el extranjero ha aplicado la contabilidad de coberturas para todos o parte de los activos netos de ese negocio en el extranjero, y dicha contabilidad se ha mantenido en los estados financieros consolidados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Se puede designar como riesgo cubierto, a la exposición a la tasa de cambio que surge entre la moneda funcional del negocio en el extranjero y la moneda funcional de cualquier entidad controladora de dicho negocio en el extranjero (ya sea inmediata, intermedia o controladora última). El hecho de que la inversión neta se mantenga a través de una controladora intermedia no afecta a la naturaleza del riesgo económico que surge de la exposición a la tasa de cambio de la entidad controladora última.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exposición al riesgo de tasa de cambio que surge de una inversión neta en un negocio en el extranjero puede cumplir los requisitos para la contabilidad de coberturas solamente una vez en los estados financieros consolidados. Por ello, si los mismos activos netos de un negocio en el extranjero están cubiertos por más de una entidad controladora dentro del grupo, respecto al mismo riesgo (por ejemplo, por una entidad controladora directa y por una indirecta), solo una de esas relaciones de cobertura cumplirá los requisitos para la contabilidad de coberturas en los estados financieros consolidados de la controladora última. Una relación de cobertura designada por una entidad controladora en sus estados financieros consolidados no es necesario que se mantenga por otra entidad controladora de nivel superior. Sin embargo, si no se mantuviese por la entidad controladora de nivel superior, la contabilidad de coberturas aplicada por la de inferior nivel deberá revertirse antes de que la controladora de nivel superior registre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Dónde puede mantenerse el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 instrumento financiero derivado o un instrumento financiero no derivado (o una combinación de instrumentos derivados y no derivados) puede designarse como instrumento de cobertura, en una cobertura de una inversión neta en un negocio en el extranjero. El (los) instrumento(s) de cobertura puede(n) mantenerse por cualquier entidad o entidades dentro del grupo mientras se cumplan los requerimientos sobre designación, documentación y eficacia del párrafo 88 de la NIC 39 que hacen referencia a la cobertura de una inversión neta. En concreto, la estrategia de cobertura del grupo debe documentarse claramente, debido a que existe la posibilidad de distintas designaciones en niveles diferentes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A efectos de evaluar la eficacia, el cambio en el valor del instrumento de cobertura con respecto al riesgo de tasa de cambio se calculará por referencia a la moneda funcional de la entidad controladora contra cuya moneda funcional se mide el riesgo cubierto, de acuerdo con la documentación de la contabilidad de coberturas. Dependiendo de dónde se mantenga </w:t>
      </w:r>
      <w:r w:rsidRPr="00401DFF">
        <w:rPr>
          <w:rFonts w:ascii="Times New Roman" w:eastAsia="Times New Roman" w:hAnsi="Times New Roman" w:cs="Times New Roman"/>
          <w:sz w:val="24"/>
          <w:szCs w:val="24"/>
          <w:lang w:eastAsia="es-CO"/>
        </w:rPr>
        <w:lastRenderedPageBreak/>
        <w:t>el instrumento de cobertura, en ausencia de contabilidad de coberturas el cambio total en el valor se podría reconocer en resultados, en otro resultado integral, o en ambos. Sin embargo, la evaluación de la eficacia no se verá afectada por el reconocimiento del cambio en el valor del instrumento de cobertura en resultados, o en otro resultado integral. Como parte de la aplicación de la contabilidad de coberturas, la parte total del cambio que se considere eficaz se incluirá en otro resultado integral. La evaluación de la eficacia no se verá afectada porque el instrumento de cobertura sea o no un instrumento derivado, ni por el método de consolidación aplicado.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Disposición de un negocio en el extranjero cubierto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Cuando se disponga de un negocio en el extranjero objeto de cobertura, el importe reclasificado a resultados de la reserva de conversión de moneda extranjera, como un ajuste de reclasificación, en los estados financieros consolidados de la controladora correspondiente al instrumento de cobertura, será el importe a identificar según el párrafo 102 de la NIC 39. Ese importe es la ganancia o pérdida acumulada de la parte del instrumento de cobertura designada como eficaz.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El importe reclasificado a resultados de la reserva de conversión de moneda extranjera en los estados financieros consolidados de la controladora con respecto a la inversión neta en el negocio en el extranjero, de acuerdo con el párrafo 48 de la NIC 21, será el importe incluido en dicha reserva de conversión de moneda extranjera, correspondiente a ese negocio en el extranjero. En los estados financieros consolidados de la controladora última, la suma del importe neto reconocido en la reserva de conversión de moneda extranjera correspondiente a todos los negocios en el extranjero no se verá afectada por el método de consolidación. Sin embargo, si la controladora última utilizase el método de consolidación directo o el de por etapas</w:t>
      </w:r>
      <w:hyperlink r:id="rId65" w:anchor="bf156296c8350574d57b9c502385db75676nf9" w:tgtFrame="_self" w:history="1">
        <w:r w:rsidRPr="00401DFF">
          <w:rPr>
            <w:rFonts w:ascii="Times New Roman" w:eastAsia="Times New Roman" w:hAnsi="Times New Roman" w:cs="Times New Roman"/>
            <w:color w:val="0000FF"/>
            <w:sz w:val="20"/>
            <w:szCs w:val="20"/>
            <w:u w:val="single"/>
            <w:vertAlign w:val="superscript"/>
            <w:lang w:eastAsia="es-CO"/>
          </w:rPr>
          <w:t>(61)</w:t>
        </w:r>
      </w:hyperlink>
      <w:r w:rsidRPr="00401DFF">
        <w:rPr>
          <w:rFonts w:ascii="Times New Roman" w:eastAsia="Times New Roman" w:hAnsi="Times New Roman" w:cs="Times New Roman"/>
          <w:sz w:val="24"/>
          <w:szCs w:val="24"/>
          <w:lang w:eastAsia="es-CO"/>
        </w:rPr>
        <w:t>, el importe incluido en su reserva de conversión de moneda extranjera correspondiente a un negocio en el extranjero concreto, podría verse afectado. El uso del método de consolidación por etapas podría dar lugar a la reclasificación a resultados de un importe diferente al utilizado para determinar la eficacia de la cobertura. Esta diferencia puede eliminarse mediante la determinación del importe relacionado con ese negocio en el extranjero que habría surgido, si se hubiese utilizado el método directo de consolidación. La NIC 21 no requiere la realización de este ajuste. No obstante, ésta sería una política contable que habría de aplicarse de forma congruente para todas las inversiones netas.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Una entidad aplicará esta Interpretación en los periodos anuales que comiencen a partir del 1 de octubre de 2008. Una entidad aplicará la modificación del párrafo 14 realizada por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a los periodos anuales que comiencen a partir del 1 de julio de 2009. Se permite la aplicación anticipada de ambas. Si una entidad aplica esta Interpretación a un periodo que comience antes del 1 de octubre de 2008, o la modificación del párrafo 14 antes del 1 de julio de 2009,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19 La NIC 8 especifica cómo una entidad aplicará un cambio en una política contable que resulte de la aplicación inicial de una Interpretación. No se exige que una entidad cumpla con estos requerimientos cuando aplique esta Interpretación por primera vez. Si una entidad hubiese designado un instrumento de cobertura como una cobertura de una inversión neta pero la cobertura no cumpliese los requisitos de la contabilidad de coberturas de esta Interpretación, la entidad aplicará la NIC 39 para suspender esa contabilidad de coberturas de forma prospectiva.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es parte integrante de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 Este apéndice ilustra la aplicación de la Interpretación utilizando la estructura corporativa ilustrada más adelante. En todos los casos debería comprobarse la eficacia de las relaciones de cobertura descritas de acuerdo con la NIC 39, aunque esta evaluación no se trata en este apéndice. La controladora, que es la entidad controladora última, presenta sus estados financieros consolidados en euros, su moneda funcional (EUR). Cada una de las subsidiarias está totalmente poseída. La inversión neta de 500 millones de libras esterlinas de la controladora en la subsidiaria B [moneda funcional: libras esterlinas (GBP)] incluye el equivalente a 159 millones de libras esterlinas de la inversión neta de 300 millones de dólares USA de la subsidiaria B en la subsidiaria C [moneda funcional: dólares USA (USD)]. En otras palabras, los activos netos de la subsidiaria B distintos de su inversión en la subsidiaria C, son 341 millones de libras esterlinas.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del riesgo cubierto para el cual puede designarse una relación de cobertura (párrafos 10 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GA2 La controladora puede cubrir sus inversiones netas en cada una de las subsidiarias A, B y C para el riesgo de tasa de cambio entre sus respectivas monedas funcionales [yen japonés (JPY), libras esterlinas y dólares USA] y el euro. Además, la controladora puede cubrir el riesgo de tasa de cambio USD/GBP entre las monedas funcionales de la subsidiaria B y la subsidiaria C. En sus estados financieros consolidados, la subsidiaria B puede cubrir su inversión neta en la subsidiaria C respecto al riesgo de tasa de cambio entre sus monedas funcionales dólares USA y libras esterlinas. En los siguientes ejemplos, el riesgo designado es el riesgo de tasa de cambio al contado debido a que los instrumentos de cobertura no son derivados. Si los instrumentos de cobertura fuesen contratos a plazo, la controladora podría designar el riesgo de tasa de cambio a plazo.</w:t>
      </w:r>
    </w:p>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lastRenderedPageBreak/>
        <mc:AlternateContent>
          <mc:Choice Requires="wps">
            <w:drawing>
              <wp:inline distT="0" distB="0" distL="0" distR="0" wp14:anchorId="71EDD30E" wp14:editId="4BC6C576">
                <wp:extent cx="4869180" cy="3134995"/>
                <wp:effectExtent l="0" t="0" r="0" b="0"/>
                <wp:docPr id="7" name="Rectángulo 7" descr="D2784I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69180" cy="313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7" o:spid="_x0000_s1026" alt="D2784I8.png" style="width:383.4pt;height:24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" filled="f" stroked="f">
                <o:lock v:ext="edit" aspectratio="t"/>
                <w10:anchorlock/>
              </v:rect>
            </w:pict>
          </mc:Fallback>
        </mc:AlternateConten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 de la partida cubierta para el cual puede designarse una relación de cobertura (párrafos 10 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GA3 La controladora desea cubrir el riesgo de tasa de cambio de su inversión neta en la subsidiaria C. Supongamos que la subsidiaria A ha recibido un préstamo externo de 300 millones de dólares USA. Los activos netos de la subsidiaria A al comienzo del ejercicio sobre el que se informa, son 400.000 millones de yenes japoneses, incluyendo el importe del préstamo externo de 300 millones de dólares USA.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GA4 La partida cubierta puede ser un importe de activos netos igual o inferior al importe en libros de la inversión neta de la controladora en la subsidiaria C en sus estados financieros consolidados (300 millones de dólares USA). En sus estados financieros consolidados, la controladora puede designar el préstamo externo de 300 millones de dólares USA en la subsidiaria A como una cobertura del riesgo de tasa de cambio al contado EUR/USD asociado con su inversión neta de 300 millones de dólares USA en los activos netos de la subsidiaria C. En este caso, tanto la diferencia de cambio EUR/USD del préstamo externo de 300 millones de dólares USA en la subsidiaria A como la diferencia de cambio EUR/USD de la inversión neta de 300 millones de dólares USA en la subsidiaria C, se incluirán en la reserva de conversión de moneda extranjera en los estados financieros consolidados de la controladora tras la aplicación de la contabilidad de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GA5 En ausencia de contabilidad de coberturas, la diferencia de tasa de cambio USD/EUR total del préstamo externo de 300 millones de dólares USA en la subsidiaria A se reconocería en los estados financieros consolidados de la controladora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variación de la tasa de cambio al contado USD/JPY, convertida a euros, en resultados,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la variación de la tasa de cambio al contado JPY/EUR,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lugar de realizar la designación del párrafo GA4, la controladora, en sus estados financieros consolidados podría designar el préstamo externo de 300 millones de dólares USA en la subsidiaria A, como una cobertura del riesgo de tasa de cambio al contado GBP/USD entre la subsidiaria C y la subsidiaria B. En este caso, la diferencia de tasa de cambio USD/EUR total del préstamo externo de 300 millones de dólares USA en la subsidiaria A, se reconocería, entonces, en los estados financieros de la controladora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variación de la tasa de cambio al contado GBP/USD, en la reserva de conversión de moneda extranjera que corresponda a la subsidiaria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variación de la tasa de cambio al contado GBP/JPY, convertida a euros, en resultados,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la variación de la tasa de cambio al contado JPY/EUR,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GA6 La controladora no puede designar el préstamo externo de 300 millones de dólares USA en la subsidiaria A como una cobertura de ambos riesgos, es decir, del riesgo de tasa de cambio al contado EUR/USD y del riesgo de tasa de cambio al contado GBP/USD, en sus estados financieros consolidados. Un único instrumento de cobertura puede cubrir el mismo riesgo designado solo una vez. La subsidiaria B no puede aplicar la contabilidad de coberturas en sus estados financieros consolidados porque el instrumento de cobertura se mantiene fuera del grupo que comprende a la subsidiaria B y a la subsidiaria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¿Qué entidad dentro del grupo puede mantener el instrumento de cobertura (párrafos 14 y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GA7 Como se señaló en el párrafo GA5, la variación total en el valor con respecto al riesgo de tasa de cambio del préstamo externo de 300 millones de dólares USA en la subsidiaria A, debería registrarse en los estados financieros consolidados de la controladora, en ausencia de contabilidad de coberturas, en resultados (riesgo al contado USD/JPY) y en otro resultado integral (riesgo al contado EUR/JPY). Ambos importes se incluirán a efectos de evaluar la eficacia de la cobertura designada en el párrafo GA4, porque tanto el cambio en el valor del instrumento de cobertura como en el de la partida cubierta se calculan por referencia a la moneda funcional euro de la controladora, contra la moneda funcional dólar USA de la subsidiaria C, de acuerdo con la documentación de la relación de cobertura. El método de consolidación (es decir, el método directo o el método por etapas) no afectará a la evaluación de la eficacia de la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Importes reclasificados a resultados en el momento de la disposición del negocio en el extranjero (párrafos 16 y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GA8 Cuando se disponga de la subsidiaria C, los importes reclasificados a resultados en los estados financieros consolidados de la controladora, que procedan de la reserva de conversión de moneda extranjera (RCME) serán: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con respecto al préstamo externo de 300 millones de dólares USA de la subsidiaria A, el importe que la NIC 39 requiere sea identificado, es decir el cambio total en el valor con respecto al riesgo de tasa de cambio que se reconoció en otro resultado integral por ser una parte eficaz de la cobertura;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 respecto a la inversión neta de 300 millones de dólares USA en la subsidiaria C, el importe determinado por el método de consolidación de la entidad. Si la controladora utilizase el método directo, su RCME correspondiente a la subsidiaria C, se calculará directamente por la tasa de cambio EUR/USD. Si la controladora utilizase el método por etapas, su RCME correspondiente a la subsidiaria C se determinará por la RCME reconocida por la subsidiaria B que refleje la tasa de cambio GBP/USD, convertido a la moneda funcional de la controladora utilizando la tasa de cambio EUR/GBP. La aplicación por la controladora del método de consolidación por etapas en ejercicios anteriores, no requiere, ni impide, al determinar el importe de la RCME a reclasificar cuando se disponga de la subsidiaria C, que éste sea el importe que se habría reconocido si hubiera utilizado siempre el método directo, dependiendo de la política contable aplicada.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Cobertura de más de un negocio en el extranjero (párrafos 11, 13 y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GA9 Los siguientes ejemplos muestran que en los estados financieros consolidados de la controladora, el riesgo que puede ser cubierto es siempre el riesgo entre su moneda funcional (euro) y las monedas funcionales de las subsidiarias B y C. No importa cómo se designen las coberturas, los importes máximos que pueden ser coberturas eficaces a incluir en la reserva de conversión de moneda extranjera en los estados financieros consolidados de la controladora, cuando ambos negocios en el extranjero estén cubiertos son: 300 millones de dólares USA para el riesgo EUR/USD y 341 millones de libras esterlinas para el riesgo EUR/GBP. Otros cambios en el valor resultantes de variaciones en las tasas de cambio, se incluirán en el resultado consolidado de la controladora. Asimismo, la controladora podría designar 300 millones de dólares USA solo para variaciones en la tasa de cambio al contado USD/GBP, o 500 millones de libras esterlinas únicamente para variaciones en la tasa de cambio al contado GBP/EUR.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controladora mantiene instrumentos de cobertura en dólares USA y libras esterlinas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GA10 La controladora puede desear cubrir el riesgo de tasa de cambio con relación a su inversión neta en la subsidiaria B, así como con relación a la subsidiaria C. Supongamos que la controladora mantiene instrumentos de cobertura adecuados denominados en dólares USA y en libras esterlinas que podría designar para cubrir sus inversiones netas en la subsidiaria B y en la subsidiaria C. Las designaciones que puede hacer la controladora en sus estados financieros consolidados, incluyen, pero no se limitan a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Instrumento de cobertura de 300 millones de dólares USA designado como cobertura de los 300 millones de dólares USA de inversión neta en la subsidiaria C, siendo el riesgo la exposición a la tasa de cambio al contado (EUR/USD) entre la controladora y la subsidiaria C, y hasta 341 millones de libras esterlinas de instrumento de cobertura designado como cobertura de los 341 millones de libras esterlinas de inversión neta en la subsidiaria B, </w:t>
      </w:r>
      <w:r w:rsidRPr="00401DFF">
        <w:rPr>
          <w:rFonts w:ascii="Times New Roman" w:eastAsia="Times New Roman" w:hAnsi="Times New Roman" w:cs="Times New Roman"/>
          <w:sz w:val="24"/>
          <w:szCs w:val="24"/>
          <w:lang w:eastAsia="es-CO"/>
        </w:rPr>
        <w:lastRenderedPageBreak/>
        <w:t>siendo el riesgo, la exposición a la tasa de cambio al contado (EUR/GBP) entre la controladora y la subsidiaria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Instrumento de cobertura de 300 millones de dólares USA designado como cobertura de los 300 millones de dólares USA de inversión neta en la subsidiaria C, siendo el riesgo, la exposición a la tasa de cambio al contado (GBP/USD) entre la subsidiaria B y la subsidiaria C, y hasta 500 millones de libras esterlinas de instrumento de cobertura designado como cobertura de los 500 millones de libras esterlinas de inversión neta en la subsidiaria B, siendo el riesgo, la exposición a la tasa de cambio al contado (EUR/GBP) entre la controladora y la subsidiaria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GA11 El riesgo EUR/USD procedente de la inversión neta de la controladora en la subsidiaria C, es un riesgo diferente del procedente del riesgo EUR/GBP de la inversión neta de la controladora en la subsidiaria B. Sin embargo, en el caso descrito en la párrafo GA10(a), por la designación del instrumento de cobertura en dólares USA que mantiene, la controladora ya tiene completamente cubierto el riesgo EUR/USD procedente de su inversión neta en la subsidiaria C. Si la controladora también hubiese designado un instrumento en libras esterlinas que mantiene como cobertura de su inversión neta de 500 millones de libras esterlinas en la subsidiaria B, 159 millones de libras esterlinas de dicha inversión neta, que representan el equivalente en libras esterlinas de su inversión neta en dólares USA en la subsidiaria C, estaría cubierto dos veces por el riesgo GBP/EUR en los estados financieros consolidados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GA12 En el caso descrito en el párrafo GA10(b), si la controladora designase como riesgo cubierto la exposición a la tasa de cambio al contado (GBP/USD) entre la subsidiaria B y la subsidiaria C, solo la parte GBP/USD del cambio en el valor de su instrumento de cobertura de 300 millones de dólares USA se incluirá en la reserva de conversión de moneda extranjera de la controladora, correspondiente a la subsidiaria C. La diferencia (equivalente al cambio GBP/EUR sobre los 159 millones de libras esterlinas) se incluirá en los resultados consolidados de la controladora de la forma indicada en el párrafo GA5. Puesto que la designación del riesgo USD/GBP entre las subsidiarias B y C no incluye el riesgo GBP/EUR, la controladora también podrá designar hasta 500 millones de libras esterlinas de su inversión neta en la subsidiaria B, siendo el riesgo, la exposición a la tasa de cambio al contado (GBP/EUR) entre la controladora y la subsidiaria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subsidiaria B mantiene el instrumento de cobertura en dólares USA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GA13 Supongamos que la subsidiaria B mantiene una deuda externa de 300 millones de dólares USA que transfirió a la controladora mediante un préstamo intragrupo denominado en libras esterlinas. Puesto que sus activos y pasivos se incrementan en 159 millones de libras esterlinas, los activos netos de la subsidiaria B no cambian. La subsidiaria B podría designar la deuda externa, como cobertura del riesgo GBP/USD de su inversión neta en la subsidiaria C, en sus estados financieros consolidados. La controladora podría mantener la designación de la subsidiaria B de dicho instrumento de cobertura como cobertura de su inversión neta de 300 millones de dólares USA en la subsidiaria C por el riesgo GBP/USD (véase el párrafo 13), y la controladora podría designar el instrumento de cobertura en libras esterlinas que mantiene, como cobertura de su inversión neta total de 500 millones de </w:t>
      </w:r>
      <w:r w:rsidRPr="00401DFF">
        <w:rPr>
          <w:rFonts w:ascii="Times New Roman" w:eastAsia="Times New Roman" w:hAnsi="Times New Roman" w:cs="Times New Roman"/>
          <w:sz w:val="24"/>
          <w:szCs w:val="24"/>
          <w:lang w:eastAsia="es-CO"/>
        </w:rPr>
        <w:lastRenderedPageBreak/>
        <w:t>libras esterlinas en la subsidiaria B. La primera cobertura, designada por la subsidiaria B, debería evaluarse por referencia a la moneda funcional de la subsidiaria B (libras esterlinas) y la segunda cobertura, designada por la controladora, debería evaluarse por referencia a la moneda funcional de la controladora (euros). En este caso, solo el riesgo GBP/USD que procede de la inversión neta de la controladora en la subsidiaria C ha sido cubierto en los estados financieros consolidados de la controladora mediante el instrumento de cobertura en dólares USA, pero no el riesgo total EUR/USD. Por lo tanto, el riesgo total EUR/GBP, procedente de la inversión neta de 500 millones de libras esterlinas de la controladora en la subsidiaria B podría cubrirse en los estados financieros consolidados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GA14 No obstante, la contabilidad del préstamo a pagar de 159 millones de libras esterlinas de la controladora a la subsidiaria B también debe considerarse. Si el préstamo a pagar por la controladora no se considerase parte de su inversión neta en la subsidiaria B porque no satisface las condiciones del párrafo 15 de la NIC 21, la diferencia de tasa de cambio GBP/EUR que surge de la conversión, debería incluirse en el resultado consolidado de la controladora. Si el préstamo a pagar de 159 millones de libras esterlinas a la subsidiaria B se considerase parte de la inversión neta de la controladora, dicha inversión neta sería solo de 341 millones de libras esterlinas y el importe que la controladora podría designar como partida cubierta para el riesgo GBP/EUR debería reducirse, por consiguiente, de 500 millones de libras esterlinas a 341 millones.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GA15 Si la controladora revirtiese la relación de cobertura designada por la subsidiaria B, la controladora podría designar el préstamo externo de 300 millones de dólares USA mantenido por la subsidiaria B, como cobertura de su inversión neta de 300 millones de dólares USA en la subsidiaria C por el riesgo EUR/USD, y designar el instrumento de cobertura en libras esterlinas que mantiene como de cobertura, pero únicamente hasta los 341 millones de libras esterlinas de la inversión neta en la subsidiaria B. En este caso, la eficacia de ambas coberturas se valorará por referencia a la moneda funcional de la controladora (euros). Por consiguiente, tanto el cambio USD/GBP en el valor del préstamo externo que mantiene la subsidiaria B, y el cambio GBP/EUR en el valor del préstamo a pagar por la controladora a la subsidiaria B (equivalente en total a USD/EUR) deberían incluirse en la reserva de conversión de moneda extranjera en los estados financieros consolidados de la controladora. Puesto que la controladora ya tiene completamente cubierto el riesgo EUR/USD procedente de su inversión neta en la subsidiaria C, podría cubrir solo hasta 341 millones de libras esterlinas del riesgo EUR/GBP de su inversión neta en la subsidiaria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(60) Este será el caso de estados financieros consolidados, estados financieros en los que inversiones tales como asociadas o negocios conjuntos se contabilizan utilizando el método de la participación y estados financieros que incluyen una sucursal o una operación conjunta como se definen en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(61) El método directo es el método de consolidación en el que los estados financieros del negocio en el extranjero se convierten directamente a la moneda funcional de la controladora última. El método por etapas es el método de consolidación por el cual los estados financieros del negocio en el extranjero se convierten en primer lugar, a la moneda funcional de la controladora, o controladoras, intermedia y seguidamente se convierten a la </w:t>
      </w:r>
      <w:r w:rsidRPr="00401DFF">
        <w:rPr>
          <w:rFonts w:ascii="Times New Roman" w:eastAsia="Times New Roman" w:hAnsi="Times New Roman" w:cs="Times New Roman"/>
          <w:sz w:val="24"/>
          <w:szCs w:val="24"/>
          <w:lang w:eastAsia="es-CO"/>
        </w:rPr>
        <w:lastRenderedPageBreak/>
        <w:t xml:space="preserve">moneda funcional de la controladora última (o a la moneda de presentación si fuese diferente).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Distribuciones, a los Propietarios, de Activos Distintos al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3 </w:t>
      </w:r>
      <w:r w:rsidRPr="00401DFF">
        <w:rPr>
          <w:rFonts w:ascii="Times New Roman" w:eastAsia="Times New Roman" w:hAnsi="Times New Roman" w:cs="Times New Roman"/>
          <w:i/>
          <w:iCs/>
          <w:sz w:val="24"/>
          <w:szCs w:val="24"/>
          <w:lang w:eastAsia="es-CO"/>
        </w:rPr>
        <w:t xml:space="preserve">Combinaciones de Negocios </w:t>
      </w:r>
      <w:r w:rsidRPr="00401DFF">
        <w:rPr>
          <w:rFonts w:ascii="Times New Roman" w:eastAsia="Times New Roman" w:hAnsi="Times New Roman" w:cs="Times New Roman"/>
          <w:sz w:val="24"/>
          <w:szCs w:val="24"/>
          <w:lang w:eastAsia="es-CO"/>
        </w:rPr>
        <w:t>(revisada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5 </w:t>
      </w:r>
      <w:r w:rsidRPr="00401DFF">
        <w:rPr>
          <w:rFonts w:ascii="Times New Roman" w:eastAsia="Times New Roman" w:hAnsi="Times New Roman" w:cs="Times New Roman"/>
          <w:i/>
          <w:iCs/>
          <w:sz w:val="24"/>
          <w:szCs w:val="24"/>
          <w:lang w:eastAsia="es-CO"/>
        </w:rPr>
        <w:t>Activos no Corrientes Mantenidos para la Venta y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7 </w:t>
      </w:r>
      <w:r w:rsidRPr="00401DFF">
        <w:rPr>
          <w:rFonts w:ascii="Times New Roman" w:eastAsia="Times New Roman" w:hAnsi="Times New Roman" w:cs="Times New Roman"/>
          <w:i/>
          <w:iCs/>
          <w:sz w:val="24"/>
          <w:szCs w:val="24"/>
          <w:lang w:eastAsia="es-CO"/>
        </w:rPr>
        <w:t>Instrumentos Financieros: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10 </w:t>
      </w:r>
      <w:r w:rsidRPr="00401DFF">
        <w:rPr>
          <w:rFonts w:ascii="Times New Roman" w:eastAsia="Times New Roman" w:hAnsi="Times New Roman" w:cs="Times New Roman"/>
          <w:i/>
          <w:i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13 </w:t>
      </w:r>
      <w:r w:rsidRPr="00401DFF">
        <w:rPr>
          <w:rFonts w:ascii="Times New Roman" w:eastAsia="Times New Roman" w:hAnsi="Times New Roman" w:cs="Times New Roman"/>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10 </w:t>
      </w:r>
      <w:r w:rsidRPr="00401DFF">
        <w:rPr>
          <w:rFonts w:ascii="Times New Roman" w:eastAsia="Times New Roman" w:hAnsi="Times New Roman" w:cs="Times New Roman"/>
          <w:i/>
          <w:iCs/>
          <w:sz w:val="24"/>
          <w:szCs w:val="24"/>
          <w:lang w:eastAsia="es-CO"/>
        </w:rPr>
        <w:t>Hechos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(modificada en mayo de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algunas ocasiones una entidad distribuye activos distintos al efectivo como dividendos a sus propietarios</w:t>
      </w:r>
      <w:hyperlink r:id="rId66" w:anchor="bf170d49044c53b4f0ca9038fbb4deae8f6nf9" w:tgtFrame="_self" w:history="1">
        <w:r w:rsidRPr="00401DFF">
          <w:rPr>
            <w:rFonts w:ascii="Times New Roman" w:eastAsia="Times New Roman" w:hAnsi="Times New Roman" w:cs="Times New Roman"/>
            <w:color w:val="0000FF"/>
            <w:sz w:val="20"/>
            <w:szCs w:val="20"/>
            <w:u w:val="single"/>
            <w:vertAlign w:val="superscript"/>
            <w:lang w:eastAsia="es-CO"/>
          </w:rPr>
          <w:t>(62)</w:t>
        </w:r>
      </w:hyperlink>
      <w:r w:rsidRPr="00401DFF">
        <w:rPr>
          <w:rFonts w:ascii="Times New Roman" w:eastAsia="Times New Roman" w:hAnsi="Times New Roman" w:cs="Times New Roman"/>
          <w:sz w:val="24"/>
          <w:szCs w:val="24"/>
          <w:lang w:eastAsia="es-CO"/>
        </w:rPr>
        <w:t xml:space="preserve"> cuando actúan como tales. En esas situaciones, la entidad puede también dar a sus propietarios la posibilidad de elegir entre: recibir activos distintos al efectivo o una alternativa en efectivo. La CINIIF ha recibido peticiones para establecer guías sobre cómo debe una entidad contabilizar dichas distribuciones.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Las Normas Internacionales de Información Financiera (NIIF) no proporcionan guías sobre cómo una entidad debe medir las distribuciones a sus propietarios (comúnmente denominadas como dividendos). La NIC 1 requiere que una entidad presente información detallada de los dividendos reconocidos como distribuciones a los propietarios, ya sea en el estado de cambios en el patrimonio o en las notas a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Interpretación se aplicará a las siguientes categorías de distribuciones de activos no recíprocas realizadas por una entidad a sus propietarios cuando actúan como 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distribuciones de activos distintos al efectivo (por ejemplo partidas de propiedades, planta y equipo, negocios —como se definen en la NIIF 3—, participaciones en el </w:t>
      </w:r>
      <w:r w:rsidRPr="00401DFF">
        <w:rPr>
          <w:rFonts w:ascii="Times New Roman" w:eastAsia="Times New Roman" w:hAnsi="Times New Roman" w:cs="Times New Roman"/>
          <w:sz w:val="24"/>
          <w:szCs w:val="24"/>
          <w:lang w:eastAsia="es-CO"/>
        </w:rPr>
        <w:lastRenderedPageBreak/>
        <w:t>patrimonio de otra entidad o grupos de activos para su disposición —como se definen en la NIIF 5);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distribuciones que dan a los propietarios la posibilidad de elegir entre recibir activos distintos al efectivo o una alternativa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se aplicará solo a las distribuciones en las que todos los propietarios de la misma clase de instrumentos de patrimonio se tratan de igual manera.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Interpretación no será de aplicación a las distribuciones de activos distintos al efectivo que estén, en última instancia, controlados por la misma parte o partes antes y después de la distribución. Esta exclusión se aplicará a los estados financieros separados, individuales y consolidados de la entidad que realice la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De acuerdo con el párrafo 5, esta Interpretación no se aplicará cuando el activo distinto al efectivo esté controlado en última instancia por las mismas partes antes y después de la distribución. El párrafo B2 de la NIIF 3 señala que “se considerará que un grupo de personas físicas controlan una entidad cuando, mediante acuerdos contractuales, tienen colectivamente el poder para dirigir sus políticas financieras y de operación, con el fin de obtener beneficios de sus actividades”. Por ello, para que una distribución quede fuera del alcance de esta Interpretación porque las mismas partes controlan el activo antes y después de la distribución, el grupo de accionistas individuales que reciba la distribución ha de tener, como resultado de acuerdos contractuales, ese poder colectivo último sobre la entidad que realiza la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De acuerdo con el párrafo 5, esta Interpretación no será de aplicación cuando una entidad distribuya una parte de su participación en la propiedad de una subsidiaria, pero siga conservando el control sobre ésta. La entidad que realice una distribución que dé lugar a que dicha entidad reconozca una participación no controladora en su subsidiaria, contabilizará la distribución de acuerdo con la 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Esta Interpretación aborda únicamente la contabilidad de la entidad que realiza una distribución de un activo distinto al efectivo. No determina la contabilidad de los accionistas que reciben esta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Cuando una entidad declare una distribución y tenga la obligación de distribuir los activos implicados entre sus propietarios, debe reconocer un pasivo por el dividendo a pagar. Por consiguiente, esta Interpretación trata los siguientes 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¿Cuándo debería reconocer la entidad el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¿Cómo debería medir una entidad el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Cuando una entidad liquide el dividendo a pagar, ¿cómo debería contabilizar cualquier diferencia entre el importe en libros de los activos distribuidos y el importe en libros del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Cuándo reconocer un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El pasivo por el pago de un dividendo se reconocerá cuando el dividendo esté debidamente autorizado y no quede a discreción de la entidad, que será la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que la declaración del dividendo, realizada por ejemplo por la dirección o el consejo de administración, se apruebe por la autoridad correspondiente, por ejemplo los accionistas, si la jurisdicción requiere esa aprobación,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que se declare el dividendo, por ejemplo por la dirección o el consejo de administración, si la jurisdicción no requiere otra aprobación adicional.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un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entidad medirá el pasivo, por distribución de un dividendo en activos distintos al efectivo a sus propietarios, por el valor razonable de los activos a distribuir.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Si la entidad permitiese a sus propietarios elegir entre recibir un activo distinto al efectivo o una alternativa en efectivo, la entidad estimará el dividendo a pagar teniendo en cuenta el valor razonable de cada alternativa, y la probabilidad asociada de que los propietarios seleccionen cada una de las alternativas.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Al final de cada periodo sobre el que se informa, así como en la fecha de liquidación, la entidad revisará y ajustará el importe en libros del dividendo a pagar, reconociendo cualquier variación en dicho importe a pagar en el patrimonio, como un ajuste al importe de la distribución.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cualquier diferencia entre el importe en libros de los activos distribuidos y el importe en libros del dividendo a pagar, cuando una entidad liquide el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Cuando una entidad liquide el dividendo a pagar, reconocerá en el resultado del periodo la diferencia, si la hubiera, entre el importe en libros de los activos distribuidos y el importe en libros del dividendo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e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 entidad presentará la diferencia descrita en el párrafo 14 como una partida separada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 La entidad revelará la siguiente información, si procede: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en libros del dividendo a pagar al principio y al final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incremento o disminución en el importe en libros reconocido en el periodo de acuerdo con el párrafo 13 como consecuencia de un cambio en el valor razonable de los activos a distribuir.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después del cierre de un periodo sobre el que se informa pero antes de que los estados financieros sean autorizados para su emisión, una entidad declarase un dividendo a distribuir mediante un activo distinto al efectivo,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del activo a distribuir;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en libros del activo a distribuir a la fecha de cierre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razonable del activo a distribuirse, al final del periodo sobre el que se informa si fuese diferente a su importe en libros, así como la información sobre el método utilizado para medir ese valor razonable requerido por los párrafos 93(b), (d), (g) y (i) y 99 de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Una entidad aplicará esta Interpretación, de forma prospectiva, en los periodos anuales que comiencen a partir del 1 de julio de 2009. No se permite la aplicación retroactiva. Se permite su aplicación anticipada. Si una entidad aplicase esta Interpretación a periodos que comiencen antes del 1 de julio de 2009, revelará este hecho y también aplicará la NIIF 3 (revisada en 2008), la NIC 27 (modificada en mayo de 2008) y la NIIF 5 (modificada por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La NIIF 10, emitida en mayo de 2011, modificó el párrafo 7. Una entidad aplicará esas modificaciones cuando aplique la 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La NIIF 13, emitida en mayo de 2011, modificó el párrafo 17.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El párrafo 7 de la NIC 1 define a los propietarios como tenedores de instrumentos clasificados como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Transferencias de Activos procedentes de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 </w:t>
      </w:r>
      <w:r w:rsidRPr="00401DFF">
        <w:rPr>
          <w:rFonts w:ascii="Times New Roman" w:eastAsia="Times New Roman" w:hAnsi="Times New Roman" w:cs="Times New Roman"/>
          <w:i/>
          <w:iCs/>
          <w:sz w:val="24"/>
          <w:szCs w:val="24"/>
          <w:lang w:eastAsia="es-CO"/>
        </w:rPr>
        <w:t>Marco Conceptual para la Preparación y Presentación de Estados Financieros</w:t>
      </w:r>
      <w:hyperlink r:id="rId67" w:anchor="bf1bb2ac60ea03946c989cfaf0fb4be529anf9" w:tgtFrame="_self" w:history="1">
        <w:r w:rsidRPr="00401DFF">
          <w:rPr>
            <w:rFonts w:ascii="Times New Roman" w:eastAsia="Times New Roman" w:hAnsi="Times New Roman" w:cs="Times New Roman"/>
            <w:color w:val="0000FF"/>
            <w:sz w:val="20"/>
            <w:szCs w:val="20"/>
            <w:u w:val="single"/>
            <w:vertAlign w:val="superscript"/>
            <w:lang w:eastAsia="es-CO"/>
          </w:rPr>
          <w:t>(63)</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1 </w:t>
      </w:r>
      <w:r w:rsidRPr="00401DFF">
        <w:rPr>
          <w:rFonts w:ascii="Times New Roman" w:eastAsia="Times New Roman" w:hAnsi="Times New Roman" w:cs="Times New Roman"/>
          <w:i/>
          <w:iCs/>
          <w:sz w:val="24"/>
          <w:szCs w:val="24"/>
          <w:lang w:eastAsia="es-CO"/>
        </w:rPr>
        <w:t xml:space="preserve">Adopción por Primera vez de las Normas Internacionales de Información Financiera </w:t>
      </w:r>
      <w:r w:rsidRPr="00401DFF">
        <w:rPr>
          <w:rFonts w:ascii="Times New Roman" w:eastAsia="Times New Roman" w:hAnsi="Times New Roman" w:cs="Times New Roman"/>
          <w:sz w:val="24"/>
          <w:szCs w:val="24"/>
          <w:lang w:eastAsia="es-CO"/>
        </w:rPr>
        <w:t>(revisada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16 </w:t>
      </w:r>
      <w:r w:rsidRPr="00401DFF">
        <w:rPr>
          <w:rFonts w:ascii="Times New Roman" w:eastAsia="Times New Roman" w:hAnsi="Times New Roman" w:cs="Times New Roman"/>
          <w:i/>
          <w:iCs/>
          <w:sz w:val="24"/>
          <w:szCs w:val="24"/>
          <w:lang w:eastAsia="es-CO"/>
        </w:rPr>
        <w:t>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NIC 20</w:t>
      </w:r>
      <w:r w:rsidRPr="00401DFF">
        <w:rPr>
          <w:rFonts w:ascii="Times New Roman" w:eastAsia="Times New Roman" w:hAnsi="Times New Roman" w:cs="Times New Roman"/>
          <w:i/>
          <w:iCs/>
          <w:sz w:val="24"/>
          <w:szCs w:val="24"/>
          <w:lang w:eastAsia="es-CO"/>
        </w:rPr>
        <w:t xml:space="preserve"> Contabilización de las Subvenciones del Gobierno e Información a Revelar sobre Ayudas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CINIIF 12 </w:t>
      </w:r>
      <w:r w:rsidRPr="00401DFF">
        <w:rPr>
          <w:rFonts w:ascii="Times New Roman" w:eastAsia="Times New Roman" w:hAnsi="Times New Roman" w:cs="Times New Roman"/>
          <w:i/>
          <w:iCs/>
          <w:sz w:val="24"/>
          <w:szCs w:val="24"/>
          <w:lang w:eastAsia="es-CO"/>
        </w:rPr>
        <w:t>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el sector de servicios públicos, una entidad puede recibir de sus clientes elementos de propiedades, planta y equipo que deben utilizarse para conectar a estos clientes a una red y proporcionarles un acceso continuo a suministros básicos tales como electricidad, gas o agua. Alternativamente, una entidad puede recibir efectivo de clientes para la adquisición o construcción de estos elementos de propiedades, planta y equipo. Habitualmente, se exige a los clientes que paguen importes adicionales por la compra de bienes o servicios basados en su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Las transferencias de activos procedentes de clientes pueden también tener lugar en sectores industriales distintos de los de servicios públicos. Por ejemplo, una entidad que subcontrate sus funciones de tecnología de la información puede transferir sus elementos de propiedades, planta y equipo al prestador del servicio que subcontrata.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En algunos casos, el cedente del activo puede no ser la entidad que eventualmente tendrá acceso continuo al suministro de bienes o servicios y que será el receptor de dichos bienes o servicios. Sin embargo, por conveniencia esta Interpretación considera a la entidad que transfiere el activo como el cliente.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se aplicará a la contabilización de transferencias de elementos de propiedades, planta y equipo por parte de las entidades que reciben dichas transferencias de sus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Entran dentro del alcance de esta Interpretación los acuerdos por los que una entidad recibe de un cliente un elemento de propiedades, planta y equipo que debe utilizar para conectar al cliente a una red o para proporcionarle un acceso continuo al suministro de bienes o servicios, o para ambas cosas.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Esta Interpretación también se aplicará a los acuerdos en los que una entidad recibe efectivo de un cliente, cuando ese importe de efectivo deba utilizarse solo para construir o adquirir un elemento de propiedades, planta y equipo, y la entidad deba utilizar el elemento de propiedades, planta y equipo para conectar al cliente a una red o para proporcionarle un acceso continuo al suministro de bienes o servicios, o para ambas cosas.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Esta Interpretación no es de aplicación a los acuerdos en los que la transferencia sea una subvención del gobierno, en los términos definidos en la NIC 20, o una infraestructura utilizada en un acuerdo de concesión de servicios que se encuentre dentro del alcance de la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Esta Interpretación trata los siguientes 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cumple la definición de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se cumple la definición de activo, ¿cómo se debe medir el elemento de propiedades, planta y equipo transferido en el momento del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elemento de propiedades, planta y equipo se mide a su valor razonable en el momento del reconocimiento inicial, ¿cómo debe contabilizarse la contrapartida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¿Cómo debe contabilizar la entidad una transferencia de efectivo procedente de su cliente?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 cumple la definición de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Cuando una entidad recibe un elemento de propiedades, planta y equipo que le ha transferido un cliente evaluará si el elemento transferido cumple la definición de activo establecida en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El párrafo 49(a) del </w:t>
      </w:r>
      <w:r w:rsidRPr="00401DFF">
        <w:rPr>
          <w:rFonts w:ascii="Times New Roman" w:eastAsia="Times New Roman" w:hAnsi="Times New Roman" w:cs="Times New Roman"/>
          <w:i/>
          <w:iCs/>
          <w:sz w:val="24"/>
          <w:szCs w:val="24"/>
          <w:lang w:eastAsia="es-CO"/>
        </w:rPr>
        <w:t>Marco conceptual</w:t>
      </w:r>
      <w:hyperlink r:id="rId68" w:anchor="bf11854295edee44f16a9e7aebde0723698nf9" w:tgtFrame="_self" w:history="1">
        <w:r w:rsidRPr="00401DFF">
          <w:rPr>
            <w:rFonts w:ascii="Times New Roman" w:eastAsia="Times New Roman" w:hAnsi="Times New Roman" w:cs="Times New Roman"/>
            <w:color w:val="0000FF"/>
            <w:sz w:val="20"/>
            <w:szCs w:val="20"/>
            <w:u w:val="single"/>
            <w:vertAlign w:val="superscript"/>
            <w:lang w:eastAsia="es-CO"/>
          </w:rPr>
          <w:t>(64)</w:t>
        </w:r>
      </w:hyperlink>
      <w:r w:rsidRPr="00401DFF">
        <w:rPr>
          <w:rFonts w:ascii="Times New Roman" w:eastAsia="Times New Roman" w:hAnsi="Times New Roman" w:cs="Times New Roman"/>
          <w:sz w:val="24"/>
          <w:szCs w:val="24"/>
          <w:lang w:eastAsia="es-CO"/>
        </w:rPr>
        <w:t xml:space="preserve"> señala que “un activo es un recurso controlado por la entidad como resultado de sucesos pasados, del que la entidad espera obtener, en el futuro, beneficios económicos”. En la mayoría de las circunstancias, la entidad obtiene el derecho de propiedad del elemento de propiedades, planta y equipo transferido. Sin embargo, para determinar si existe un activo, el derecho de propiedad no es esencial. Por ello, si el cliente mantiene el control del elemento transferido, no se cumpliría la definición de activo a pesar de la transferencia de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Una entidad que controla un activo puede generalmente hacer uso de ese activo como considere oportuno. Por ejemplo, la entidad puede intercambiar ese activo por otros, emplearlo para producir bienes o servicios, cargar a terceros un precio por su uso, utilizarlo para liquidar pasivos, conservarlo o distribuirlo a sus propietarios. Al evaluar el control del elemento transferido, la entidad que reciba de un cliente la transferencia de un elemento de </w:t>
      </w:r>
      <w:r w:rsidRPr="00401DFF">
        <w:rPr>
          <w:rFonts w:ascii="Times New Roman" w:eastAsia="Times New Roman" w:hAnsi="Times New Roman" w:cs="Times New Roman"/>
          <w:sz w:val="24"/>
          <w:szCs w:val="24"/>
          <w:lang w:eastAsia="es-CO"/>
        </w:rPr>
        <w:lastRenderedPageBreak/>
        <w:t>propiedades, planta y equipo considerará todos los hechos y circunstancias relevantes. Por ejemplo, aunque la entidad deba utilizar el elemento de propiedades, planta y equipo transferido para proporcionar uno o más servicios al cliente, podría tener la capacidad de decidir cómo opera y mantiene el elemento de propiedades, planta y equipo transferido, así como el momento de su reemplazo. En este caso, la entidad normalmente concluiría que controla el elemento de propiedades, planta y equipo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¿Cómo debe medirse al reconocerse inicialmente el elemento de propiedades, planta y equipo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Si la entidad concluye que se cumple la definición de activo, reconocerá el activo transferido como un elemento de propiedades, planta y equipo, de acuerdo con el párrafo 7 de la NIC 16, y al reconocerlo inicialmente medirá su costo a su valor razonable, de acuerdo con el párrafo 24 de esa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¿Cómo debe contabilizarse la contrapartida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El siguiente punto presupone que la entidad que recibe un elemento de propiedades, planta y equipo ha concluido que el elemento transferido debe reconocerse y medirse de acuerdo con los párrafos 9 a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 párrafo 12 de la NIC 18 señala que “Cuando los bienes se vendan, o los servicios se presten, recibiendo en contrapartida bienes o servicios de naturaleza diferente, el intercambio se considera como una transacción que produce ingresos de actividades ordinarias”. De acuerdo con los términos de los acuerdos considerados dentro del alcance de esta Interpretación, una transferencia de un elemento de propiedades, planta y equipo sería un intercambio de bienes o servicios de naturaleza diferente. Por consiguiente, la entidad reconocerá ingresos de actividades ordinarias de acuerdo con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los servicios identificables de forma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entidad puede acordar la entrega de uno o más servicios a cambio del elemento de propiedades, planta y equipo transferido, tales como conectar al cliente a una red, proporcionarle acceso continuo al suministro de bienes o servicios, o ambas cosas. De acuerdo con el párrafo 13 de la NIC 18, la entidad determinará los servicios que se puedan identificar de forma separada en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Entre las características que indican que la conexión de un cliente a una red es un servicio identificable de forma separada, 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que la entrega del servicio de conexión al cliente representa un valor por sí mismo para ese cliente;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que el valor razonable del servicio de conexión puede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16 Una característica que indica que proporcionar al cliente acceso continuo al suministro de bienes o servicios es un servicio identificable de forma separada es que, en el futuro, el cliente que realiza la transferencia recibirá el acceso continuo, los bienes o servicios, o ambas cosas, a un precio inferior al que hubiera pagado sin la transferencia del elemento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Por el contrario, una característica que indica que la obligación de proporcionar al cliente acceso continuo al suministro de bienes o servicios surge de los términos de la licencia de explotación de la entidad u otra regulación, en lugar de estar relacionada con el acuerdo que da lugar a la transferencia del elemento de propiedades, planta y equipo, es que los clientes que realizan la transferencia pagan el mismo precio que los que no realizan dicha transferencia para tener el acceso continuo, o por los bienes o servicios, o por ambas cosas.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Si se identifica un único servicio, la entidad reconocerá ingresos de actividades ordinarias cuando el servicio se realice de acuerdo con el párrafo 20 de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Si se identifica la existencia de más de un servicio identificable de forma separada, el párrafo 13 de la NIC 18 requiere que se distribuya el valor razonable de la contraprestación total del acuerdo, recibida o por recibir, entre los distintos servicios, y que luego se aplique el criterio de reconocimiento de la NIC 18 a cada uno de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Si se identifica, como parte del acuerdo, la existencia del derecho a un servicio continuo, el periodo durante el cual se reconocerá el ingreso de actividades ordinarias por ese servicio se determinará generalmente en función de las condiciones del acuerdo con el cliente. Si el acuerdo no especifica un periodo, el ingreso de actividades ordinarias se reconocerá durante un periodo no mayor que la vida útil del activo transferido utilizado para proporcionar el servicio continuo.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¿Cómo debe contabilizar la entidad una transferencia de efectivo procedente de su cliente?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Cuando una entidad reciba una transferencia de efectivo de un cliente, evaluará si el acuerdo está dentro del alcance de esta Interpretación de acuerdo con el párrafo 6. Si así fuera, la entidad evaluará si el elemento de propiedades, planta y equipo construido o adquirido cumple la definición de activo de acuerdo con los párrafos 9 y 10. Si cumple la definición de activo, la entidad reconocerá el elemento de propiedades, planta y equipo a su costo, de acuerdo con la NIC 16, así como el ingreso de actividades ordinarias, de acuerdo con los párrafos 13 a 20, por el importe del efectivo recibido del cliente.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Una entidad aplicará esta Interpretación de forma prospectiva a las transferencias de activos procedentes de clientes recibidas a partir del 1 de julio de 2009. Se permite la </w:t>
      </w:r>
      <w:r w:rsidRPr="00401DFF">
        <w:rPr>
          <w:rFonts w:ascii="Times New Roman" w:eastAsia="Times New Roman" w:hAnsi="Times New Roman" w:cs="Times New Roman"/>
          <w:sz w:val="24"/>
          <w:szCs w:val="24"/>
          <w:lang w:eastAsia="es-CO"/>
        </w:rPr>
        <w:lastRenderedPageBreak/>
        <w:t>aplicación anticipada siempre que las valoraciones y demás información, que se necesiten para aplicar la Interpretación a transferencias pasadas, se puedan obtener con referencia al momento en que dichas transferencias tuvieron lugar. Una entidad revelará la fecha a partir de cual aplica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(63)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(64) Ahora párrafo 4.4(a) del </w:t>
      </w:r>
      <w:r w:rsidRPr="00401DFF">
        <w:rPr>
          <w:rFonts w:ascii="Times New Roman" w:eastAsia="Times New Roman" w:hAnsi="Times New Roman" w:cs="Times New Roman"/>
          <w:i/>
          <w:iCs/>
          <w:sz w:val="24"/>
          <w:szCs w:val="24"/>
          <w:lang w:eastAsia="es-CO"/>
        </w:rPr>
        <w:t>Marco Conceptual.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Cancelación de Pasivos Financieros con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Marco Conceptual para la Preparación y Presentación de Estados Financieros</w:t>
      </w:r>
      <w:hyperlink r:id="rId69" w:anchor="bf11b4f320f88e24c519a6b0377c9b0832enf9" w:tgtFrame="_self" w:history="1">
        <w:r w:rsidRPr="00401DFF">
          <w:rPr>
            <w:rFonts w:ascii="Times New Roman" w:eastAsia="Times New Roman" w:hAnsi="Times New Roman" w:cs="Times New Roman"/>
            <w:color w:val="0000FF"/>
            <w:sz w:val="20"/>
            <w:szCs w:val="20"/>
            <w:u w:val="single"/>
            <w:vertAlign w:val="superscript"/>
            <w:lang w:eastAsia="es-CO"/>
          </w:rPr>
          <w:t>(65)</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NIIF 2</w:t>
      </w:r>
      <w:r w:rsidRPr="00401DFF">
        <w:rPr>
          <w:rFonts w:ascii="Times New Roman" w:eastAsia="Times New Roman" w:hAnsi="Times New Roman" w:cs="Times New Roman"/>
          <w:i/>
          <w:iCs/>
          <w:sz w:val="24"/>
          <w:szCs w:val="24"/>
          <w:lang w:eastAsia="es-CO"/>
        </w:rPr>
        <w:t xml:space="preserve">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NIIF 3</w:t>
      </w:r>
      <w:r w:rsidRPr="00401DFF">
        <w:rPr>
          <w:rFonts w:ascii="Times New Roman" w:eastAsia="Times New Roman" w:hAnsi="Times New Roman" w:cs="Times New Roman"/>
          <w:i/>
          <w:iCs/>
          <w:sz w:val="24"/>
          <w:szCs w:val="24"/>
          <w:lang w:eastAsia="es-CO"/>
        </w:rPr>
        <w:t xml:space="preserv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NIIF 13 </w:t>
      </w:r>
      <w:r w:rsidRPr="00401DFF">
        <w:rPr>
          <w:rFonts w:ascii="Times New Roman" w:eastAsia="Times New Roman" w:hAnsi="Times New Roman" w:cs="Times New Roman"/>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32 </w:t>
      </w:r>
      <w:r w:rsidRPr="00401DFF">
        <w:rPr>
          <w:rFonts w:ascii="Times New Roman" w:eastAsia="Times New Roman" w:hAnsi="Times New Roman" w:cs="Times New Roman"/>
          <w:i/>
          <w:iCs/>
          <w:sz w:val="24"/>
          <w:szCs w:val="24"/>
          <w:lang w:eastAsia="es-CO"/>
        </w:rPr>
        <w:t>Instrumentos Financieros: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 deudor y un acreedor pueden renegociar las condiciones de un pasivo financiero con el resultado de que el deudor cancela el pasivo total o parcialmente mediante la emisión de instrumentos de patrimonio para el acreedor. Estas transacciones se denominan en algunas ocasiones como “permutas de deuda por patrimonio”. El CINIIF ha recibido peticiones de guías sobre la contabilidad de estas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Interpretación trata de la contabilidad por una entidad cuando las condiciones de un pasivo financiero se renegocian y dan lugar a que la entidad que emite los instrumentos de patrimonio para un acreedor de ésta cancele total o parcialmente el pasivo financiero. No se trata la contabilidad por el acreedor.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 Una entidad no aplicará esta Interpretación a transacciones en situaciones en las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acreedor sea también un accionista directo o indirecto y esté actuando en su condición de 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acreedor y la entidad están controlados por la misma parte o partes antes y después de la transacción y la sustancia de la transacción incluye una distribución de patrimonio por parte de la entidad, o una contribución de patrimonio a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cancelación del pasivo financiero mediante la emisión de participaciones en el patrimonio es acorde con las condiciones iniciales del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Interpretación trata los siguientes 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¿Son los instrumentos de patrimonio de una entidad emitidos para cancelar total o parcialmente un pasivo financiero “contraprestación pagada” de acuerdo con el párrafo 3.3.3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¿Cómo debería medir inicialmente una entidad los instrumentos de patrimonio emitidos para cancelar este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¿Cómo debería contabilizar una entidad las diferencias entre el importe en libros del pasivo financiero cancelado y el importe de la medición inicial de los instrumentos de patrimonio emitidos?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La emisión de instrumentos de patrimonio de una entidad para un acreedor con el fin de cancelar total o parcialmente un pasivo financiero es contraprestación pagada de acuerdo con el párrafo 3.3.3 de la NIIF 9. Una entidad dará de baja un pasivo financiero (o una parte del mismo) de su estado de situación financiera cuando, y solo cuando, se haya extinguido de acuerdo con el párrafo 3.3.1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Cuando se reconocen inicialmente los instrumentos de patrimonio emitidos para un acreedor con el fin de cancelar total o parcialmente un pasivo financiero, una entidad los medirá al valor razonable de los instrumentos de patrimonio emitidos, a menos que el valor razonable no pueda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Si el valor razonable de los instrumentos de patrimonio emitidos no puede medirse con fiabilidad, entonces los instrumentos de patrimonio deberán medirse para reflejar el valor razonable del pasivo financiero cancelado. Al medir el valor razonable de un pasivo financiero cancelado que incluye una característica que lo haga exigible a petición del acreedor (por ejemplo un depósito a la vista), no se aplicará el párrafo 47 de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 Si solo se cancela parte del pasivo financiero, la entidad evaluará si parte de la contraprestación pagada está relacionada con una modificación de las condiciones del pasivo que permanece pendiente. Si parte de la contraprestación pagada está relacionada con una modificación de las condiciones de la parte del pasivo que permanece, la entidad distribuirá la contraprestación pagada entre la parte del pasivo cancelado y la parte del pasivo que permanece pendiente. Para realizar la distribución, la entidad considerará todos los hechos y circunstancias relevantes relativos a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diferencia entre el importe en libros del pasivo financiero (o parte de un pasivo financiero) cancelado, y la contraprestación pagada, deberá reconocerse en el resultado del periodo, de acuerdo con el párrafo 3.3.3 de la NIIF 9. Los instrumentos de patrimonio emitidos deberán reconocerse inicialmente y medirse en la fecha en que se cancela el pasivo financiero (o parte de ese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Cuando se cancele solo parte del pasivo financiero, la contraprestación deberá distribuirse de acuerdo con el párrafo 8. La contraprestación asignada al pasivo que permanece formará parte de la evaluación si las condiciones de ese pasivo han sido sustancialmente modificadas. Si el pasivo que permanece ha sido sustancialmente modificado, la entidad contabilizará la modificación como la cancelación del pasivo original y el reconocimiento de un nuevo pasivo conforme requiere el párrafo 3.3.2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Una entidad revelará la ganancia o pérdida reconocida de acuerdo con los párrafos 9 y 10 en una partida separada del resultado o en la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Una entidad aplicará esta Interpretación para los periodos anuales que comiencen a partir del 1 de julio de 2010. Se permite su aplicación anticipada. Si una entidad aplicase esta Interpretación en un periodo que comenzase antes del 1 de julio de 2010,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entidad aplicará un cambio en una política contable de acuerdo con la NIC 8 a partir del comienzo del primer periodo comparativo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La NIIF 9 emitida en octubre de 2010, modificó los párrafos 4(a), 5, 7, 9 y 10.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La NIIF 13, emitida en mayo de 2011, modificó el párrafo 7.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(65)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CINIIF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Costos de Desmonte en la Fase de Producción de una Mina a Cielo Abierto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El Marco Conceptual para la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2 </w:t>
      </w:r>
      <w:r w:rsidRPr="00401DFF">
        <w:rPr>
          <w:rFonts w:ascii="Times New Roman" w:eastAsia="Times New Roman" w:hAnsi="Times New Roman" w:cs="Times New Roman"/>
          <w:i/>
          <w:iCs/>
          <w:sz w:val="24"/>
          <w:szCs w:val="24"/>
          <w:lang w:eastAsia="es-CO"/>
        </w:rPr>
        <w:t>Inventarios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 xml:space="preserve">NIC 16 </w:t>
      </w:r>
      <w:r w:rsidRPr="00401DFF">
        <w:rPr>
          <w:rFonts w:ascii="Times New Roman" w:eastAsia="Times New Roman" w:hAnsi="Times New Roman" w:cs="Times New Roman"/>
          <w:i/>
          <w:iCs/>
          <w:sz w:val="24"/>
          <w:szCs w:val="24"/>
          <w:lang w:eastAsia="es-CO"/>
        </w:rPr>
        <w:t>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NIC 38</w:t>
      </w:r>
      <w:r w:rsidRPr="00401DFF">
        <w:rPr>
          <w:rFonts w:ascii="Times New Roman" w:eastAsia="Times New Roman" w:hAnsi="Times New Roman" w:cs="Times New Roman"/>
          <w:i/>
          <w:iCs/>
          <w:sz w:val="24"/>
          <w:szCs w:val="24"/>
          <w:lang w:eastAsia="es-CO"/>
        </w:rPr>
        <w:t xml:space="preserve">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las operaciones de minería a cielo abierto, las entidades pueden verse forzadas a extraer materiales de escombro de la mina (“sobrecarga”) para acceder a los yacimientos del mineral. Esta actividad de extracción del escombro se conoce como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Durante la fase de desarrollo de la mina (antes de que la producción comience), los costos de desmonte se capitalizan habitualmente como parte del costo depreciable de construir, desarrollar y estructurar la mina. Esos costos capitalizados se deprecian o amortizan sobre una base sistemática, habitualmente mediante la utilización del método de las unidades de producción, una vez que comienza la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Una entidad minera puede continuar extrayendo sobrecarga e incurrir en costos de desmonte durante la fase de producción de la mina.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El material extraído al desescombrar en la fase de producción no será necesariamente 100 por cien escombros; a menudo contendrá una combinación de mineral y escombro. La proporción de mineral con respecto al escombro puede fluctuar de un bajo grado no rentable a un alto grado rentable. La extracción del material con baja proporción de mineral con respecto al escombro puede producir algún material utilizable, que pueda usarse para producir inventario. Esta extracción puede también proporcionar acceso a niveles más profundos de material que contengan una proporción mayor de mineral con respecto al escombro. Puede haber, por ello, dos beneficios acumulándose (devengándose) en la entidad procedentes de la actividad de desmonte: el mineral utilizable que puede usarse para producir inventario y la mejora del acceso a cantidades adicionales de material que se explotarán en periodos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Interpretación considera cuándo y cómo contabilizar por separado estos dos beneficios que surgen de la actividad de desmonte, así como la forma de medir dichos beneficios en el momento inicial y posteriormente.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6 Esta Interpretación se aplica a los costos de extracción del escombro en los que se incurre en la actividad de minería a cielo abierto durante la fase de producción de la mina (“costos de producción del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Esta Interpretación trata los siguientes problemas: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reconocimiento de los costos de producción del desmonte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medición inicial del activo de la actividad de desmonte;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medición posterior del activo de la actividad de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los costos de producción del desmonte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En la medida en que el beneficio de la actividad de desmonte se realiza en forma de inventario producido, la entidad contabilizará los costos de esa actividad de desmonte de acuerdo con los principios de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En la medida en que el beneficio es un acceso mejorado al yacimiento, la entidad reconocerá estos costos como un activo no corriente, si se cumplen los criterios del párrafo 9 siguientes. Esta interpretación se refiere al activo no corriente como “activo de la actividad de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entidad reconocerá un activo de la actividad de desmonte si, y solo si, se satisfacen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 probable que la entidad obtendrá el beneficio económico futuro (acceso mejorado al yacimiento) asociado con la actividad de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puede identificar el componente del yacimiento cuyo acceso se ha mejorado;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costos relacionados con la actividad de desmonte asociados con ese componente pueden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El activo de la actividad de desmonte se contabilizará como una ampliación o como una mejora, de un activo existente. En otras palabras, el activo de la actividad de desmonte se contabilizará como </w:t>
      </w:r>
      <w:r w:rsidRPr="00401DFF">
        <w:rPr>
          <w:rFonts w:ascii="Times New Roman" w:eastAsia="Times New Roman" w:hAnsi="Times New Roman" w:cs="Times New Roman"/>
          <w:i/>
          <w:iCs/>
          <w:sz w:val="24"/>
          <w:szCs w:val="24"/>
          <w:lang w:eastAsia="es-CO"/>
        </w:rPr>
        <w:t>parte</w:t>
      </w:r>
      <w:r w:rsidRPr="00401DFF">
        <w:rPr>
          <w:rFonts w:ascii="Times New Roman" w:eastAsia="Times New Roman" w:hAnsi="Times New Roman" w:cs="Times New Roman"/>
          <w:sz w:val="24"/>
          <w:szCs w:val="24"/>
          <w:lang w:eastAsia="es-CO"/>
        </w:rPr>
        <w:t xml:space="preserve"> de un activo existente.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clasificación del activo de la actividad de desmonte como un activo tangible o intangible es la misma que la del activo existente. En otras palabras, la naturaleza de este activo existente determinará si la entidad clasificará el activo de la actividad de desmonte como tangible 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Medición inicial de los activos de la actividad de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La entidad medirá inicialmente el activo de la actividad de desmonte al costo, siendo éste la acumulación de los costos directamente incurridos para realizar la actividad de desmonte que mejora el acceso al componente identificado del yacimiento, más una distribución de los costos indirectos atribuibles directamente a esa actividad. Algunas operaciones secundarias pueden tener lugar al mismo tiempo que la actividad de producción del desmonte, pero no son necesarias para que la actividad de producción del desmonte continúe como estaba prevista. Los costos asociados con estas operaciones secundarias no se incluirán en el costo del activo de la actividad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Cuando los costos del activo de la actividad de desmonte y el inventario producido no sean identificables por separado, la entidad distribuirá los costos de producción del desmonte entre el inventario producido y el activo de la actividad de desmonte utilizando una base de reparto que se fundamente en una medida de producción relevante. Esta medida de producción se calculará para el componente identificado del yacimiento y se utilizará como una referencia para identificar la medida en que ha dado lugar la actividad adicional de crear un beneficio futuro. Ejemplos de estas medidas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costo del inventario producido comparado con el costo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volumen de escombro extraído comparado con el volumen esperado, para un volumen dado de producción de mineral;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contenido del mineral extraído comparado con el contenido de mineral que se esperaba extraer, para una cantidad dada de mineral producido.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de los activos de la actividad de desmonte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Después del reconocimiento inicial, el activo de la actividad de desmonte se llevará a su costo o a su importe revaluado menos la depreciación o amortización y las pérdidas por deterioro de valor, de la misma forma que el activo existente del que es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El activo de la actividad de desmonte se depreciará o amortizará de forma sistemática, a lo largo de la vida útil esperada del componente identificado del yacimiento que pasa a ser más accesible como resultado de la actividad de desmonte. Se aplicará el método de las unidades de producción a menos que otro método sea más apropiado.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 vida útil esperada del componente identificado del yacimiento que se utiliza para depreciar o amortizar el activo de la actividad de desmonte diferirá de la vida útil esperada que se utiliza para depreciar o amortizar la mina en sí misma y los activos relacionados con la vida de ésta. La excepción a esto son las circunstancias limitadas en las que la actividad de desmonte proporciona acceso mejorado a todo el yacimiento restante. Por ejemplo, esto puede ocurrir hacia el final de la vida útil de una mina cuando el componente identificado representa la parte final del yacimiento a extraer.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integral de la Interpretación y tiene el mismo carácter normativo que las otras partes de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A1 Una entidad aplicará esta Interpretación en los periodos anuales que comiencen a partir del 1 de enero de 2013. Se permite su aplicación anticipada. Si una entidad aplica esta Interpretación a periodos anteriores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A2 Una entidad aplicará esta Interpretación a los costos de producción del desmonte incurridos a partir del comienzo del primer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A3 Al comienzo del primer periodo presentado, cualquier saldo de activos reconocidos con anterioridad procedente de la actividad de desmonte realizada durante la fase de producción (“activo de desmonte predecesor”) se reclasificará como una parte de un activo existente con el que se relaciona la actividad de desmonte, en la medida que en que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permanezca un componente identificable del yacimiento con el que el activo de desmonte predecesor pueda asociarse. Estos saldos se depreciarán o amortizarán a lo largo de la vida útil esperada restante del componente identificado del yacimiento con el que se relaciona cada saldo de activo de desmonte predecesor.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A4 Si no existe un componente identificable del yacimiento con el que se relaciona el activo de desmonte predecesor, se reconocerá en las ganancias acumuladas iniciales al comienzo del primer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Adopción por Primera vez de las Normas Internacionales de Información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El objetivo de esta NIIF es asegurar que los </w:t>
      </w:r>
      <w:r w:rsidRPr="00401DFF">
        <w:rPr>
          <w:rFonts w:ascii="Times New Roman" w:eastAsia="Times New Roman" w:hAnsi="Times New Roman" w:cs="Times New Roman"/>
          <w:i/>
          <w:iCs/>
          <w:sz w:val="24"/>
          <w:szCs w:val="24"/>
          <w:lang w:eastAsia="es-CO"/>
        </w:rPr>
        <w:t>primeros estados financieros conforme a las NIIF</w:t>
      </w:r>
      <w:r w:rsidRPr="00401DFF">
        <w:rPr>
          <w:rFonts w:ascii="Times New Roman" w:eastAsia="Times New Roman" w:hAnsi="Times New Roman" w:cs="Times New Roman"/>
          <w:sz w:val="24"/>
          <w:szCs w:val="24"/>
          <w:lang w:eastAsia="es-CO"/>
        </w:rPr>
        <w:t xml:space="preserve"> de una entidad, así como sus informes financieros intermedios, relativos a una parte del periodo cubierto por tales estados financieros, contienen información de alta calidad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sea transparente para los usuarios y comparable para todos los periodos en que se presenten;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suministre un punto de partida adecuado para la contabilización según las </w:t>
      </w:r>
      <w:r w:rsidRPr="00401DFF">
        <w:rPr>
          <w:rFonts w:ascii="Times New Roman" w:eastAsia="Times New Roman" w:hAnsi="Times New Roman" w:cs="Times New Roman"/>
          <w:i/>
          <w:iCs/>
          <w:sz w:val="24"/>
          <w:szCs w:val="24"/>
          <w:lang w:eastAsia="es-CO"/>
        </w:rPr>
        <w:t>Normas Internacionales de Información Financiera (NIIF)</w:t>
      </w:r>
      <w:r w:rsidRPr="00401DFF">
        <w:rPr>
          <w:rFonts w:ascii="Times New Roman" w:eastAsia="Times New Roman" w:hAnsi="Times New Roman" w:cs="Times New Roman"/>
          <w:sz w:val="24"/>
          <w:szCs w:val="24"/>
          <w:lang w:eastAsia="es-CO"/>
        </w:rPr>
        <w:t>;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pueda ser obtenida a un costo que no exceda a sus beneficios.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Una entidad aplicará esta NIIF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sus primeros estados financieros conforme a las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en cada informe financiero intermedio que, en su caso, presente de acuerdo con la NIC 34 </w:t>
      </w:r>
      <w:r w:rsidRPr="00401DFF">
        <w:rPr>
          <w:rFonts w:ascii="Times New Roman" w:eastAsia="Times New Roman" w:hAnsi="Times New Roman" w:cs="Times New Roman"/>
          <w:i/>
          <w:iCs/>
          <w:sz w:val="24"/>
          <w:szCs w:val="24"/>
          <w:lang w:eastAsia="es-CO"/>
        </w:rPr>
        <w:t>Información Financiera Intermedia,</w:t>
      </w:r>
      <w:r w:rsidRPr="00401DFF">
        <w:rPr>
          <w:rFonts w:ascii="Times New Roman" w:eastAsia="Times New Roman" w:hAnsi="Times New Roman" w:cs="Times New Roman"/>
          <w:sz w:val="24"/>
          <w:szCs w:val="24"/>
          <w:lang w:eastAsia="es-CO"/>
        </w:rPr>
        <w:t xml:space="preserve"> relativos a una parte del periodo cubierto por sus primeros estados financieros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Los primeros estados financieros conforme a las NIIF son los primeros estados financieros anuales en los cuales la entidad adopta las NIIF, mediante una declaración, explícita y sin reservas, contenida en tales estados financieros, del cumplimiento con las NIIF. Los estados financieros conforme a las NIIF son los primeros estados financieros de una entidad según NIIF si, por ejemplo,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presentó sus estados financieros previos más recientes: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según requerimientos nacionales que no son coherentes en todos los aspectos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 conformidad con las NIIF en todos los aspectos, salvo que tales estados financieros no hayan contenido una declaración, explícita y sin reservas, de cumplimiento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con una declaración explícita de cumplimiento con algunas NIIF, pero no con todas;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según requerimientos nacionales que no son coherentes con las NIIF, pero aplicando algunas NIIF individuales para contabilizar partidas para las que no existe normativa nacional;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según requerimientos nacionales, aportando una conciliación de algunos importes con los mismos determinados según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preparó los estados financieros conforme a las NIIF únicamente para uso interno, sin ponerlos a disposición de los propietarios de la entidad o de otros usuarios externos;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preparó un paquete de información de acuerdo con las NIIF, para su empleo en la consolidación, sin haber preparado un juego completo de estados financieros, según se define en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no presentó estados financieros en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NIIF se aplicará cuando una entidad adopta por primera vez las NIIF. No será de aplicación cuando, por ejemplo,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abandona la presentación de los estados financieros según los requerimientos nacionales, si los ha presentado anteriormente junto con otro conjunto de estados financieros que contenían una declaración, explícita y sin reservas, de cumplimiento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presentó en el año precedente estados financieros según requerimientos nacionales, y tales estados financieros contenían una declaración, explícita y sin reservas, de cumplimiento con las NIIF;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presentó en el año precedente estados financieros que contenían una declaración, explícita y sin reservas, de cumplimiento con las NIIF, incluso si los auditores expresaron su opinión con salvedades en el informe de auditoría sobre tales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NIIF no afectará a los cambios en las políticas contables hechos por una entidad que ya hubiera adoptado las NIIF. Tales cambios son objeto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requerimientos relativos a cambios en políticas contables, contenidos en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disposiciones de transición específicas contenidas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 de apertura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Una entidad elaborará y presentará un </w:t>
      </w:r>
      <w:r w:rsidRPr="00401DFF">
        <w:rPr>
          <w:rFonts w:ascii="Times New Roman" w:eastAsia="Times New Roman" w:hAnsi="Times New Roman" w:cs="Times New Roman"/>
          <w:i/>
          <w:iCs/>
          <w:sz w:val="24"/>
          <w:szCs w:val="24"/>
          <w:lang w:eastAsia="es-CO"/>
        </w:rPr>
        <w:t>estado de situación financiera de conforme a las NIIF</w:t>
      </w:r>
      <w:r w:rsidRPr="00401DFF">
        <w:rPr>
          <w:rFonts w:ascii="Times New Roman" w:eastAsia="Times New Roman" w:hAnsi="Times New Roman" w:cs="Times New Roman"/>
          <w:sz w:val="24"/>
          <w:szCs w:val="24"/>
          <w:lang w:eastAsia="es-CO"/>
        </w:rPr>
        <w:t xml:space="preserve"> en la </w:t>
      </w:r>
      <w:r w:rsidRPr="00401DFF">
        <w:rPr>
          <w:rFonts w:ascii="Times New Roman" w:eastAsia="Times New Roman" w:hAnsi="Times New Roman" w:cs="Times New Roman"/>
          <w:i/>
          <w:iCs/>
          <w:sz w:val="24"/>
          <w:szCs w:val="24"/>
          <w:lang w:eastAsia="es-CO"/>
        </w:rPr>
        <w:t>fecha de transición a las NIIF</w:t>
      </w:r>
      <w:r w:rsidRPr="00401DFF">
        <w:rPr>
          <w:rFonts w:ascii="Times New Roman" w:eastAsia="Times New Roman" w:hAnsi="Times New Roman" w:cs="Times New Roman"/>
          <w:sz w:val="24"/>
          <w:szCs w:val="24"/>
          <w:lang w:eastAsia="es-CO"/>
        </w:rPr>
        <w:t>. Éste es el punto de partida para la contabilización según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Una entidad usará las mismas políticas contables en su estado de situación financiera de apertura conforme a las NIIF y a lo largo de todos los periodos que se presenten en sus primeros estados financieros conforme a las NIIF. Estas políticas contables cumplirán con cada NIIF vigente al final del primer periodo sobre el que informe según las NIIF, excepto por lo especificado en los párrafos 13 a 19 y en los Apéndices B a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entidad no aplicará versiones diferentes de las NIIF que estuvieran vigentes en fechas anteriores. Una entidad podrá aplicar una nueva NIIF que todavía no sea obligatoria, siempre que en la misma se permita la aplicación anticipada.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Aplicación uniforme de la última versión de las NIIF</w:t>
            </w:r>
          </w:p>
        </w:tc>
      </w:tr>
      <w:tr w:rsidR="00401DFF" w:rsidRPr="00401DFF" w:rsidTr="00401DFF">
        <w:trPr>
          <w:tblCellSpacing w:w="15" w:type="dxa"/>
          <w:jc w:val="center"/>
        </w:trPr>
        <w:tc>
          <w:tcPr>
            <w:tcW w:w="904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Antecedentes</w:t>
            </w:r>
            <w:r w:rsidRPr="00401DFF">
              <w:rPr>
                <w:rFonts w:ascii="Times New Roman" w:eastAsia="Times New Roman" w:hAnsi="Times New Roman" w:cs="Times New Roman"/>
                <w:sz w:val="24"/>
                <w:szCs w:val="24"/>
                <w:lang w:eastAsia="es-CO"/>
              </w:rPr>
              <w:br/>
              <w:t xml:space="preserve">El final del primer periodo sobre el que se informa conforme a las NIIF de la entidad A es el 31 de diciembre de 20X5. La entidad A decide presentar información comparativa de </w:t>
            </w:r>
            <w:r w:rsidRPr="00401DFF">
              <w:rPr>
                <w:rFonts w:ascii="Times New Roman" w:eastAsia="Times New Roman" w:hAnsi="Times New Roman" w:cs="Times New Roman"/>
                <w:sz w:val="24"/>
                <w:szCs w:val="24"/>
                <w:lang w:eastAsia="es-CO"/>
              </w:rPr>
              <w:lastRenderedPageBreak/>
              <w:t xml:space="preserve">tales estados financieros para un solo año (véase el párrafo 21). Por tanto, su fecha de transición a las NIIF es el comienzo de su actividad el 1 de enero de 20X4 (o, de forma alternativa, el cierre de su actividad el 31 de diciembre de 20X3). La entidad A presentó estados financieros anuales, conforme a sus </w:t>
            </w:r>
            <w:r w:rsidRPr="00401DFF">
              <w:rPr>
                <w:rFonts w:ascii="Times New Roman" w:eastAsia="Times New Roman" w:hAnsi="Times New Roman" w:cs="Times New Roman"/>
                <w:i/>
                <w:iCs/>
                <w:sz w:val="24"/>
                <w:szCs w:val="24"/>
                <w:lang w:eastAsia="es-CO"/>
              </w:rPr>
              <w:t>PCGA anteriores,</w:t>
            </w:r>
            <w:r w:rsidRPr="00401DFF">
              <w:rPr>
                <w:rFonts w:ascii="Times New Roman" w:eastAsia="Times New Roman" w:hAnsi="Times New Roman" w:cs="Times New Roman"/>
                <w:sz w:val="24"/>
                <w:szCs w:val="24"/>
                <w:lang w:eastAsia="es-CO"/>
              </w:rPr>
              <w:t xml:space="preserve"> el 31 de diciembre de cada año, incluyendo el 31 de diciembre de 20X4.</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Aplicación de los requerimientos</w:t>
            </w:r>
            <w:r w:rsidRPr="00401DFF">
              <w:rPr>
                <w:rFonts w:ascii="Times New Roman" w:eastAsia="Times New Roman" w:hAnsi="Times New Roman" w:cs="Times New Roman"/>
                <w:sz w:val="24"/>
                <w:szCs w:val="24"/>
                <w:lang w:eastAsia="es-CO"/>
              </w:rPr>
              <w:br/>
              <w:t>La entidad A estará obligada a aplicar las NIIF que tengan vigencia para periodos que terminen el 31 de diciembre de 20X5 al:</w:t>
            </w:r>
            <w:r w:rsidRPr="00401DFF">
              <w:rPr>
                <w:rFonts w:ascii="Times New Roman" w:eastAsia="Times New Roman" w:hAnsi="Times New Roman" w:cs="Times New Roman"/>
                <w:sz w:val="24"/>
                <w:szCs w:val="24"/>
                <w:lang w:eastAsia="es-CO"/>
              </w:rPr>
              <w:br/>
              <w:t>(a) elaborar y presentar su estado de situación financiera de apertura conforme a las NIIF el 1 de enero de 20X4; y</w:t>
            </w:r>
            <w:r w:rsidRPr="00401DFF">
              <w:rPr>
                <w:rFonts w:ascii="Times New Roman" w:eastAsia="Times New Roman" w:hAnsi="Times New Roman" w:cs="Times New Roman"/>
                <w:sz w:val="24"/>
                <w:szCs w:val="24"/>
                <w:lang w:eastAsia="es-CO"/>
              </w:rPr>
              <w:br/>
              <w:t>(b) elaborar y presentar su estado de situación financiera a 31 de diciembre de 20X5 (incluyendo los importes comparativos para 20X4), su estado del resultado integral, su estado de cambios en el patrimonio y su estado de flujos de efectivo para el año que termina el 31 de diciembre de 20X5 (incluyendo los importes comparativos para 20X4) así como la información a revelar (incluyendo información comparativa para 20X4).</w:t>
            </w:r>
            <w:r w:rsidRPr="00401DFF">
              <w:rPr>
                <w:rFonts w:ascii="Times New Roman" w:eastAsia="Times New Roman" w:hAnsi="Times New Roman" w:cs="Times New Roman"/>
                <w:sz w:val="24"/>
                <w:szCs w:val="24"/>
                <w:lang w:eastAsia="es-CO"/>
              </w:rPr>
              <w:br/>
              <w:t>Si una nueva NIIF aún no fuese obligatoria, pero admitiese su aplicación anticipada, se permitirá a la entidad A, sin que tenga obligación de hacerlo, que aplique ese NIIF en sus primeros estados financieros conforme a las NIIF.</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9 Las disposiciones de transición contenidas en otras NIIF se aplicarán a los cambios en las políticas contables que realice una entidad que ya esté usando las NIIF; pero no serán de aplicación en la transición a las NIIF de </w:t>
      </w:r>
      <w:r w:rsidRPr="00401DFF">
        <w:rPr>
          <w:rFonts w:ascii="Times New Roman" w:eastAsia="Times New Roman" w:hAnsi="Times New Roman" w:cs="Times New Roman"/>
          <w:i/>
          <w:iCs/>
          <w:sz w:val="24"/>
          <w:szCs w:val="24"/>
          <w:lang w:eastAsia="es-CO"/>
        </w:rPr>
        <w:t>una entidad que las adopta por primera vez,</w:t>
      </w:r>
      <w:r w:rsidRPr="00401DFF">
        <w:rPr>
          <w:rFonts w:ascii="Times New Roman" w:eastAsia="Times New Roman" w:hAnsi="Times New Roman" w:cs="Times New Roman"/>
          <w:sz w:val="24"/>
          <w:szCs w:val="24"/>
          <w:lang w:eastAsia="es-CO"/>
        </w:rPr>
        <w:t xml:space="preserve"> salvo por lo especificado en los Apéndices B a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Excepto por lo señalado en los párrafos 13 a 19 y en los Apéndices B a E, una entidad deberá, en su estado de situación financiera de apertura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reconocer todos los activos y pasivos cuyo reconocimiento sea requerido por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reconocer partidas como activos o pasivos si las NIIF no lo permiten;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reclasificar partidas reconocidas según los PCGA anteriores como un tipo de activo, pasivo o componente del patrimonio, pero que conforme a las NIIF son un tipo diferente de activo, pasivo o componente del patrimonio;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aplicar las NIIF al medir todos los activos y pasivos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Las políticas contables que una entidad utilice en su estado de situación financiera de apertura conforme a las NIIF, pueden diferir de las que aplicaba en la misma fecha conforme a sus PCGA anteriores. Los ajustes resultantes surgen de sucesos y transacciones anteriores a la fecha de transición a las NIIF. Por tanto, una entidad reconocerá tales ajustes, en la fecha de transición a las NIIF, directamente en las ganancias acumuladas (o, si fuera apropiado, en otra categoría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 Esta NIIF establece dos categorías de excepciones al principio de que el estado de situación financiera de apertura conforme a las NIIF de una entidad habrá de cumplir con todas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párrafos 14 a 17 y el Apéndice B prohíben la aplicación retroactiva de algunos aspectos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Apéndices C a E conceden exenciones para ciertos requerimientos contenidos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Excepciones a la aplicación retroactiva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Esta NIIF prohíbe la aplicación retroactiva de algunos aspectos de otras NIIF. Estas excepciones están contenidas en los párrafos 14 a 17 y en el 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Estimaciones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14 Las estimaciones de una entidad realizadas según las NIIF, en la fecha de transición, serán coherentes con las estimaciones hechas para la misma fecha según los PCGA anteriores (después de realizar los ajustes necesarios para reflejar cualquier diferencia en las políticas contables), a menos que exista evidencia objetiva de que estas estimaciones fueron erróneas.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Después de la fecha de transición a las NIIF, una entidad puede recibir información relativa a estimaciones hechas según los PCGA anteriores. De acuerdo con el párrafo 14, una entidad tratará la recepción de esa información de la misma forma que los hechos posteriores al periodo sobre el que se informa que no implican ajustes según la NIC 10 </w:t>
      </w:r>
      <w:r w:rsidRPr="00401DFF">
        <w:rPr>
          <w:rFonts w:ascii="Times New Roman" w:eastAsia="Times New Roman" w:hAnsi="Times New Roman" w:cs="Times New Roman"/>
          <w:i/>
          <w:iCs/>
          <w:sz w:val="24"/>
          <w:szCs w:val="24"/>
          <w:lang w:eastAsia="es-CO"/>
        </w:rPr>
        <w:t>Hechos Ocurridos después del Periodo sobre el que se Informa.</w:t>
      </w:r>
      <w:r w:rsidRPr="00401DFF">
        <w:rPr>
          <w:rFonts w:ascii="Times New Roman" w:eastAsia="Times New Roman" w:hAnsi="Times New Roman" w:cs="Times New Roman"/>
          <w:sz w:val="24"/>
          <w:szCs w:val="24"/>
          <w:lang w:eastAsia="es-CO"/>
        </w:rPr>
        <w:t xml:space="preserve"> Por ejemplo, supongamos que la fecha de transición a las NIIF de una entidad es el 1 de enero de 20X4, y que la nueva información, recibida el 15 de julio de 20X4, exige la revisión de una estimación realizada según los PCGA anteriores que se aplicaban el 31 de diciembre de 20X3. La entidad no reflejará esta nueva información en su estado de situación financiera de apertura conforme a las NIIF (a menos que dichas estimaciones precisaran de ajustes para reflejar diferencias en políticas contables, o hubiera evidencia objetiva de que contenían errores). En lugar de ello, la entidad reflejará esa nueva información en el resultado del periodo (o, si fuese apropiado, en otro resultado integral) para el año finalizado el 31 de diciembre de 20X4.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Una entidad puede tener que realizar estimaciones conforme a las NIIF, en la fecha de transición, que no fueran requeridas en esa fecha según los PCGA anteriores. Para lograr congruencia con la NIC 10, dichas estimaciones hechas según las NIIF reflejarán las condiciones existentes en la fecha de transición a dichas NIIF. En particular, las estimaciones realizadas en la fecha de transición a las NIIF, relativas a precios de mercado, tasas de interés o tasas de cambio, reflejarán las condiciones de mercado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17 Los párrafos 14 a 16 se aplicarán al estado de situación financiera de apertura según las NIIF. También se aplicarán a los periodos comparativos presentados en los primeros estados financieros según NIIF, en cuyo caso las referencias a la fecha de transición a las NIIF se reemplazarán por referencias relativas al final del periodo comparativo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Exenciones procedentes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Una entidad podrá elegir utilizar una o más de las exenciones contenidas en los Apéndices C a E. Una entidad no aplicará estas exenciones por analogía a otras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e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Esta NIIF no contiene exenciones a los requerimientos de presentación e información a revelar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Para cumplir con la NIC 1, los primeros estados financieros que se presenten conforme a las NIIF de una entidad incluirán al menos tres estados de situación financiera, dos estados del resultado del periodo y otro resultado integral, dos estados separados del resultado del periodo (si se presentan), dos estados de flujos de efectivo y dos estados de cambios en el patrimonio y las notas relacionadas, incluyendo 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comparativa no preparada conforme a las NIIF y resúmenes de datos históricos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Algunas entidades presentan resúmenes históricos de datos seleccionados, para periodos anteriores a aquél en el cual presentan información comparativa completa según las NIIF. Esta NIIF no requiere que estos resúmenes cumplan con los requisitos de reconocimiento y medición de las NIIF. Además, algunas entidades presentan información comparativa conforme a los PCGA anteriores, así como la información comparativa requerida por la NIC 1. En los estados financieros que contengan un resumen de datos históricos o información comparativa conforme a los PCGA anteriores,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identificará de forma destacada la información elaborada según PCGA anteriores como no preparada conforme a las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revelará la naturaleza de los principales ajustes que habría que practicar para cumplir con las NIIF. La entidad no necesitará cuantificar dichos ajustes.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Explicación de la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23 Una entidad explicará cómo la transición, de los PCGA anteriores a las NIIF, ha afectado a su situación financiera, resultados y flujos de efectivo previamente informados.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Conciliaciones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Para cumplir con el párrafo 23, los primeros estados financieros conforme a las NIIF de una entidad incluirán: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conciliaciones de su patrimonio, según los PCGA anteriores, con el que resulte de aplicar las NIIF para cada una de las siguientes fechas: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fecha de transición a las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final del último periodo incluido en los estados financieros anuales más recientes que la entidad haya presentado aplicando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conciliación de su resultado integral total según las NIIF para el último periodo en los estados financieros anuales más recientes de la entidad. El punto de partida para dicha conciliación será el resultado integral total según PCGA anteriores para el mismo periodo o, si una entidad no lo presenta, el resultado según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si la entidad procedió a reconocer o revertir pérdidas por deterioro del valor de los activos por primera vez al preparar su estado de situación financiera de apertura conforme a las NIIF, la información a revelar que habría sido requerida, según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si la entidad hubiese reconocido tales pérdidas por deterioro del valor de los activos, o las reversiones correspondientes, en el periodo que comenzó con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Las conciliaciones requeridas por los apartados (a) y (b) del párrafo 24, deberán dar suficiente detalle como para permitir a los usuarios comprender los ajustes significativos realizados en el estado de situación financiera y en el estado del resultado integral. Si la entidad presentó un estado de flujos de efectivo según sus PCGA anteriores, explicará también los ajustes significativos al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Si una entidad tuviese conocimiento de errores contenidos en la información elaborada conforme a los PCGA anteriores, las conciliaciones requeridas por los apartados (a)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del párrafo 24 distinguirán las correcciones de tales errores de los cambios en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 NIC 8 no se aplicará a los cambios en las políticas contables que realice una entidad en la adopción de las NIIF o a los cambios en dichas políticas hasta después de presentar sus primeros estados financieros conforme a las NIIF. Por tanto, los requerimientos respecto a cambios en las políticas contables, que contiene la NIC 8, no son aplicables en los primeros estados financieros conforme a las NIIF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27A Si durante el periodo cubierto por sus primeros estados financieros conforme a las NIIF una entidad cambia sus políticas contables o la utilización de las exenciones contenidas en esta NIIF, deberán explicarse los cambios entre sus primeros informes financieros intermedios conforme a las NIIF y sus primeros estados financieros conforme a las NIIF, de acuerdo con el párrafo 23, y actualizará las conciliaciones requeridas por el párrafo 24(a)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Si una entidad no presentó estados financieros en periodos anteriores, revelará este hecho en sus primeros estados financieros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activos financieros o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De acuerdo con el párrafo D19A, se permite a una entidad designar un activo financiero reconocido anteriormente como un activo financiero medido al valor razonable con cambios en resultados. La entidad revelará el valor razonable de los activos financieros así designados en la fecha de designación, así como sus clasificaciones e importes en libros en los estados financieros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29A De acuerdo con el párrafo D19, se permite a una entidad designar un pasivo financiero reconocido anteriormente como un pasivo financieros con cambios en resultados. La entidad revelará el valor razonable de los pasivos financieros así designados en la fecha de designación, así como sus clasificaciones e importes en libros en los estados financieros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del valor razonable como costo atribuido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Si, en su estado de situación financiera de apertura conforme a las NIIF, una entidad usa el valor razonable como </w:t>
      </w:r>
      <w:r w:rsidRPr="00401DFF">
        <w:rPr>
          <w:rFonts w:ascii="Times New Roman" w:eastAsia="Times New Roman" w:hAnsi="Times New Roman" w:cs="Times New Roman"/>
          <w:i/>
          <w:iCs/>
          <w:sz w:val="24"/>
          <w:szCs w:val="24"/>
          <w:lang w:eastAsia="es-CO"/>
        </w:rPr>
        <w:t>costo atribuido</w:t>
      </w:r>
      <w:r w:rsidRPr="00401DFF">
        <w:rPr>
          <w:rFonts w:ascii="Times New Roman" w:eastAsia="Times New Roman" w:hAnsi="Times New Roman" w:cs="Times New Roman"/>
          <w:sz w:val="24"/>
          <w:szCs w:val="24"/>
          <w:lang w:eastAsia="es-CO"/>
        </w:rPr>
        <w:t xml:space="preserve"> para una partida de propiedades, planta y equipo, una propiedad de inversión o para un activo intangible (véanse los párrafos D5 y D7), los primeros estados financieros conforme a las NIIF revelarán, para cada partida del estado de situación financiera de apertura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total acumulado de tales valores razonables;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ajuste total al importe en libros presentado según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del costo atribuido para inversiones en subsidiarias, negocios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De forma análoga, si la entidad utilizase un costo atribuido en su estado de situación financiera de apertura conforme a las NIIF para una inversión en una subsidiaria, negocio conjunto o asociada en sus estados financieros separados (véase el párrafo D15), los estados financieros separados iniciales conforme a las NIIF de la entidad revelarán: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suma del costo atribuido de esas inversiones para las que el costo atribuido es su importe en libros según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suma del costo atribuido de esas inversiones para las que el costo atribuido es su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ajuste total al importe en libros presentado según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del costo atribuido para activos de petróleo y gas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31A Si una entidad utiliza la exención del párrafo D8A(b) para activos de petróleo y gas, revelará ese hecho y la base sobre la que se distribuyeron los importes en libros determinados conforme a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del costo atribuido para operaciones sujetas a regulación de tarifas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31B Si una entidad utiliza la exención del párrafo D8B para operaciones sujetas a regulación de tarifas, revelará ese hecho y la base sobre la que se determinaron los importes en libros conforme a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Utilización del costo atribuido después de una hiperinflación grave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31C Si una entidad elige medir los activos y pasivos a valor razonable y utilizar dicho valor razonable como el costo atribuido en su estado de situación financiera de apertura conforme a las NIIF debido a una hiperinflación grave (véanse los párrafos D26 a D30), los estados financieros primeros conforme a las NIIF de la entidad revelarán una explicación de la forma en que, y la razón por la que, la entidad tuvo, y dejó de tener, una moneda funcional que reúna las dos características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tiene disponible un índice general de precios fiable para todas las entidades con transacciones y saldos en la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existe intercambiabilidad entre la moneda y una moneda extranjera relativamente estable.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financiera intermedia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Para cumplir con el párrafo 23, si una entidad presentase un informe financiero intermedio, según la NIC 34, para una parte del periodo cubierto por sus primeros estados financieros presentados conforme a las NIIF, la entidad cumplirá con los siguientes requerimientos adicionales a los contenidos en la NIC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entidad presentó informes financieros intermedios para el periodo contable intermedio comparable del año inmediatamente anterior, en cada información financiera intermedia incluirá: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conciliación de su patrimonio al final del periodo intermedio, según los PCGA anteriores, comparable con el patrimonio conforme a las NIIF en esa fecha;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(ii) una conciliación con su resultado integral total según las NIIF para ese periodo intermedio comparable (actual y acumulado en el año hasta la fecha). El punto de partida para esa conciliación será el resultado integral total según PCGA anteriores para ese periodo o, si una entidad no presenta dicho total, el resultado según PCGA anteriores.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Además de las conciliaciones requeridas por (a), en el primer informe financiero intermedio que presente según la NIC 34, para una parte del periodo cubierto por sus primeros estados financieros conforme a las NIIF, una entidad incluirá las conciliaciones descritas en los apartados (a) y (b) del párrafo 24 (complementadas con los detalles requeridos por los párrafos 25 y 26), o bien una referencia a otro documento publicado donde se incluyan tales conciliaciones.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una entidad cambia sus políticas contables o su uso de las exenciones contenidas en esta NIIF, explicará los cambios en cada información financiera intermedia de acuerdo con el párrafo 23 y actualizará las conciliaciones requeridas por (a)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La NIC 34 requiere que se revele cierta información mínima, que esté basada en la hipótesis de que los usuarios de los informes intermedios también tienen acceso a los estados financieros anuales más recientes. Sin embargo, la NIC 34 también requiere que una entidad revele “cualquier suceso o transacción que resulte significativo para la comprensión del periodo intermedio actual”. Por tanto, si la entidad que adopta por primera vez las NIIF no reveló, en sus estados financieros anuales más recientes, preparados conforme a los PCGA anteriores, información significativa para la comprensión del periodo intermedio actual, lo hará dentro de la información financiera intermedia, o bien incluirá en la misma una referencia a otro documento publicado que la contenga.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Una entidad aplicará esta NIIF si sus primeros estados financieros conforme a las NIIF corresponden a un periodo que comience a partir del 1 de julio de 2009.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35 Una entidad aplicará las modificaciones de los párrafos D1(n) y D23 en los periodos anuales que comiencen a partir del 1 de julio de 2009. Si una entidad aplicase la NIC 23 </w:t>
      </w:r>
      <w:r w:rsidRPr="00401DFF">
        <w:rPr>
          <w:rFonts w:ascii="Times New Roman" w:eastAsia="Times New Roman" w:hAnsi="Times New Roman" w:cs="Times New Roman"/>
          <w:i/>
          <w:iCs/>
          <w:sz w:val="24"/>
          <w:szCs w:val="24"/>
          <w:lang w:eastAsia="es-CO"/>
        </w:rPr>
        <w:t>Costos por Préstamos</w:t>
      </w:r>
      <w:r w:rsidRPr="00401DFF">
        <w:rPr>
          <w:rFonts w:ascii="Times New Roman" w:eastAsia="Times New Roman" w:hAnsi="Times New Roman" w:cs="Times New Roman"/>
          <w:sz w:val="24"/>
          <w:szCs w:val="24"/>
          <w:lang w:eastAsia="es-CO"/>
        </w:rPr>
        <w:t xml:space="preserve"> (revisada en 2007) en periodos anteriores, esas modificaciones se aplicarán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36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(revisada en 2008) modificó los párrafos 19, C1, C4(f) y (g). Si una entidad aplicase la NIIF 3 (revisada en 2008) a un periodo anterior, las modificaciones se aplicarán también 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37 La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(modificada en 2008) modificó los párrafos B1 y B7. Si la entidad aplicase la NIC 27 (modificada en 2008) a periodos anteriores, las modificaciones deberán aplicarse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38 El documento </w:t>
      </w:r>
      <w:r w:rsidRPr="00401DFF">
        <w:rPr>
          <w:rFonts w:ascii="Times New Roman" w:eastAsia="Times New Roman" w:hAnsi="Times New Roman" w:cs="Times New Roman"/>
          <w:i/>
          <w:iCs/>
          <w:sz w:val="24"/>
          <w:szCs w:val="24"/>
          <w:lang w:eastAsia="es-CO"/>
        </w:rPr>
        <w:t>Costo de una Inversión en una Subsidiaria, Entidad Controlada de Forma Conjunta o Asociada</w:t>
      </w:r>
      <w:r w:rsidRPr="00401DFF">
        <w:rPr>
          <w:rFonts w:ascii="Times New Roman" w:eastAsia="Times New Roman" w:hAnsi="Times New Roman" w:cs="Times New Roman"/>
          <w:sz w:val="24"/>
          <w:szCs w:val="24"/>
          <w:lang w:eastAsia="es-CO"/>
        </w:rPr>
        <w:t xml:space="preserve"> (Modificaciones a la NIIF 1 y NIC 27), emitido en mayo de 2008, añadió los párrafos 31, D1(g), D14 y D15. La entidad aplicará esos párrafos a periodos anuales que comiencen a partir del 1 de julio de 2009. Se permite su aplicación anticipada. Si la entidad aplicase los párrafos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 El párrafo B7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2008. Una entidad aplicará esas modificaciones a periodos anuales que comiencen a partir del 1 de julio de 2009. Si la entidad aplicase la NIC 27 (modificada en 2008) a periodos anteriores, las modificaciones deberán aplicarse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39A </w:t>
      </w:r>
      <w:r w:rsidRPr="00401DFF">
        <w:rPr>
          <w:rFonts w:ascii="Times New Roman" w:eastAsia="Times New Roman" w:hAnsi="Times New Roman" w:cs="Times New Roman"/>
          <w:i/>
          <w:iCs/>
          <w:sz w:val="24"/>
          <w:szCs w:val="24"/>
          <w:lang w:eastAsia="es-CO"/>
        </w:rPr>
        <w:t xml:space="preserve">Exenciones Adicionales para Entidades que Adoptan por Primera vez las NIIF </w:t>
      </w:r>
      <w:r w:rsidRPr="00401DFF">
        <w:rPr>
          <w:rFonts w:ascii="Times New Roman" w:eastAsia="Times New Roman" w:hAnsi="Times New Roman" w:cs="Times New Roman"/>
          <w:sz w:val="24"/>
          <w:szCs w:val="24"/>
          <w:lang w:eastAsia="es-CO"/>
        </w:rPr>
        <w:t>(Modificaciones a la NIIF 1) emitido en julio de 2009, añadió los párrafos 31A, D8A, D9A y D21A y modificó el párrafo D1(c), (d) y (l). Una entidad aplicará esas modificaciones a periodos anuales que comiencen a partir del 1 de enero de 2010. Se permite su aplicación anticipada. Si una entidad aplicase las modificaciones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39C La CINIIF 19 </w:t>
      </w:r>
      <w:r w:rsidRPr="00401DFF">
        <w:rPr>
          <w:rFonts w:ascii="Times New Roman" w:eastAsia="Times New Roman" w:hAnsi="Times New Roman" w:cs="Times New Roman"/>
          <w:i/>
          <w:iCs/>
          <w:sz w:val="24"/>
          <w:szCs w:val="24"/>
          <w:lang w:eastAsia="es-CO"/>
        </w:rPr>
        <w:t xml:space="preserve">Cancelación de Pasivos Financieros con Instrumentos de Patrimonio </w:t>
      </w:r>
      <w:r w:rsidRPr="00401DFF">
        <w:rPr>
          <w:rFonts w:ascii="Times New Roman" w:eastAsia="Times New Roman" w:hAnsi="Times New Roman" w:cs="Times New Roman"/>
          <w:sz w:val="24"/>
          <w:szCs w:val="24"/>
          <w:lang w:eastAsia="es-CO"/>
        </w:rPr>
        <w:t>añadió el párrafo D25. Una entidad aplicará esa modificación cuando aplique la CINIIF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39D </w:t>
      </w:r>
      <w:r w:rsidRPr="00401DFF">
        <w:rPr>
          <w:rFonts w:ascii="Times New Roman" w:eastAsia="Times New Roman" w:hAnsi="Times New Roman" w:cs="Times New Roman"/>
          <w:i/>
          <w:iCs/>
          <w:sz w:val="24"/>
          <w:szCs w:val="24"/>
          <w:lang w:eastAsia="es-CO"/>
        </w:rPr>
        <w:t xml:space="preserve">Exención Limitada de la Información a Revelar Comparativa de la NIIF 7 para Entidades que Adoptan por Primera vez las NIIF </w:t>
      </w:r>
      <w:r w:rsidRPr="00401DFF">
        <w:rPr>
          <w:rFonts w:ascii="Times New Roman" w:eastAsia="Times New Roman" w:hAnsi="Times New Roman" w:cs="Times New Roman"/>
          <w:sz w:val="24"/>
          <w:szCs w:val="24"/>
          <w:lang w:eastAsia="es-CO"/>
        </w:rPr>
        <w:t>(Modificación a la NIIF 1) emitido en enero de 2010, añadió el párrafo E3. Una entidad aplicará esa modificación para los periodos anuales que comiencen a partir del 1 de julio de 2010. Se permite su aplicación anticipada. Si una entidad aplicase la modificación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añadió los párrafos 27A, 31B y D8B y modificó los párrafos 27, 32, D1(c) y D8. Una entidad aplicará esas modificaciones a periodos anuales que comiencen a partir del 1 de enero de 2011. Se permite su aplicación anticipada. Si una entidad aplicase las modificaciones en un periodo que comience con anterioridad, revelará este hecho. A las entidades que adoptaron las NIIF en periodos anteriores a la fecha de vigencia de la NIIF 1 o aplicaron la NIIF 1 en un periodo anterior se les permite aplicar retroactivamente la modificación al párrafo D8 en el primer periodo anual después de que sea efectiva la modificación. Una entidad que aplique el párrafo D8 retroactivamente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39F </w:t>
      </w:r>
      <w:r w:rsidRPr="00401DFF">
        <w:rPr>
          <w:rFonts w:ascii="Times New Roman" w:eastAsia="Times New Roman" w:hAnsi="Times New Roman" w:cs="Times New Roman"/>
          <w:i/>
          <w:iCs/>
          <w:sz w:val="24"/>
          <w:szCs w:val="24"/>
          <w:lang w:eastAsia="es-CO"/>
        </w:rPr>
        <w:t>Información a Revelar–Transferencias de Activos Financieros</w:t>
      </w:r>
      <w:r w:rsidRPr="00401DFF">
        <w:rPr>
          <w:rFonts w:ascii="Times New Roman" w:eastAsia="Times New Roman" w:hAnsi="Times New Roman" w:cs="Times New Roman"/>
          <w:sz w:val="24"/>
          <w:szCs w:val="24"/>
          <w:lang w:eastAsia="es-CO"/>
        </w:rPr>
        <w:t xml:space="preserve"> (Modificaciones a la NIIF 7), emitido en octubre de 2010, añadió el párrafo E4. Una entidad aplicará esa modificación para los periodos anuales que comiencen a partir del 1 de julio de 2011. Se permite su aplicación anticipada. Si una entidad aplicase la modificación en un periodo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39G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 modificó los párrafos 29, B1 a B5, D1(j), D14, D15, D19 y D20, añadió los párrafos 29A, B8, B9, D19A a D19D, E1 y E2 y eliminó el párrafo 39B.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39H </w:t>
      </w:r>
      <w:r w:rsidRPr="00401DFF">
        <w:rPr>
          <w:rFonts w:ascii="Times New Roman" w:eastAsia="Times New Roman" w:hAnsi="Times New Roman" w:cs="Times New Roman"/>
          <w:i/>
          <w:iCs/>
          <w:sz w:val="24"/>
          <w:szCs w:val="24"/>
          <w:lang w:eastAsia="es-CO"/>
        </w:rPr>
        <w:t>Hiperinflación Grave y Eliminación de las Fechas Fijadas para Entidades que Adoptan por Primera vez las NIIF</w:t>
      </w:r>
      <w:r w:rsidRPr="00401DFF">
        <w:rPr>
          <w:rFonts w:ascii="Times New Roman" w:eastAsia="Times New Roman" w:hAnsi="Times New Roman" w:cs="Times New Roman"/>
          <w:sz w:val="24"/>
          <w:szCs w:val="24"/>
          <w:lang w:eastAsia="es-CO"/>
        </w:rPr>
        <w:t xml:space="preserve"> (Modificaciones a la NIIF 1) emitido en diciembre de 2010, modificó los párrafos B2, D1 y D20 y añadió los párrafos 31C y D26 a D30. Una entidad aplicará esas modificaciones a periodos anuales que comiencen a partir del 1 de julio de 2011.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39I Las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 xml:space="preserve">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los párrafos 31, B7, C1, D1, D14 y D15 y añadieron el párrafo D31.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39J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eliminó el párrafo 19, modificó la definición de valor razonable del Apéndice A y modificó los párrafos D15 y D20.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39K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21.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39L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(modificada en junio de 2011) modificó el párrafo D1, eliminó los párrafos D10 y D11 y añadió el párrafo E5. Una entidad aplicará esas modificaciones cuando aplique la NIC 19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39M La CINIIF 20 </w:t>
      </w:r>
      <w:r w:rsidRPr="00401DFF">
        <w:rPr>
          <w:rFonts w:ascii="Times New Roman" w:eastAsia="Times New Roman" w:hAnsi="Times New Roman" w:cs="Times New Roman"/>
          <w:i/>
          <w:iCs/>
          <w:sz w:val="24"/>
          <w:szCs w:val="24"/>
          <w:lang w:eastAsia="es-CO"/>
        </w:rPr>
        <w:t>Costos de Desmonte en la Fase de Producción de una Mina a Cielo Abierto</w:t>
      </w:r>
      <w:r w:rsidRPr="00401DFF">
        <w:rPr>
          <w:rFonts w:ascii="Times New Roman" w:eastAsia="Times New Roman" w:hAnsi="Times New Roman" w:cs="Times New Roman"/>
          <w:sz w:val="24"/>
          <w:szCs w:val="24"/>
          <w:lang w:eastAsia="es-CO"/>
        </w:rPr>
        <w:t xml:space="preserve"> añadió el párrafo D32 y modificó el párrafo D1. Una entidad aplicará esa modificación cuando aplique la CINIIF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1 (emitida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Esta NIIF reemplaza a la NIIF 1 (emitida en 2003 y modificada en mayo de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030"/>
        <w:gridCol w:w="4898"/>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atribuido (deemed cost)</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importe usado como sustituto del costo o del costo depreciado en una fecha determinada. En la depreciación o amortización posterior se supone que la entidad había reconocido inicialmente el </w:t>
            </w:r>
            <w:r w:rsidRPr="00401DFF">
              <w:rPr>
                <w:rFonts w:ascii="Times New Roman" w:eastAsia="Times New Roman" w:hAnsi="Times New Roman" w:cs="Times New Roman"/>
                <w:sz w:val="24"/>
                <w:szCs w:val="24"/>
                <w:lang w:eastAsia="es-CO"/>
              </w:rPr>
              <w:lastRenderedPageBreak/>
              <w:t>activo o pasivo en la fecha determinada, y que este costo era equivalente al costo atribuido.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entidad que adopta por primera vez las NIIF (o adoptante por primera vez) (first-time adopter)</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entidad que presenta sus </w:t>
            </w:r>
            <w:r w:rsidRPr="00401DFF">
              <w:rPr>
                <w:rFonts w:ascii="Times New Roman" w:eastAsia="Times New Roman" w:hAnsi="Times New Roman" w:cs="Times New Roman"/>
                <w:b/>
                <w:bCs/>
                <w:sz w:val="24"/>
                <w:szCs w:val="24"/>
                <w:lang w:eastAsia="es-CO"/>
              </w:rPr>
              <w:t>primeros estados financieros conforme a las NIIF.</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 de apertura conforme a las NIIF (opening IFRS statement of financial position)</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estado de situación financiera de una entidad en la </w:t>
            </w:r>
            <w:r w:rsidRPr="00401DFF">
              <w:rPr>
                <w:rFonts w:ascii="Times New Roman" w:eastAsia="Times New Roman" w:hAnsi="Times New Roman" w:cs="Times New Roman"/>
                <w:b/>
                <w:bCs/>
                <w:sz w:val="24"/>
                <w:szCs w:val="24"/>
                <w:lang w:eastAsia="es-CO"/>
              </w:rPr>
              <w:t>fecha de transición a las NIIF.</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transición a las NIIF (date of transition to IFRSs)</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comienzo del primer periodo para el que una entidad presenta información comparativa completa conforme a las NIIF, en sus </w:t>
            </w:r>
            <w:r w:rsidRPr="00401DFF">
              <w:rPr>
                <w:rFonts w:ascii="Times New Roman" w:eastAsia="Times New Roman" w:hAnsi="Times New Roman" w:cs="Times New Roman"/>
                <w:b/>
                <w:bCs/>
                <w:sz w:val="24"/>
                <w:szCs w:val="24"/>
                <w:lang w:eastAsia="es-CO"/>
              </w:rPr>
              <w:t>primeros estados financieros presentados conforme a las NIIF.</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Normas Internacionales de Información Financiera (NIIF) [International Financial Reporting Standards (IFRSs)]</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Normas e Interpretaciones emitidas por el Consejo de Normas Internacionales de Contabilidad (IASB). Esas Normas comprenden:</w:t>
            </w:r>
            <w:r w:rsidRPr="00401DFF">
              <w:rPr>
                <w:rFonts w:ascii="Times New Roman" w:eastAsia="Times New Roman" w:hAnsi="Times New Roman" w:cs="Times New Roman"/>
                <w:sz w:val="24"/>
                <w:szCs w:val="24"/>
                <w:lang w:eastAsia="es-CO"/>
              </w:rPr>
              <w:br/>
              <w:t>(a) Normas Internacionales de Información Financiera;</w:t>
            </w:r>
            <w:r w:rsidRPr="00401DFF">
              <w:rPr>
                <w:rFonts w:ascii="Times New Roman" w:eastAsia="Times New Roman" w:hAnsi="Times New Roman" w:cs="Times New Roman"/>
                <w:sz w:val="24"/>
                <w:szCs w:val="24"/>
                <w:lang w:eastAsia="es-CO"/>
              </w:rPr>
              <w:br/>
              <w:t>(b) las Normas Internacionales de Contabilidad;</w:t>
            </w:r>
            <w:r w:rsidRPr="00401DFF">
              <w:rPr>
                <w:rFonts w:ascii="Times New Roman" w:eastAsia="Times New Roman" w:hAnsi="Times New Roman" w:cs="Times New Roman"/>
                <w:sz w:val="24"/>
                <w:szCs w:val="24"/>
                <w:lang w:eastAsia="es-CO"/>
              </w:rPr>
              <w:br/>
              <w:t>(c) Interpretaciones CINIIF; y</w:t>
            </w:r>
            <w:r w:rsidRPr="00401DFF">
              <w:rPr>
                <w:rFonts w:ascii="Times New Roman" w:eastAsia="Times New Roman" w:hAnsi="Times New Roman" w:cs="Times New Roman"/>
                <w:sz w:val="24"/>
                <w:szCs w:val="24"/>
                <w:lang w:eastAsia="es-CO"/>
              </w:rPr>
              <w:br/>
              <w:t>(d) Interpretaciones del SIC</w:t>
            </w:r>
            <w:hyperlink r:id="rId70" w:anchor="bf1165f1e636a3f4e1a8b53db15d92ced99nf9" w:tgtFrame="_self" w:history="1">
              <w:r w:rsidRPr="00401DFF">
                <w:rPr>
                  <w:rFonts w:ascii="Times New Roman" w:eastAsia="Times New Roman" w:hAnsi="Times New Roman" w:cs="Times New Roman"/>
                  <w:color w:val="0000FF"/>
                  <w:sz w:val="20"/>
                  <w:szCs w:val="20"/>
                  <w:u w:val="single"/>
                  <w:vertAlign w:val="superscript"/>
                  <w:lang w:eastAsia="es-CO"/>
                </w:rPr>
                <w:t>(66)</w:t>
              </w:r>
            </w:hyperlink>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PCGA anteriores (previous GAAP)</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Las bases de contabilización que la </w:t>
            </w:r>
            <w:r w:rsidRPr="00401DFF">
              <w:rPr>
                <w:rFonts w:ascii="Times New Roman" w:eastAsia="Times New Roman" w:hAnsi="Times New Roman" w:cs="Times New Roman"/>
                <w:b/>
                <w:bCs/>
                <w:sz w:val="24"/>
                <w:szCs w:val="24"/>
                <w:lang w:eastAsia="es-CO"/>
              </w:rPr>
              <w:t>entidad que adopta por primera vez las NIIF,</w:t>
            </w:r>
            <w:r w:rsidRPr="00401DFF">
              <w:rPr>
                <w:rFonts w:ascii="Times New Roman" w:eastAsia="Times New Roman" w:hAnsi="Times New Roman" w:cs="Times New Roman"/>
                <w:sz w:val="24"/>
                <w:szCs w:val="24"/>
                <w:lang w:eastAsia="es-CO"/>
              </w:rPr>
              <w:t xml:space="preserve"> utilizaba inmediatamente antes de aplicar las NIIF.</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primer periodo sobre el que se informa conforme a las NIIF (first IFRS reporting period)</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periodo más reciente sobre el que se informa más reciente cubierto por los </w:t>
            </w:r>
            <w:r w:rsidRPr="00401DFF">
              <w:rPr>
                <w:rFonts w:ascii="Times New Roman" w:eastAsia="Times New Roman" w:hAnsi="Times New Roman" w:cs="Times New Roman"/>
                <w:b/>
                <w:bCs/>
                <w:sz w:val="24"/>
                <w:szCs w:val="24"/>
                <w:lang w:eastAsia="es-CO"/>
              </w:rPr>
              <w:t>primeros estados financieros conforme a las NIIF</w:t>
            </w:r>
            <w:r w:rsidRPr="00401DFF">
              <w:rPr>
                <w:rFonts w:ascii="Times New Roman" w:eastAsia="Times New Roman" w:hAnsi="Times New Roman" w:cs="Times New Roman"/>
                <w:sz w:val="24"/>
                <w:szCs w:val="24"/>
                <w:lang w:eastAsia="es-CO"/>
              </w:rPr>
              <w:t xml:space="preserve"> de una entidad.</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Primeros estados conforme a las NIIF (first IFRS financial statements)</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primeros estados financieros anuales en los cuales una entidad adopta las </w:t>
            </w:r>
            <w:r w:rsidRPr="00401DFF">
              <w:rPr>
                <w:rFonts w:ascii="Times New Roman" w:eastAsia="Times New Roman" w:hAnsi="Times New Roman" w:cs="Times New Roman"/>
                <w:b/>
                <w:bCs/>
                <w:sz w:val="24"/>
                <w:szCs w:val="24"/>
                <w:lang w:eastAsia="es-CO"/>
              </w:rPr>
              <w:t>Normas Internacionales de Información Financiera (NIIF),</w:t>
            </w:r>
            <w:r w:rsidRPr="00401DFF">
              <w:rPr>
                <w:rFonts w:ascii="Times New Roman" w:eastAsia="Times New Roman" w:hAnsi="Times New Roman" w:cs="Times New Roman"/>
                <w:sz w:val="24"/>
                <w:szCs w:val="24"/>
                <w:lang w:eastAsia="es-CO"/>
              </w:rPr>
              <w:t xml:space="preserve"> mediante una declaración, explícita y sin reservas, de cumplimiento con las NIIF.</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w:t>
            </w:r>
          </w:p>
        </w:tc>
        <w:tc>
          <w:tcPr>
            <w:tcW w:w="55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Valor razonable </w:t>
            </w:r>
            <w:r w:rsidRPr="00401DFF">
              <w:rPr>
                <w:rFonts w:ascii="Times New Roman" w:eastAsia="Times New Roman" w:hAnsi="Times New Roman" w:cs="Times New Roman"/>
                <w:sz w:val="24"/>
                <w:szCs w:val="24"/>
                <w:lang w:eastAsia="es-CO"/>
              </w:rPr>
              <w:t>es el precio que se recibiría por vender un activo o que se pagaría por transferir un pasivo en una transacción ordenada entre participantes de mercado en la fecha de la medición. (Véase la NIIF 13).</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Excepciones a la aplicación retroactiva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 Una entidad aplicará las siguientes excepciones: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baja en cuentas de activos financieros y pasivos financieros (párrafo B2 y B3);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contabilidad de coberturas (párrafos B4 a B6);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participaciones no controladoras (párrafo B7);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clasificación y medición de activos financieros (párrafo B8);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derivados implícitos (párrafo B9).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Baja en cuentas de activos financieros y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Excepto por lo permitido en el párrafo B3, una entidad que adopta por primera vez las NIIF aplicará los requerimientos de baja en cuentas de la NIIF 9 de forma prospectiva, para las transacciones que tengan lugar a partir de la fecha de transición a las NIIF. Por ejemplo, si una entidad que adopta por primera vez las NIIF diese de baja en cuentas activos financieros que no sean derivados o pasivos financieros que no sean derivados de acuerdo con sus PCGA anteriores, como resultado de una transacción que tuvo lugar antes de la fecha de transición a las NIIF no reconocerá esos activos y pasivos de acuerdo con las NIIF (a menos que cumplan los requisitos para su reconocimiento como consecuencia de una transacción o suceso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Con independencia de lo establecido en el párrafo B2, una entidad podrá aplicar los requerimientos de baja en cuentas de la NIIF 9 de forma retroactiva desde una fecha a elección de la entidad, siempre que la información necesaria para aplicar la NIIF 9 a activos financieros y pasivos financieros dados de baja en cuentas como resultado de transacciones pasadas, se obtuviese en el momento del reconocimiento inicial de esas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En la fecha de transición a las NIIF, según requiere la NIIF 9,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medirá todos los derivados a su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eliminará todas las pérdidas y ganancias diferidas, procedentes de derivados, que hubiera registrado según los PCGA anteriores como si fueran activos o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 En su estado de situación financiera de apertura conforme a las NIIF, una entidad no reflejará una relación de cobertura de un tipo que no cumpla las condiciones de la contabilidad de coberturas según la NIC 39 (como sucede, por ejemplo, en muchas relaciones de cobertura donde el instrumento de cobertura es un instrumento de efectivo u opción emitida; o donde la partida cubierta es una posición neta). No obstante, si una entidad señaló una posición neta como partida cubierta, según los PCGA anteriores, podrá </w:t>
      </w:r>
      <w:r w:rsidRPr="00401DFF">
        <w:rPr>
          <w:rFonts w:ascii="Times New Roman" w:eastAsia="Times New Roman" w:hAnsi="Times New Roman" w:cs="Times New Roman"/>
          <w:sz w:val="24"/>
          <w:szCs w:val="24"/>
          <w:lang w:eastAsia="es-CO"/>
        </w:rPr>
        <w:lastRenderedPageBreak/>
        <w:t>designar una partida individual dentro de tal posición neta como partida cubierta según las NIIF, siempre que no lo haga después 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Si, antes de la fecha de transición a las NIIF, una entidad hubiese designado una transacción como de cobertura, pero ésta no cumpliese con las condiciones para la contabilidad de coberturas establecidas en la NIC 39, la entidad aplicará lo dispuesto en los párrafos 91 y 101 de la NIC 39 para discontinuar la contabilidad de cobertura relacionada con la misma. Las transacciones realizadas antes de la fecha de transición a las NIIF no se designarán de forma retroactiva como coberturas.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Una entidad que adopta por primera vez las NIIF aplicará los siguientes requerimientos de la NIIF 10 de forma prospectiva desde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requerimiento del párrafo B94 de que el resultado integral total se atribuya a los propietarios de la controladora y a las participaciones no controladoras, incluso si esto diese lugar a un saldo deudor de estas últimas;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requerimientos de los párrafos 23 y B93 para la contabilización de los cambios en la participación de la controladora en la propiedad de una subsidiaria que no den lugar a una pérdida de control;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requerimientos de los párrafos B97 a B99 para la contabilización de una pérdida de control sobre una subsidiaria, y los requerimientos relacionados del párrafo 8A de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Sin embargo, si una entidad que adopta por primera vez las NIIF elige aplicar la NIIF 3 de forma retroactiva a combinaciones de negocios pasadas, aplicarán también la NIIF 10 de acuerdo con el párrafo C1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y medición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entidad evaluará si un activo financiero cumple las condiciones del párrafo 4.1.2 de la NIIF 9 sobre la base de los hechos y circunstancias que existan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entidad que adopta por primera vez las NIIF evaluará si se requiere que un derivado implícito se separe de su contrato anfitrión y se contabilice como un derivado basándose en las condiciones existentes en la fecha en que la entidad se convirtió, por primera vez, en parte del contrato o en la fecha en que se requiera una nueva evaluación según el párrafo B4.3.11 de la NIIF 9, si ésta fuese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Exenciones referidas a las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 Una entidad aplicará los siguientes requerimientos a las combinaciones de negocios que haya reconocido antes 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 Una entidad que adopte por primera vez las NIIF puede optar por no aplicar de forma retroactiva la NIIF 3 a las combinaciones de negocios realizadas en el pasado (combinaciones de negocios anteriores a la fecha de transición a las NIIF). Sin embargo, si la entidad que adopta por primera vez las NIIF reexpresase cualquier combinación de negocios para cumplir con la NIIF 3, reexpresará todas las combinaciones de negocios posteriores y aplicará también la NIIF 10 desde esa misma fecha. Por ejemplo, si una entidad que adopta por primera vez las NIIF opta por reexpresar una combinación de negocios que tuvo lugar el 30 de junio de 20X6, reexpresará todas las combinaciones de negocios que tuvieron lugar entre el 30 de junio de 20X6 y la fecha de transición a las NIIF, y aplicará también la NIIF 10 desde el 30 de junio de 20X6.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C2 Una entidad no necesitará aplicar de forma retroactiva la NIC 21 </w:t>
      </w:r>
      <w:r w:rsidRPr="00401DFF">
        <w:rPr>
          <w:rFonts w:ascii="Times New Roman" w:eastAsia="Times New Roman" w:hAnsi="Times New Roman" w:cs="Times New Roman"/>
          <w:i/>
          <w:iCs/>
          <w:sz w:val="24"/>
          <w:szCs w:val="24"/>
          <w:lang w:eastAsia="es-CO"/>
        </w:rPr>
        <w:t>Efectos de las Variaciones en las Tasas de Cambio de la Moneda Extranjera</w:t>
      </w:r>
      <w:r w:rsidRPr="00401DFF">
        <w:rPr>
          <w:rFonts w:ascii="Times New Roman" w:eastAsia="Times New Roman" w:hAnsi="Times New Roman" w:cs="Times New Roman"/>
          <w:sz w:val="24"/>
          <w:szCs w:val="24"/>
          <w:lang w:eastAsia="es-CO"/>
        </w:rPr>
        <w:t xml:space="preserve"> a los ajustes al valor razonable ni a la plusvalía que hayan surgido en las combinaciones de negocios ocurridas antes de la fecha de transición a las NIIF. Si la entidad no aplicase, de forma retroactiva, la NIC 21 a esos ajustes al valor razonable ni a la plusvalía, los considerará como activos y pasivos de la entidad, y no como activos y pasivos de la adquirida. Por tanto, estos ajustes al valor razonable y a la plusvalía, o bien se encuentran ya expresados en la moneda funcional de la entidad, o bien son partidas no monetarias en moneda extranjera, que se registran utilizando el tipo de cambio aplicado según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C3 Una entidad puede aplicar la NIC 21 de forma retroactiva a los ajustes al valor razonable y a la plusvalía que surjan: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todas las combinaciones de negocios que hayan ocurrido antes de la fecha de transición a las NIIF;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todas las combinaciones de negocios que la entidad haya escogido reexpresar, para cumplir con la NIIF 3, tal como permite el párrafo C1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C4 Si una entidad que adopta por primera vez las NIIF no aplica la NIIF 3 de forma retroactiva a una combinación de negocios anterior, este hecho tendrá las siguientes consecuencias para esa combinación: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que adopta por primera vez las NIIF, conservará la misma clasificación (como una adquisición por parte de la adquirente legal, como una adquisición inversa por parte de la entidad legalmente adquirida o como una unificación de intereses) que tenía en sus estados financieros elaborados conforme a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entidad que adopta por primera vez las NIIF reconocerá todos sus activos y pasivos en la fecha de transición a las NIIF, que hubieran sido adquiridos o asumidos en una combinación de negocios pasada, que sean diferentes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algunos activos financieros y pasivos financieros que se dieron de baja según los PCGA anteriores (véase el párrafo B2);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activos, incluyendo la plusvalía, y los pasivos que no fueron reconocidos en el estado consolidado de situación financiera de la adquirente de acuerdo con los PCGA anteriores y que tampoco cumplirían las condiciones para su reconocimiento de acuerdo las NIIF en el estado de situación financiera separado de la adquirida (véanse los apartados (f) a (i) más adelante).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que adopta por primera vez las NIIF reconocerá cualquier cambio resultante, ajustando las ganancias acumuladas (o, si fuera apropiado, otra categoría del patrimonio), a menos que tal cambio proceda del reconocimiento de un activo intangible que estaba previamente incluido en la plusvalía (véase el punto (i) del apartado (g)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entidad que adopta por primera vez las NIIF excluirá de su estado de situación financiera de apertura conforme a las NIIF todas las partidas, reconocidas según los PCGA anteriores, que no cumplan las condiciones para su reconocimiento como activos y pasivos según las NIIF. La entidad que adopta por primera vez las NIIF contabilizará los cambios resultantes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La entidad que adopta por primera vez las NIIF pudo, en el pasado, haber clasificado una combinación de negocios como una adquisición, y pudo haber reconocido como activo intangible alguna partida que no cumpliera las condiciones para su reconocimiento como activo según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Deberá reclasificar esta partida (y, si fuera el caso, las participaciones no controladoras y los impuestos diferidos correspondientes) como parte de la plusvalía (a menos que hubiera deducido la plusvalía, conforme a los PCGA anteriores, directamente del patrimonio; véase el punto (i) del apartado (g) y el apartado (i)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entidad que adopta por primera vez las NIIF reconocerá en las ganancias acumuladas todos los demás cambios resultantes</w:t>
      </w:r>
      <w:hyperlink r:id="rId71" w:anchor="bf193060fff6857495a9707a4937d522e26nf9" w:tgtFrame="_self" w:history="1">
        <w:r w:rsidRPr="00401DFF">
          <w:rPr>
            <w:rFonts w:ascii="Times New Roman" w:eastAsia="Times New Roman" w:hAnsi="Times New Roman" w:cs="Times New Roman"/>
            <w:color w:val="0000FF"/>
            <w:sz w:val="20"/>
            <w:szCs w:val="20"/>
            <w:u w:val="single"/>
            <w:vertAlign w:val="superscript"/>
            <w:lang w:eastAsia="es-CO"/>
          </w:rPr>
          <w:t>(67)</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NIIF requieren una medición posterior de algunos activos y pasivos utilizando una base diferente al costo original, tal como el valor razonable. La entidad que adopta por primera vez las NIIF medirá estos activos y pasivos, en el estado de situación financiera de apertura conforme a las NIIF, utilizando esa base, incluso si las partidas fueron adquiridas o asumidas en una combinación de negocios anterior. Reconocerá cualquier cambio resultante en el importe en libros, ajustando las ganancias acumuladas (o, si fuera apropiado, otra categoría del patrimonio) en lugar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Inmediatamente después de la combinación de negocios, el importe en libros, conforme a los PCGA anteriores, de los activos adquiridos y de los pasivos asumidos en esa combinación de negocios será su costo atribuido según las NIIF en esa fecha. Si las NIIF </w:t>
      </w:r>
      <w:r w:rsidRPr="00401DFF">
        <w:rPr>
          <w:rFonts w:ascii="Times New Roman" w:eastAsia="Times New Roman" w:hAnsi="Times New Roman" w:cs="Times New Roman"/>
          <w:sz w:val="24"/>
          <w:szCs w:val="24"/>
          <w:lang w:eastAsia="es-CO"/>
        </w:rPr>
        <w:lastRenderedPageBreak/>
        <w:t>requieren, en una fecha posterior, una medición basada en el costo de estos activos y pasivos, este costo atribuido será la base para la depreciación o amortización basadas en el costo, a partir de la fecha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Si un activo adquirido, o un pasivo asumido, en una combinación de negocios anterior no se reconoció según los PCGA anteriores, no tendrá un costo atribuido nulo en el estado de situación financiera de apertura conforme a las NIIF. En su lugar, la adquirente lo reconocerá y medirá, en su estado de situación financiera consolidado, utilizando la base que hubiera sido requerida de acuerdo con las NIIF en el estado de situación financiera de la adquirida. Por ejemplo: si la adquirente no tiene, según sus PCGA anteriores, capitalizados los arrendamientos financieros adquiridos en una combinación de negocios anterior, los capitalizará, en sus estados financieros consolidados, tal como la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 xml:space="preserve">hubiera requerido hacerlo a la adquirida en su estado de situación financiera conforme a las NIIF. De forma similar, si la adquirente no tenía reconocido, según PCGA anteriores, un pasivo contingente que existe todavía en la fecha de transición a las NIIF, la adquirente reconocerá ese pasivo contingente en esa fecha a menos que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prohibiera su reconocimiento en los estados financieros de la adquirida. Por el contrario, si un activo o pasivo quedó incluido, según los PCGA anteriores, en la plusvalía, pero se hubiera reconocido por separado de haber aplicado la NIIF 3, ese activo o pasivo permanecerá en la plusvalía, a menos que las NIIF requiriesen reconocerlo en los estados financieros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El importe en libros de la plusvalía en el estado de situación financiera de apertura conforme a las NIIF, será su importe en libros en la fecha de transición a las NIIF según los PCGA anteriores, tras realizar los dos ajustes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fuera requerido por el punto (i) del apartado (c) anterior, la entidad que adopta por primera vez las NIIF incrementará el importe en libros de la plusvalía cuando proceda a reclasificar una partida que reconoció como activo intangible según los PCGA anteriores. De forma similar, si el apartado (f) anterior requiere que la entidad que adopta por primera vez las NIIF reconozca un activo intangible que quedó incluido en la plusvalía reconocida según los PCGA anteriores, procederá a reducir en consecuencia el importe en libros de la plusvalía (y, si fuera el caso, a ajustar las participaciones no controladoras y los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Con independencia de si existe alguna indicación de deterioro del valor de la plusvalía, la entidad que adopta por primera vez las NIIF aplicará la NIC 36 para comprobar, en la fecha de transición a las NIIF, si la plusvalía ha sufrido algún deterioro de su valor, y para reconocer, en su caso, la pérdida por deterioro resultante, mediante un ajuste a las ganancias acumuladas (o, si así lo exigiera la NIC 36, en el superávit por revaluación). La comprobación del deterioro se basará en las condiciones existentes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No se practicará, en la fecha de transición a las NIIF, ningún otro ajuste en el importe en libros de la plusvalía. Por ejemplo, la entidad que adopta por primera vez las NIIF no reexpresará el importe en libros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para excluir una partida de investigación y desarrollo en proceso adquirida en esa combinación de negocios (a menos que el activo intangible correspondiente cumpliera las condiciones para su reconocimiento, según la NIC 38, en el estado de situación financiera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para ajustar la amortización de la plusvalía realizada con anterioridad;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para revertir ajustes de la plusvalía no permitidos por la NIIF 3, pero practicados según los PCGA anteriores, que procedan de ajustes a los activos y pasivos entre la fecha de la combinación de negocios y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de acuerdo con PCGA anteriores, una entidad que adopta por primera vez las NIIF reconoció la plusvalía como una reducción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No reconocerá esa plusvalía en su estado de situación financiera de apertura conforme a NIIF. Además, no reclasificará esta plusvalía al resultado del periodo si dispone de la subsidiaria, o si la inversión en ésta sufriera un 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ajustes que se deriven de la resolución posterior de una contingencia, que afectase a la contraprestación de la compra, se reconocerán en las ganancias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La entidad que adopta por primera vez las NIIF, siguiendo sus PCGA anteriores, pudo no haber consolidado una subsidiaria adquirida en una combinación de negocios anterior (por ejemplo porque la controladora no la considerase, según esos PCGA, como subsidiaria, o porque no preparaba estados financieros consolidados). La entidad que adopta por primera vez las NIIF ajustará el importe en libros de los activos y pasivos de la subsidiaria, para obtener los importes que las NIIF habrían requerido en el estado de situación financiera de la subsidiaria. El costo atribuido de la plusvalía será igual a la diferencia, en la fecha de transición a las NIIF,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participación de la controladora en tales importes en libros, una vez ajustados;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costo, en los estados financieros separados de la controladora, de su inversión en la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(k) La medición de la participación no controladora y de los impuestos diferidos se deriva de la medición de otros activos y pasivos. Por tanto, los ajustes descritos anteriormente para los activos y pasivos reconocidos afectan a las participaciones no controladoras y a los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C5 La exención referida a las combinaciones de negocios anteriores, también será aplicable a las adquisiciones anteriores de inversiones en asociadas y participaciones en negocios conjuntos. Además, la fecha seleccionada en función del párrafo C1 se aplica igualmente para todas esas adquisiciones.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Exenciones en la aplicación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 Una entidad puede optar por utilizar una o más de las exenciones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transacciones con pagos basados en acciones (párrafos D2 y D3);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contratos de seguro (párrafo D4);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costo atribuido (párrafos D5 a D8B);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arrendamientos (párrafo D9 y D9A);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diferencias de conversión acumuladas (párrafos D12 y D13);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inversiones en subsidiarias, negocios conjuntos y asociadas (párrafos D14 y D15);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activos y pasivos de subsidiarias, asociadas y negocios conjuntos (párrafos D16 y D17);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instrumentos financieros compuestos (párrafo D18);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designación de instrumentos financieros reconocidos previamente (párrafos D19 a D19D);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(k) la medición a valor razonable de activos financieros o pasivos financieros en el reconocimiento inicial (párrafo D20);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 pasivos por desmantelamiento incluidos en el costo de propiedades, planta y equipo (párrafo D21 y D21A);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(m) activos financieros o activos intangibles contabilizados de acuerdo con la CINIIF 12 </w:t>
      </w:r>
      <w:r w:rsidRPr="00401DFF">
        <w:rPr>
          <w:rFonts w:ascii="Times New Roman" w:eastAsia="Times New Roman" w:hAnsi="Times New Roman" w:cs="Times New Roman"/>
          <w:i/>
          <w:iCs/>
          <w:sz w:val="24"/>
          <w:szCs w:val="24"/>
          <w:lang w:eastAsia="es-CO"/>
        </w:rPr>
        <w:t>Acuerdos de Concesión de Servicios</w:t>
      </w:r>
      <w:r w:rsidRPr="00401DFF">
        <w:rPr>
          <w:rFonts w:ascii="Times New Roman" w:eastAsia="Times New Roman" w:hAnsi="Times New Roman" w:cs="Times New Roman"/>
          <w:sz w:val="24"/>
          <w:szCs w:val="24"/>
          <w:lang w:eastAsia="es-CO"/>
        </w:rPr>
        <w:t xml:space="preserve"> (párrafo D22);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 costos por préstamos (párrafo D23);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 transferencias de activos procedentes de clientes (párrafo D24);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 cancelación de pasivos financieros con instrumentos de patrimonio (párrafo D25);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 hiperinflación grave (párrafos D26 a D30);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(r) acuerdos conjuntos (párrafo D31);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(s) costos de desmonte en la fase de producción de una mina a cielo abierto (párrafo D32).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no aplicará estas exenciones por analogía a otras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D2 Se recomienda, pero no se requiere, que una entidad que adopta por primera vez las NIIF aplique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xml:space="preserve"> a los instrumentos de patrimonio que fueron concedidos en o antes del 7 de noviembre de 2002. También se recomienda, pero no se requiere, que una entidad que adopta por primera vez las NIIF aplique la NIIF 2 a los instrumentos de patrimonio que fueron concedidos después del 7 de noviembre de 2002 y que son irrevocables (consolidados) antes de la fecha más tardía entre (a) la fecha de transición a las NIIF y (b) el 1 de enero de 2005. Sin embargo, si una entidad que adopta por primera vez las NIIF decidiese aplicar la NIIF 2 a esos instrumentos de patrimonio, puede hacerlo sólo si la entidad ha revelado públicamente el valor razonable de esos instrumentos de patrimonio, determinado en la fecha de medición, según se define en la NIIF 2. Para todas las concesiones de instrumentos de patrimonio a los que no se haya aplicado la NIIF 2 (por ejemplo instrumentos de patrimonio concedidos en o antes del 7 de noviembre de 2002), una entidad que adopta por primera vez las NIIF revelará, no obstante, la información requerida en los párrafos 44 y 45 de la NIIF 2. Si una entidad que adopta por primera vez las NIIF modificase los términos o condiciones de una concesión de instrumentos de patrimonio a los que no se ha aplicado la NIIF 2, la entidad no estará obligada a aplicar los párrafos 26 a 29 de la NIIF 2 si la modificación hubiera tenido lugar antes 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D3 Se recomienda, pero no se requiere, que una entidad que adopta por primera vez las NIIF, aplique la NIIF 2 a los pasivos surgidos de transacciones con pagos basados en acciones que fueran liquidados antes de la fecha de transición a las NIIF. También se recomienda, pero no se requiere, que una entidad que adopta por primera vez las NIIF aplique la NIIF 2 a los pasivos que fueron liquidados antes del 1 de enero de 2005. En el caso de los pasivos a los que se hubiera aplicado la NIIF 2, una entidad que adopta por primera vez las NIIF no estará obligada a reexpresar la información comparativa, si dicha información está relacionada con un periodo o una fecha anterior al 7 de noviembre de 2002.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D4 Una entidad que adopta por primera vez las NIIF puede aplicar las disposiciones transitorias de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En la NIIF 4 se restringen los cambios en las políticas contables seguidas en los contratos de seguro, incluyendo los cambios que pueda hacer una entidad que adopta por primera vez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 atribuido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D5 La entidad podrá optar, en la fecha de transición a las NIIF, por la medición de una partida de propiedades, planta y equipo por su valor razonable, y utilizar este valor razonable como el costo atribuido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D6 La entidad que adopta por primera vez las NIIF podrá elegir utilizar una revaluación según PCGA anteriores de una partida de propiedades, planta y equipo, ya sea a la fecha de transición o anterior, como costo atribuido en la fecha de la revaluación, si esta fue a esa fecha sustancialmente comparable: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valor razonable;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al costo, o al costo depreciado según las NIIF, ajustado para reflejar, por ejemplo, cambios en un índice de precios general 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D7 Las opciones de los párrafos D5 y D6 podrán ser aplicadas también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propiedades de inversión, si una entidad escoge la aplicación del modelo del costo de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activos intangibles que cumplan: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criterios de reconocimiento de la NIC 38 (incluyendo la medición fiable del costo original);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criterios establecidos por la NIC 38 para la realización de revaluaciones (incluyendo la existencia de un mercado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no usará estas opciones de elección para otros activos o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D8 Una entidad que adopta por primera vez las NIIF puede haber establecido un costo atribuido, según PCGA anteriores, para algunos o para todos sus activos y pasivos, midiéndolos a su valor razonable a una fecha particular, por causa de algún suceso, tal como una privatización o una oferta pública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 la fecha de medición es la fecha de transición a las NIIF o </w:t>
      </w:r>
      <w:r w:rsidRPr="00401DFF">
        <w:rPr>
          <w:rFonts w:ascii="Times New Roman" w:eastAsia="Times New Roman" w:hAnsi="Times New Roman" w:cs="Times New Roman"/>
          <w:i/>
          <w:iCs/>
          <w:sz w:val="24"/>
          <w:szCs w:val="24"/>
          <w:lang w:eastAsia="es-CO"/>
        </w:rPr>
        <w:t xml:space="preserve">una fecha anterior </w:t>
      </w:r>
      <w:r w:rsidRPr="00401DFF">
        <w:rPr>
          <w:rFonts w:ascii="Times New Roman" w:eastAsia="Times New Roman" w:hAnsi="Times New Roman" w:cs="Times New Roman"/>
          <w:sz w:val="24"/>
          <w:szCs w:val="24"/>
          <w:lang w:eastAsia="es-CO"/>
        </w:rPr>
        <w:t>a ésta, la entidad podrá usar tales medidas del valor razonable, provocadas por el suceso en cuestión, como el costo atribuido para las NIIF a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 la fecha de medición es </w:t>
      </w:r>
      <w:r w:rsidRPr="00401DFF">
        <w:rPr>
          <w:rFonts w:ascii="Times New Roman" w:eastAsia="Times New Roman" w:hAnsi="Times New Roman" w:cs="Times New Roman"/>
          <w:i/>
          <w:iCs/>
          <w:sz w:val="24"/>
          <w:szCs w:val="24"/>
          <w:lang w:eastAsia="es-CO"/>
        </w:rPr>
        <w:t>posterior a</w:t>
      </w:r>
      <w:r w:rsidRPr="00401DFF">
        <w:rPr>
          <w:rFonts w:ascii="Times New Roman" w:eastAsia="Times New Roman" w:hAnsi="Times New Roman" w:cs="Times New Roman"/>
          <w:sz w:val="24"/>
          <w:szCs w:val="24"/>
          <w:lang w:eastAsia="es-CO"/>
        </w:rPr>
        <w:t xml:space="preserve"> la fecha de transición a las NIIF, pero durante el periodo cubierto por los primeros estados financieros conforme a las NIIF, las mediciones al valor razonable derivadas del suceso pueden utilizarse como costo atribuido cuando el suceso tenga lugar. Una entidad reconocerá los ajustes resultantes, directamente en las ganancias acumuladas (o, si fuera apropiado, en otra categoría del patrimonio) en la fecha de medición. En la fecha de transición a las NIIF, la entidad establecerá el costo atribuido mediante la aplicación de los criterios de los párrafos D5 a D7 o medirá los activos y pasivos de acuerdo con los otros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D8A Según algunos requerimientos de contabilidad nacionales los costos de exploración y desarrollo para propiedades de petróleo y gas en las fases de desarrollo o producción se contabilizan en centros de costo que incluyan todas las propiedades en una gran área </w:t>
      </w:r>
      <w:r w:rsidRPr="00401DFF">
        <w:rPr>
          <w:rFonts w:ascii="Times New Roman" w:eastAsia="Times New Roman" w:hAnsi="Times New Roman" w:cs="Times New Roman"/>
          <w:sz w:val="24"/>
          <w:szCs w:val="24"/>
          <w:lang w:eastAsia="es-CO"/>
        </w:rPr>
        <w:lastRenderedPageBreak/>
        <w:t>geográfica. Una entidad que adopta por primera vez las NIIF que utiliza esta contabilidad conforme a PCGA anteriores puede elegir medir los activos de petróleo y gas en la fecha de transición a las NIIF de acuerdo con las siguientes bases: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activos de exploración y evaluación por el importe determinado conforme a los PCGA anteriores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activos en las fases de desarrollo o producción por el importe determinado para el centro de costo conforme a los PCGA anteriores de la entidad. La entidad distribuirá proporcionalmente este importe entre los activos subyacentes de los centros de costo utilizando volúmenes de reservas o valores de reservas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entidad comprobará el deterioro del valor de los activos de exploración y evaluación y activos en las fases de desarrollo y producción en la fecha de transición a las NIIF de acuerdo con la NIIF 6 </w:t>
      </w:r>
      <w:r w:rsidRPr="00401DFF">
        <w:rPr>
          <w:rFonts w:ascii="Times New Roman" w:eastAsia="Times New Roman" w:hAnsi="Times New Roman" w:cs="Times New Roman"/>
          <w:i/>
          <w:iCs/>
          <w:sz w:val="24"/>
          <w:szCs w:val="24"/>
          <w:lang w:eastAsia="es-CO"/>
        </w:rPr>
        <w:t>Exploración y Evaluación de Recursos Minerales</w:t>
      </w:r>
      <w:r w:rsidRPr="00401DFF">
        <w:rPr>
          <w:rFonts w:ascii="Times New Roman" w:eastAsia="Times New Roman" w:hAnsi="Times New Roman" w:cs="Times New Roman"/>
          <w:sz w:val="24"/>
          <w:szCs w:val="24"/>
          <w:lang w:eastAsia="es-CO"/>
        </w:rPr>
        <w:t xml:space="preserve"> o la NIC 36 respectivamente y, si fuera necesario, reducirá el importe determinado de acuerdo con los apartados (a) o (b) anteriores</w:t>
      </w:r>
      <w:r w:rsidRPr="00401DFF">
        <w:rPr>
          <w:rFonts w:ascii="Times New Roman" w:eastAsia="Times New Roman" w:hAnsi="Times New Roman" w:cs="Times New Roman"/>
          <w:i/>
          <w:iCs/>
          <w:sz w:val="24"/>
          <w:szCs w:val="24"/>
          <w:lang w:eastAsia="es-CO"/>
        </w:rPr>
        <w:t>.</w:t>
      </w:r>
      <w:r w:rsidRPr="00401DFF">
        <w:rPr>
          <w:rFonts w:ascii="Times New Roman" w:eastAsia="Times New Roman" w:hAnsi="Times New Roman" w:cs="Times New Roman"/>
          <w:sz w:val="24"/>
          <w:szCs w:val="24"/>
          <w:lang w:eastAsia="es-CO"/>
        </w:rPr>
        <w:t xml:space="preserve"> A efectos de este párrafo, los activos de petróleo y gas comprenden solo los activos utilizados en la exploración, evaluación, desarrollo o producción de petróleo y gas.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D8B Algunas entidades mantienen elementos de propiedades, planta y equipo o activos intangibles que se utilizan o eran anteriormente utilizados, en operaciones sujetas a regulación de tarifas. El importe en libros de estos elementos puede incluir importes que fueron determinados según PCGA anteriores pero que no cumplen las condiciones de capitalización de acuerdo con las NIIF. Si es este el caso, una entidad que adopta por primera vez las NIIF puede optar por utilizar el importe en libros de PCGA anteriores para un elemento así en la fecha de transición a las NIIF como el costo atribuido. Si una entidad aplica esta exención a un elemento, no necesitará aplicarla a todos. En la fecha de transición a las NIIF, una entidad comprobará el deterioro de valor, de acuerdo con la NIC 36, de cada elemento para el que se utilice esta exención. A efectos de este párrafo, las operaciones están sujetas a regulación de tarifa si proporcionan bienes o servicios a clientes a precios (es decir tarifas) establecidas por un organismo autorizado con poder para establecer tarifas que obliguen a los clientes y que están diseñadas para recuperar los costos específicos en que incurre la entidad al proporcionar los bienes o servicios regulados y obtener un rendimiento especificado. El rendimiento especificado podría ser un mínimo o un rango y no precisa ser un rendimiento fijo o garantizado.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D9 Una entidad que adopta por primera vez las NIIF puede aplicar la disposición transitoria de la CINIIF 4 </w:t>
      </w:r>
      <w:r w:rsidRPr="00401DFF">
        <w:rPr>
          <w:rFonts w:ascii="Times New Roman" w:eastAsia="Times New Roman" w:hAnsi="Times New Roman" w:cs="Times New Roman"/>
          <w:i/>
          <w:iCs/>
          <w:sz w:val="24"/>
          <w:szCs w:val="24"/>
          <w:lang w:eastAsia="es-CO"/>
        </w:rPr>
        <w:t>Determinación de si un Acuerdo Contiene un Arrendamiento</w:t>
      </w:r>
      <w:r w:rsidRPr="00401DFF">
        <w:rPr>
          <w:rFonts w:ascii="Times New Roman" w:eastAsia="Times New Roman" w:hAnsi="Times New Roman" w:cs="Times New Roman"/>
          <w:sz w:val="24"/>
          <w:szCs w:val="24"/>
          <w:lang w:eastAsia="es-CO"/>
        </w:rPr>
        <w:t>. En consecuencia, una entidad que adopta por primera vez las NIIF puede determinar si un acuerdo vigente en la fecha de transición a las NIIF contiene un arrendamiento, a partir de la consideración de los hechos y circunstancias existentes a dicha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D9A Si una entidad que adopta por primera vez las NIIF realizó la misma determinación de si un acuerdo contenía un arrendamiento de acuerdo con PCGA anteriores de la forma </w:t>
      </w:r>
      <w:r w:rsidRPr="00401DFF">
        <w:rPr>
          <w:rFonts w:ascii="Times New Roman" w:eastAsia="Times New Roman" w:hAnsi="Times New Roman" w:cs="Times New Roman"/>
          <w:sz w:val="24"/>
          <w:szCs w:val="24"/>
          <w:lang w:eastAsia="es-CO"/>
        </w:rPr>
        <w:lastRenderedPageBreak/>
        <w:t xml:space="preserve">requerida por la CINIIF 4 pero en una fecha distinta de la requerida por la CINIIF 4, la entidad que adopta por primera vez las NIIF no necesitará evaluar nuevamente esa determinación al adoptar las NIIF. Para una entidad que tuvo que realizar la misma determinación de si un acuerdo contenía un arrendamiento de acuerdo con PCGA anteriores, esa determinación tendría que haber dado el mismo resultado que el procedente de aplicar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y la CINIIF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D10-D11 [Eliminado]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Diferencias de conversión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D12 La NIC 21 requiere que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reconozca algunas diferencias de conversión en otro resultado integral y las acumule en un componente separado de patrimonio;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reclasifique la diferencia de conversión acumulada surgida en la disposición de un negocio en el extranjero, (incluyendo, si procede, las pérdidas y ganancias de coberturas relacionadas) del patrimonio a resultados como parte de la pérdida o ganancia derivada de la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D13 No obstante, una entidad que adopta por primera vez las NIIF no necesita cumplir con este requerimiento, respecto de las diferencias de conversión acumuladas que existan a la fecha de transición a las NIIF. Si una entidad que adopta por primera vez las NIIF hace uso de esta exención: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diferencias de conversión acumuladas de todos los negocios en el extranjero se considerarán nulas en la fecha de transición a las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pérdida o ganancia por la disposición posterior de cualquier negocio en el extranjero, excluirá las diferencias de conversión que hayan surgido antes de la fecha de transición a las NIIF, e incluirá las diferencias de conversión posteriores a esta.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Inversiones en subsidiarias, negocios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D14 Cuando una entidad prepare estados financieros separados, la NIC 27 requiere que contabilice sus inversiones en subsidiarias, negocios conjuntos y asociadas de alguna de las formas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costo;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D15 Si una entidad que adopta por primera vez las NIIF midiese esta inversión al costo de acuerdo con la NIC 27, medirá esa inversión en su estado de situación financiera separado de apertura conforme a las NIIF mediante uno de los siguientes importes: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el costo determinado de acuerdo con la NIC 27;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costo atribuido. El costo atribuido de esa inversión será: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valor razonable en la fecha de transición a las NIIF de la entidad en sus estados financieros separados;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en libros en esa fecha según los PCGA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que adopta por primera vez las NIIF puede elegir entre los apartados (i)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anteriores para medir sus inversiones en cada subsidiaria, negocio conjunto o asociada que haya optado por medir utilizando el costo atribuido.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y pasivos de subsidiarias, asociadas y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D16 Si una subsidiaria adoptase por primera vez las NIIF con posterioridad a su controladora, la subsidiaria medirá los activos y pasivos, en sus estados financieros, ya sea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importes en libros que se hubieran incluido en los estados financieros consolidados de la controladora, basados en la fecha de transición de la controladora a las NIIF, si no se realizaron ajustes para propósitos de consolidación y por los efectos de la combinación de negocios por la que la controladora adquirió a la subsidiaria;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importes en libros requeridos por el resto de esta NIIF, basados en la fecha de transición a las NIIF de la subsidiaria. Estos importes pueden diferir de los descritos en la letra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Cuando las exenciones previstas en esta NIIF den lugar a mediciones que dependan 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 Cuando las políticas contables aplicadas en los estados financieros de la subsidiaria difieran de las que se utilizan en los estados financieros consolidados. Por ejemplo, la subsidiaria puede emplear como política contable el modelo del costo de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mientras que el grupo puede utilizar el modelo de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elección similar puede ser hecha por una asociada o negocio conjunto que adopta por primera vez las NIIF, dispondrá de una opción similar, si bien en un momento posterior al que lo haya hecho la entidad que tiene sobre ella influencia significativa o control en conjunto con otros.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D17 Sin embargo, si una entidad adopta por primera vez las NIIF después que su subsidiaria (o asociada o negocio conjunto), ésta, medirá, en sus estados financieros consolidados, los activos y pasivos de la subsidiaria (o asociada o negocio conjunto) por los </w:t>
      </w:r>
      <w:r w:rsidRPr="00401DFF">
        <w:rPr>
          <w:rFonts w:ascii="Times New Roman" w:eastAsia="Times New Roman" w:hAnsi="Times New Roman" w:cs="Times New Roman"/>
          <w:sz w:val="24"/>
          <w:szCs w:val="24"/>
          <w:lang w:eastAsia="es-CO"/>
        </w:rPr>
        <w:lastRenderedPageBreak/>
        <w:t>mismos importes en libros que figuran en los estados financieros de la subsidiaria (o asociada o negocio conjunto), después de realizar los ajustes que correspondan al consolidar o aplicar el método de la participación, así como los que se refieran a los efectos de la combinación de negocios en la que tal entidad adquirió a la subsidiaria. De forma similar, si una controladora adopta por primera vez las NIIF en sus estados financieros separados, antes o después que en sus estados financieros consolidados, medirá sus activos y pasivos a los mismos importes en ambos estados financieros, excepto por los ajustes de consolidación.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financieros compuestos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D18 La NIC 32 </w:t>
      </w:r>
      <w:r w:rsidRPr="00401DFF">
        <w:rPr>
          <w:rFonts w:ascii="Times New Roman" w:eastAsia="Times New Roman" w:hAnsi="Times New Roman" w:cs="Times New Roman"/>
          <w:i/>
          <w:iCs/>
          <w:sz w:val="24"/>
          <w:szCs w:val="24"/>
          <w:lang w:eastAsia="es-CO"/>
        </w:rPr>
        <w:t>Instrumentos Financieros: Presentación</w:t>
      </w:r>
      <w:r w:rsidRPr="00401DFF">
        <w:rPr>
          <w:rFonts w:ascii="Times New Roman" w:eastAsia="Times New Roman" w:hAnsi="Times New Roman" w:cs="Times New Roman"/>
          <w:sz w:val="24"/>
          <w:szCs w:val="24"/>
          <w:lang w:eastAsia="es-CO"/>
        </w:rPr>
        <w:t xml:space="preserve"> requiere que una entidad descomponga los instrumentos financieros compuestos, desde el inicio, en sus componentes separados de pasivo y de patrimonio. Si el componente de pasivo ha dejado de existir, la aplicación retroactiva de la NIC 32 implica la separación de dos porciones del patrimonio. Una porción estará en las ganancias acumuladas y representará la suma de los intereses totales acumulados (o devengados) por el componente de pasivo. La otra porción representará el componente original de patrimonio. Sin embargo, según esta NIIF, una entidad que adopta por primera vez las NIIF no necesitará separar esas dos porciones si el componente de pasivo ha dejado de existir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de instrumentos financieros reconocidos previamente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D19 La NIIF 9 permite que un pasivo financiero (siempre que cumpla ciertos criterios) sea designado como un pasivo financiero a valor razonable con cambios en resultados. A pesar de este requerimiento se permite que una entidad designe, en la fecha de transición a las NIIF, cualquier pasivo financiero como a valor razonable con cambios en resultados siempre que el pasivo cumpla los criterios del párrafo 4.2.2 de la NIIF 9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D19A Una entidad puede designar un activo financiero como medido a valor razonable con cambios en resultados de acuerdo con el párrafo 4.1.5 de la NIIF 9 sobre la base de los hechos y circunstancias que existan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D19B Una entidad puede designar una inversión en un instrumento de patrimonio como medida a valor razonable con cambios en otro resultado integral de acuerdo con el párrafo 5.7.5 de la NIIF 9 sobre la base de los hechos y circunstancias que existan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D19C Si para una entidad es impracticable (como se define en la NIC 8) aplicar retroactivamente el método del interés efectivo o los requerimientos de deterioro de valor de los párrafos 58 a 65 y GA84 a GA93 de la NIC 39, el valor razonable del activo financiero en la fecha de transición a las NIIF será el nuevo costo amortizado de ese activo financiero a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D19D Una entidad determinará si el tratamiento del párrafo 5.7.7 de la NIIF 9 crearía una asimetría contable en el resultado del periodo sobre la base de los hechos y circunstancias que existan en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Medición al valor razonable de activos financieros o pasivos financieros en 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D20 Sin perjuicio de los requerimientos de los párrafos 7 y 9, una entidad podrá aplicar los requerimientos de la última frase del párrafo B5.4.8 y del párrafo B5.4.9 de la NIIF 9 de forma prospectiva a transacciones realizadas a partir de la fecha de transición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por desmantelamiento incluidos en el costo de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D21 La CINIIF 1 </w:t>
      </w:r>
      <w:r w:rsidRPr="00401DFF">
        <w:rPr>
          <w:rFonts w:ascii="Times New Roman" w:eastAsia="Times New Roman" w:hAnsi="Times New Roman" w:cs="Times New Roman"/>
          <w:i/>
          <w:iCs/>
          <w:sz w:val="24"/>
          <w:szCs w:val="24"/>
          <w:lang w:eastAsia="es-CO"/>
        </w:rPr>
        <w:t xml:space="preserve">Cambios en Pasivos Existentes por Desmantelamiento, Restauración y Similares </w:t>
      </w:r>
      <w:r w:rsidRPr="00401DFF">
        <w:rPr>
          <w:rFonts w:ascii="Times New Roman" w:eastAsia="Times New Roman" w:hAnsi="Times New Roman" w:cs="Times New Roman"/>
          <w:sz w:val="24"/>
          <w:szCs w:val="24"/>
          <w:lang w:eastAsia="es-CO"/>
        </w:rPr>
        <w:t>requiere que los cambios específicos por desmantelamiento, restauración o un pasivo similar, se añadan o se deduzcan del costo del activo correspondiente; el importe depreciable ajustado del activo será, a partir de ese momento, depreciado de forma prospectiva a lo largo de su vida útil restante. Una entidad que adopta por primera vez las NIIF no estará obligada a cumplir estos requerimientos por los cambios en estos pasivos que hayan ocurrido antes de la fecha de transición a las NIIF. Si una entidad que adopta por primera vez las NIIF utiliza esta excepción: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medirá el pasivo en la fecha de transición a las NIIF de acuerdo con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la medida en que el pasivo esté dentro del alcance de la CINIIF 1, estimará el importe que habría sido incluido en el costo del activo correspondiente cuando surgió el pasivo por primera vez, mediante el descuento del pasivo a esa fecha utilizando su mejor estimación de la tasa de descuento histórico, ajustada por el riesgo, que habría sido aplicado para ese pasivo a lo largo del periodo correspondiente;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calculará la depreciación acumulada sobre ese importe, hasta la fecha de transición a las NIIF, sobre la base de la estimación actual de la vida útil del activo, utilizando la política de depreciación adoptada por la entidad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D21A Una entidad que utiliza la exención del párrafo D8A(b) (para activos de petróleo y gas en las fases de desarrollo o producción contabilizados en centros de costo que incluyen todas las propiedades en una gran área geográfica conforme a PCGA anteriores), en lugar de aplicar el párrafo D21 o la CINIIF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medirá los pasivos por retiro de servicio, restauración y similares a la fecha de transición a las NIIF de acuerdo con la NIC 37;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reconocerá directamente en ganancias acumuladas cualquier diferencia entre ese importe y el importe en libros de los pasivos en la fecha de transición a las NIIF determinados conforme a los PCGA anteriores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o activos intangibles contabilizados de acuerdo con la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D22 Una entidad que adopta por primera vez las NIIF podrá aplicar las disposiciones transitorias de la CINIIF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Costos por préstamos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D23 Una entidad que adopta por primera vez las NIIF podrá aplicar las disposiciones transitorias contenidas en los párrafos 27 y 28 de la NIC 23, revisada en 2007. En dichos párrafos las referencias a la fecha de entrada en vigor se interpretarán como el 1 de enero de 2009 o la fecha de transición a las NIIF, la que sea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de activos procedentes de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D24 Una entidad que adopta por primera vez las NIIF podrá aplicar las disposiciones de transición establecidas en el párrafo 22 de la CINIIF 18 </w:t>
      </w:r>
      <w:r w:rsidRPr="00401DFF">
        <w:rPr>
          <w:rFonts w:ascii="Times New Roman" w:eastAsia="Times New Roman" w:hAnsi="Times New Roman" w:cs="Times New Roman"/>
          <w:i/>
          <w:iCs/>
          <w:sz w:val="24"/>
          <w:szCs w:val="24"/>
          <w:lang w:eastAsia="es-CO"/>
        </w:rPr>
        <w:t>Transferencias de Activos procedentes de Clientes</w:t>
      </w:r>
      <w:r w:rsidRPr="00401DFF">
        <w:rPr>
          <w:rFonts w:ascii="Times New Roman" w:eastAsia="Times New Roman" w:hAnsi="Times New Roman" w:cs="Times New Roman"/>
          <w:sz w:val="24"/>
          <w:szCs w:val="24"/>
          <w:lang w:eastAsia="es-CO"/>
        </w:rPr>
        <w:t>. En ese párrafo, la referencia a la fecha de vigencia se interpretará como el 1 de julio de 2009 o la fecha de transición a las NIIF, la que sea posterior. Además, una entidad que adopta por primera vez las NIIF puede designar cualquier fecha anterior a la fecha de transición a las NIIF y aplicar la CINIIF 18 a todas las transferencias de activos procedentes de clientes recibidas a partir de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Cancelación de pasivos financieros con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D25 Una entidad que adopte por primera vez las NIIF podrá aplicar las disposiciones transitorias de la CINIIF 19 </w:t>
      </w:r>
      <w:r w:rsidRPr="00401DFF">
        <w:rPr>
          <w:rFonts w:ascii="Times New Roman" w:eastAsia="Times New Roman" w:hAnsi="Times New Roman" w:cs="Times New Roman"/>
          <w:i/>
          <w:iCs/>
          <w:sz w:val="24"/>
          <w:szCs w:val="24"/>
          <w:lang w:eastAsia="es-CO"/>
        </w:rPr>
        <w:t>Cancelación de Pasivos Financieros con Instrumentos de Patrimonio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Hiperinflación grave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D26 Si una entidad tiene una moneda funcional que fue, o es, la moneda de una economía hiperinflacionaria, determinará si estuvo sujeta a una hiperinflación grave antes de la fecha de transición a las NIIF. Esto se aplicará a entidades que están adoptando las NIIF por primera vez, así como a entidades que hayan aplicado las NIIF con anterioridad.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D27 La moneda de una economía hiperinflacionaria está sujeta a una hiperinflación grave si tiene las dos características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tiene disponible un índice general de precios fiable para todas las entidades con transacciones y saldos en la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existe intercambiabilidad entre la moneda y una moneda extranjera relativamente estable.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D28 La moneda funcional de una entidad deja de estar sujeta a hiperinflación grave en la fecha de normalización de la moneda funcional. Esa es la fecha en que la moneda funcional deja de tener una o ambas características del párrafo D27 o cuando se produce un cambio en la moneda funcional de la entidad a una moneda que no está sujeta a hiperinflación grave.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D29 Cuando la fecha de transición de una entidad a las NIIF sea a partir de la fecha de normalización de la moneda funcional, la entidad puede optar por medir todos activos y pasivos mantenidos antes de la fecha de normalización de la moneda funcional al valor razonable en la fecha de transición a las NIIF. La entidad puede utilizar ese valor razonable como el costo atribuido de esos activos y pasivos en el estado de situación financiera de apertura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D30 Cuando la fecha de normalización de la moneda funcional quede dentro de los 12 meses de un periodo comparativo, éste puede ser menor que 12 meses, siempre que se proporcione un conjunto completo de estados financieros (tal como requiere el párrafo 10 de la NIC 1) para ese periodo más corto.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D31 Una entidad que adopta por primera vez las NIIF podrá aplicar las disposiciones transitorias de la NIIF 11 con la siguiente excepción. Cuando una entidad que adopta por primera vez las NIIF cambie de la consolidación proporcional al método de la participación, comprobará el deterioro de valor de la inversión de acuerdo con la NIC 36 al comienzo del primer periodo presentado, independientemente de que exista cualquier indicación de que la inversión pueda tener deteriorado su valor. Cualquier deterioro de valor resultante se reconocerá como un ajuste a las ganancias acumuladas al comienzo del primer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desmonte en la fase de producción de una mina a cielo abierto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D32 Una entidad que adopta por primera vez las NIIF puede aplicar las disposiciones transitorias establecidas en los párrafos A1 a A4 de la CINIIF 20 </w:t>
      </w:r>
      <w:r w:rsidRPr="00401DFF">
        <w:rPr>
          <w:rFonts w:ascii="Times New Roman" w:eastAsia="Times New Roman" w:hAnsi="Times New Roman" w:cs="Times New Roman"/>
          <w:i/>
          <w:iCs/>
          <w:sz w:val="24"/>
          <w:szCs w:val="24"/>
          <w:lang w:eastAsia="es-CO"/>
        </w:rPr>
        <w:t>Costos de Desmonte en la Fase de Producción de una Mina a Cielo Abierto</w:t>
      </w:r>
      <w:r w:rsidRPr="00401DFF">
        <w:rPr>
          <w:rFonts w:ascii="Times New Roman" w:eastAsia="Times New Roman" w:hAnsi="Times New Roman" w:cs="Times New Roman"/>
          <w:sz w:val="24"/>
          <w:szCs w:val="24"/>
          <w:lang w:eastAsia="es-CO"/>
        </w:rPr>
        <w:t>. En ese párrafo, la referencia a la fecha de vigencia se interpretará como el 1 de enero de 2013 o el comienzo del primer periodo sobre el que se informa conforme a las NIIF, la que sea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Exenciones a corto plazo de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Exención del requerimiento de reexpresar información comparativa para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E1 En sus primeros estados financieros conforme a las NIIF, una entidad que (a) adopta las NIIF para periodos anuales que comienzan antes del 1 de enero de 2012 y (b) aplica la NIIF 9 presentará al menos un año de información comparativa. Sin embargo, esta información comparativa no necesita cumplir con la NIIF 7 </w:t>
      </w:r>
      <w:r w:rsidRPr="00401DFF">
        <w:rPr>
          <w:rFonts w:ascii="Times New Roman" w:eastAsia="Times New Roman" w:hAnsi="Times New Roman" w:cs="Times New Roman"/>
          <w:i/>
          <w:iCs/>
          <w:sz w:val="24"/>
          <w:szCs w:val="24"/>
          <w:lang w:eastAsia="es-CO"/>
        </w:rPr>
        <w:t xml:space="preserve">Instrumentos Financieros: Información a Revelar </w:t>
      </w:r>
      <w:r w:rsidRPr="00401DFF">
        <w:rPr>
          <w:rFonts w:ascii="Times New Roman" w:eastAsia="Times New Roman" w:hAnsi="Times New Roman" w:cs="Times New Roman"/>
          <w:sz w:val="24"/>
          <w:szCs w:val="24"/>
          <w:lang w:eastAsia="es-CO"/>
        </w:rPr>
        <w:t xml:space="preserve">o NIIF 9, en la medida en que la información a revelar requerida por la NIIF 7 se relaciona con partidas que están dentro del alcance de la NIIF 9. Para estas entidades, las </w:t>
      </w:r>
      <w:r w:rsidRPr="00401DFF">
        <w:rPr>
          <w:rFonts w:ascii="Times New Roman" w:eastAsia="Times New Roman" w:hAnsi="Times New Roman" w:cs="Times New Roman"/>
          <w:sz w:val="24"/>
          <w:szCs w:val="24"/>
          <w:lang w:eastAsia="es-CO"/>
        </w:rPr>
        <w:lastRenderedPageBreak/>
        <w:t>referencias a la “fecha de transición a las NIIF” significará, en el caso de la NIIF 7 y NIIF 9 solo, el comienzo del primer periodo sobre el que se informa conforme a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E2 Una entidad que elija presentar información comparativa que no cumpla con la NIIF 7 y NIIF 9 en su primer año de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Aplicará los requerimientos de reconocimiento y medición de sus PCGA anteriores en lugar de los requerimientos de la NIIF 9 y a la información comparativa sobre partidas que estén dentro del alcance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Revelará este hecho junto con la base utilizada para preparar esta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Tratará cualquier ajuste entre el estado de situación financiera en la fecha de presentación del periodo comparativo (es decir el estado de situación financiera que incluye información comparativa según PCGA anteriores) y el estado de situación financiera al comienzo del </w:t>
      </w:r>
      <w:r w:rsidRPr="00401DFF">
        <w:rPr>
          <w:rFonts w:ascii="Times New Roman" w:eastAsia="Times New Roman" w:hAnsi="Times New Roman" w:cs="Times New Roman"/>
          <w:i/>
          <w:iCs/>
          <w:sz w:val="24"/>
          <w:szCs w:val="24"/>
          <w:lang w:eastAsia="es-CO"/>
        </w:rPr>
        <w:t>primer periodo sobre el que se informa conforme a las NIIF</w:t>
      </w:r>
      <w:r w:rsidRPr="00401DFF">
        <w:rPr>
          <w:rFonts w:ascii="Times New Roman" w:eastAsia="Times New Roman" w:hAnsi="Times New Roman" w:cs="Times New Roman"/>
          <w:sz w:val="24"/>
          <w:szCs w:val="24"/>
          <w:lang w:eastAsia="es-CO"/>
        </w:rPr>
        <w:t xml:space="preserve"> (es decir el primer periodo que incluye información que cumple con la NIIF 7 y la NIIF 9) como que surge de un cambio en una política contable y proporciona la información a revelar requerida por los párrafos 28(a) a 28(e) y 28(f)(i) de la NIC 8. El párrafo 28(f)(i) aplicará solo a los importes presentados en el estado de situación financiera en la fecha de presentación del periodo comparativo.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Aplicará el párrafo 17(c) de la NIC 1 para proporcionar información a revelar adicional cuando el cumplimiento con los requerimientos específicos de las NIIF resulten insuficientes para permitir a los usuarios comprender el impacto de determinadas transacciones, así como de otros sucesos y condiciones, sobre la situación y el rendimiento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E3 Una entidad que adopta por primera vez las NIIF podrá aplicar las disposiciones transitorias del párrafo 44G de la NIIF 7</w:t>
      </w:r>
      <w:hyperlink r:id="rId72" w:anchor="bf14155e08a0f864fd18561285474ca0815nf9" w:tgtFrame="_self" w:history="1">
        <w:r w:rsidRPr="00401DFF">
          <w:rPr>
            <w:rFonts w:ascii="Times New Roman" w:eastAsia="Times New Roman" w:hAnsi="Times New Roman" w:cs="Times New Roman"/>
            <w:color w:val="0000FF"/>
            <w:sz w:val="20"/>
            <w:szCs w:val="20"/>
            <w:u w:val="single"/>
            <w:vertAlign w:val="superscript"/>
            <w:lang w:eastAsia="es-CO"/>
          </w:rPr>
          <w:t>(68)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E4 Una entidad que adopta por primera vez las NIIF podrá aplicar las disposiciones transitorias del párrafo 44M de la NIIF 7</w:t>
      </w:r>
      <w:hyperlink r:id="rId73" w:anchor="bf18186273ecc7147f79d2d061d521ca325nf9" w:tgtFrame="_self" w:history="1">
        <w:r w:rsidRPr="00401DFF">
          <w:rPr>
            <w:rFonts w:ascii="Times New Roman" w:eastAsia="Times New Roman" w:hAnsi="Times New Roman" w:cs="Times New Roman"/>
            <w:color w:val="0000FF"/>
            <w:sz w:val="20"/>
            <w:szCs w:val="20"/>
            <w:u w:val="single"/>
            <w:vertAlign w:val="superscript"/>
            <w:lang w:eastAsia="es-CO"/>
          </w:rPr>
          <w:t>(69)</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E5 Una entidad que adopta por primera vez las NIIF podrá aplicar las disposiciones transitorias del párrafo 173(b) de la NIC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 Definición de las NIIF modificada después de los cambios de nombre introducidos mediante la Constitución revisada de la Fundación IFRS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(67) Estos cambios incluyen las reclasificaciones hacia o desde los activos intangibles si la plusvalía no se reconoció como un activo de acuerdo con PCGA previos. Esto sucede si, de </w:t>
      </w:r>
      <w:r w:rsidRPr="00401DFF">
        <w:rPr>
          <w:rFonts w:ascii="Times New Roman" w:eastAsia="Times New Roman" w:hAnsi="Times New Roman" w:cs="Times New Roman"/>
          <w:sz w:val="24"/>
          <w:szCs w:val="24"/>
          <w:lang w:eastAsia="es-CO"/>
        </w:rPr>
        <w:lastRenderedPageBreak/>
        <w:t>acuerdo con los PCGA anteriores, la entidad (a) dedujo la plusvalía directamente del patrimonio, o (b) no trató la combinación de negocios como una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El párrafo E3 se añadió como consecuencia de</w:t>
      </w:r>
      <w:r w:rsidRPr="00401DFF">
        <w:rPr>
          <w:rFonts w:ascii="Times New Roman" w:eastAsia="Times New Roman" w:hAnsi="Times New Roman" w:cs="Times New Roman"/>
          <w:i/>
          <w:iCs/>
          <w:sz w:val="24"/>
          <w:szCs w:val="24"/>
          <w:lang w:eastAsia="es-CO"/>
        </w:rPr>
        <w:t xml:space="preserve"> Exención Limitada de la Información a Revelar Comparativa de la NIIF 7 para Entidades que Adoptan por Primera vez las NIIF </w:t>
      </w:r>
      <w:r w:rsidRPr="00401DFF">
        <w:rPr>
          <w:rFonts w:ascii="Times New Roman" w:eastAsia="Times New Roman" w:hAnsi="Times New Roman" w:cs="Times New Roman"/>
          <w:sz w:val="24"/>
          <w:szCs w:val="24"/>
          <w:lang w:eastAsia="es-CO"/>
        </w:rPr>
        <w:t xml:space="preserve">(Modificación a la NIIF 1) emitido en enero de 2010. Para evitar el uso potencial de la retrospectiva y asegurar que las entidades que adoptan por primera vez las NIIF no se encuentran en desventaja en comparación con las que las aplican actualmente, el Consejo decidió que se les debe permitir utilizar las mismas disposiciones transitorias que a las entidades que preparan los estados financieros de acuerdo con las NIIF incluidas en </w:t>
      </w:r>
      <w:r w:rsidRPr="00401DFF">
        <w:rPr>
          <w:rFonts w:ascii="Times New Roman" w:eastAsia="Times New Roman" w:hAnsi="Times New Roman" w:cs="Times New Roman"/>
          <w:i/>
          <w:iCs/>
          <w:sz w:val="24"/>
          <w:szCs w:val="24"/>
          <w:lang w:eastAsia="es-CO"/>
        </w:rPr>
        <w:t xml:space="preserve">Mejora de la Información a Revelar sobre Instrumentos Financieros </w:t>
      </w:r>
      <w:r w:rsidRPr="00401DFF">
        <w:rPr>
          <w:rFonts w:ascii="Times New Roman" w:eastAsia="Times New Roman" w:hAnsi="Times New Roman" w:cs="Times New Roman"/>
          <w:sz w:val="24"/>
          <w:szCs w:val="24"/>
          <w:lang w:eastAsia="es-CO"/>
        </w:rPr>
        <w:t>(Modificaciones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(69) El párrafo E4 se añadió como consecuencia de </w:t>
      </w:r>
      <w:r w:rsidRPr="00401DFF">
        <w:rPr>
          <w:rFonts w:ascii="Times New Roman" w:eastAsia="Times New Roman" w:hAnsi="Times New Roman" w:cs="Times New Roman"/>
          <w:i/>
          <w:iCs/>
          <w:sz w:val="24"/>
          <w:szCs w:val="24"/>
          <w:lang w:eastAsia="es-CO"/>
        </w:rPr>
        <w:t xml:space="preserve">Información a Revelar—Transferencias de Activos Financieros </w:t>
      </w:r>
      <w:r w:rsidRPr="00401DFF">
        <w:rPr>
          <w:rFonts w:ascii="Times New Roman" w:eastAsia="Times New Roman" w:hAnsi="Times New Roman" w:cs="Times New Roman"/>
          <w:sz w:val="24"/>
          <w:szCs w:val="24"/>
          <w:lang w:eastAsia="es-CO"/>
        </w:rPr>
        <w:t xml:space="preserve">(Modificaciones a la NIIF 7) emitido en octubre de 2010. Para evitar el uso potencial de la retrospectiva y asegurar que las entidades que adoptan por primera vez las NIIF no se encuentran en desventaja en comparación con las que las aplican actualmente, el Consejo decidió que se les debe permitir utilizar las mismas disposiciones transitorias que a las entidades que preparan los estados financieros de acuerdo con las NIIF incluidas en </w:t>
      </w:r>
      <w:r w:rsidRPr="00401DFF">
        <w:rPr>
          <w:rFonts w:ascii="Times New Roman" w:eastAsia="Times New Roman" w:hAnsi="Times New Roman" w:cs="Times New Roman"/>
          <w:i/>
          <w:iCs/>
          <w:sz w:val="24"/>
          <w:szCs w:val="24"/>
          <w:lang w:eastAsia="es-CO"/>
        </w:rPr>
        <w:t>Mejora de la Información a Revelar sobre Instrumentos Financieros</w:t>
      </w:r>
      <w:r w:rsidRPr="00401DFF">
        <w:rPr>
          <w:rFonts w:ascii="Times New Roman" w:eastAsia="Times New Roman" w:hAnsi="Times New Roman" w:cs="Times New Roman"/>
          <w:sz w:val="24"/>
          <w:szCs w:val="24"/>
          <w:lang w:eastAsia="es-CO"/>
        </w:rPr>
        <w:t xml:space="preserve"> (Modificaciones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El objetivo de esta NIIF consiste en especificar la información financiera que ha de incluir una entidad cuando lleve a cabo una </w:t>
      </w:r>
      <w:r w:rsidRPr="00401DFF">
        <w:rPr>
          <w:rFonts w:ascii="Times New Roman" w:eastAsia="Times New Roman" w:hAnsi="Times New Roman" w:cs="Times New Roman"/>
          <w:i/>
          <w:iCs/>
          <w:sz w:val="24"/>
          <w:szCs w:val="24"/>
          <w:lang w:eastAsia="es-CO"/>
        </w:rPr>
        <w:t>transacción con pagos basados en acciones</w:t>
      </w:r>
      <w:r w:rsidRPr="00401DFF">
        <w:rPr>
          <w:rFonts w:ascii="Times New Roman" w:eastAsia="Times New Roman" w:hAnsi="Times New Roman" w:cs="Times New Roman"/>
          <w:sz w:val="24"/>
          <w:szCs w:val="24"/>
          <w:lang w:eastAsia="es-CO"/>
        </w:rPr>
        <w:t>. En concreto, requiere que la entidad refleje en el resultado del periodo y en su posición financiera, los efectos de las transacciones con pagos basados en acciones, incluyendo los gastos asociados a las transacciones en las que se conceden opciones sobre acciones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Una entidad aplicará esta NIIF en la contabilización de todas las transacciones con pagos basados en acciones, pueda o no identificar específicamente algunos o todos los bienes o servicios recibidos,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transacciones con pagos basados en acciones liquidadas mediante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transacciones con pagos basados en acciones liquidadas en efectivo,</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transacciones en las que la entidad reciba o adquiera bienes o servicios, y las condiciones del acuerdo proporcionen ya sea a la entidad o al proveedor de dichos bienes o servicios, la opción de si la entidad liquida la transacción en efectivo (o con otros activos) o mediante la emisión de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excepción de lo establecido en los párrafos 3A a 6. En ausencia de bienes o servicios específicamente identificables, otras circunstancias pueden indicar que los bienes o servicios se han recibido (o se recibirán), en cuyo caso se aplicará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3A Una transacción con pagos basados en acciones puede liquidarse por otra entidad del grupo (o un accionista de cualquier entidad del grupo) en nombre de la entidad que recibe o adquiere los bienes o servicios. El párrafo 2 también se aplicará a una entidad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reciba bienes o servicios cuando otra entidad en el mismo grupo (o un accionista de cualquier entidad del grupo) tenga la obligación de liquidar la transacción con pagos basados en acciones,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tenga la obligación de liquidar una transacción con pagos basados en acciones cuando otra entidad en el mismo grupo reciba los bienes o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menos que la transacción sea, claramente, para un propósito distinto del pago por los bienes o servicios suministrados a la entidad que los recibe.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A los efectos de esta NIIF, una transacción con un empleado (o un tercero), en su condición de tenedor de instrumentos de patrimonio de la entidad, no será una transacción con pagos basados en acciones. Por ejemplo, si una entidad concede a todos los tenedores de una determinada clase de sus instrumentos de patrimonio el derecho a adquirir instrumentos de patrimonio adicionales de la misma, a un precio inferior al valor razonable de esos instrumentos, y un empleado recibe tal derecho por ser tenedor de un instrumento de patrimonio de esa clase particular, la concesión o el ejercicio de ese derecho no estará sujeto a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Como se indicó en el párrafo 2, esta NIIF se aplicará a las transacciones con pagos basados en acciones, en las que una entidad adquiera o reciba bienes o servicios. Entre esos bienes se incluyen inventarios, consumibles, propiedades, planta y equipo, activos intangibles y otros activos no financieros. Sin embargo, una entidad no aplicará esta NIIF a transacciones en las que la entidad adquiere bienes como parte de los activos netos adquiridos en una combinación de negocios según se define en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(revisada en 2008), en una combinación de entidades o negocios bajo control común según se describe en los párrafos B1 a B4 de la NIIF 3, ni a la contribución de un negocio en la formación de un negocio conjunto según se define en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Por lo tanto, los instrumentos de patrimonio emitidos en una combinación de negocios, a cambio del control de la entidad adquirida, no están dentro del alcance de esta NIIF. Sin embargo, los instrumentos de patrimonio ofrecidos a los empleados de la entidad adquirida por su condición de empleados (por ejemplo, a cambio de continuar prestando sus </w:t>
      </w:r>
      <w:r w:rsidRPr="00401DFF">
        <w:rPr>
          <w:rFonts w:ascii="Times New Roman" w:eastAsia="Times New Roman" w:hAnsi="Times New Roman" w:cs="Times New Roman"/>
          <w:sz w:val="24"/>
          <w:szCs w:val="24"/>
          <w:lang w:eastAsia="es-CO"/>
        </w:rPr>
        <w:lastRenderedPageBreak/>
        <w:t xml:space="preserve">servicios) sí entrarán dentro del alcance de esta NIIF. De forma similar, la cancelación, la sustitución u otra modificación de </w:t>
      </w:r>
      <w:r w:rsidRPr="00401DFF">
        <w:rPr>
          <w:rFonts w:ascii="Times New Roman" w:eastAsia="Times New Roman" w:hAnsi="Times New Roman" w:cs="Times New Roman"/>
          <w:i/>
          <w:iCs/>
          <w:sz w:val="24"/>
          <w:szCs w:val="24"/>
          <w:lang w:eastAsia="es-CO"/>
        </w:rPr>
        <w:t>acuerdos con pagos basados en acciones,</w:t>
      </w:r>
      <w:r w:rsidRPr="00401DFF">
        <w:rPr>
          <w:rFonts w:ascii="Times New Roman" w:eastAsia="Times New Roman" w:hAnsi="Times New Roman" w:cs="Times New Roman"/>
          <w:sz w:val="24"/>
          <w:szCs w:val="24"/>
          <w:lang w:eastAsia="es-CO"/>
        </w:rPr>
        <w:t xml:space="preserve"> a consecuencia de una combinación de negocios o de alguna otra reestructuración del patrimonio, deberán contabilizarse de acuerdo con esta NIIF. La NIIF 3 proporciona guías sobre la determinación de si los instrumentos de patrimonio emitidos en una combinación de negocios son parte de la contraprestación transferida a cambio del control de la adquirida (y por ello dentro del alcance de la NIIF 3) o son una contrapartida por un servicio continuado a ser reconocido en el periodo posterior a la combinación (y por ello dentro del alcance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Esta NIIF no se aplicará a las transacciones con pagos basados en acciones en las que la entidad reciba o adquiera bienes o servicios, según un contrato que esté dentro del alcance de los párrafos 8 a 10 de la NIC 32 </w:t>
      </w:r>
      <w:r w:rsidRPr="00401DFF">
        <w:rPr>
          <w:rFonts w:ascii="Times New Roman" w:eastAsia="Times New Roman" w:hAnsi="Times New Roman" w:cs="Times New Roman"/>
          <w:i/>
          <w:iCs/>
          <w:sz w:val="24"/>
          <w:szCs w:val="24"/>
          <w:lang w:eastAsia="es-CO"/>
        </w:rPr>
        <w:t xml:space="preserve">Instrumentos Financieros: Presentación </w:t>
      </w:r>
      <w:r w:rsidRPr="00401DFF">
        <w:rPr>
          <w:rFonts w:ascii="Times New Roman" w:eastAsia="Times New Roman" w:hAnsi="Times New Roman" w:cs="Times New Roman"/>
          <w:sz w:val="24"/>
          <w:szCs w:val="24"/>
          <w:lang w:eastAsia="es-CO"/>
        </w:rPr>
        <w:t>(revisada en 2003)</w:t>
      </w:r>
      <w:hyperlink r:id="rId74" w:anchor="bf13a260b0148744db48000dcc3dac56cd7nf9" w:tgtFrame="_self" w:history="1">
        <w:r w:rsidRPr="00401DFF">
          <w:rPr>
            <w:rFonts w:ascii="Times New Roman" w:eastAsia="Times New Roman" w:hAnsi="Times New Roman" w:cs="Times New Roman"/>
            <w:color w:val="0000FF"/>
            <w:sz w:val="20"/>
            <w:szCs w:val="20"/>
            <w:u w:val="single"/>
            <w:vertAlign w:val="superscript"/>
            <w:lang w:eastAsia="es-CO"/>
          </w:rPr>
          <w:t>(70)</w:t>
        </w:r>
      </w:hyperlink>
      <w:r w:rsidRPr="00401DFF">
        <w:rPr>
          <w:rFonts w:ascii="Times New Roman" w:eastAsia="Times New Roman" w:hAnsi="Times New Roman" w:cs="Times New Roman"/>
          <w:sz w:val="24"/>
          <w:szCs w:val="24"/>
          <w:lang w:eastAsia="es-CO"/>
        </w:rPr>
        <w:t xml:space="preserve"> o de los párrafos 5 a 7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6A Esta NIIF utiliza el término “valor razonable” de una forma que difiere en algunos aspectos de la definición de valor razonable de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Por ello, al aplicar la NIIF 2 una entidad medirá el valor razonable de acuerdo con esta NIIF y no de acuerdo con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Una entidad reconocerá los bienes o servicios recibidos o adquiridos en una transacción con pagos basados en acciones, en el momento de la obtención de dichos bienes o cuando dichos servicios sean recibidos. La entidad reconocerá el correspondiente incremento en el patrimonio, si los bienes o servicios hubiesen sido recibidos en una transacción con pagos basados en acciones que se liquide en instrumentos de patrimonio, o bien reconocerá un pasivo si los bienes o servicios hubieran sido adquiridos en una transacción con pagos basados en acciones que se liquiden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Cuando los bienes o servicios recibidos o adquiridos en una transacción con pagos basados en acciones no reúnan las condiciones para su reconocimiento como activos, se reconocerán como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Normalmente, surgirá un gasto por el consumo de bienes o servicios. Por ejemplo, los servicios se consumen, normalmente, de forma inmediata, en cuyo caso se reconocerá un gasto cuando la contraparte preste el servicio. Los bienes pueden ser consumidos a lo largo de un periodo de tiempo o, en el caso de los inventarios, vendidos en un momento posterior, en cuyo caso se reconocerá un gasto cuando los bienes sean consumidos o vendidos. Sin embargo, a veces es necesario reconocer el gasto antes de que los bienes o servicios sean consumidos o vendidos, porque no cumplen los requisitos para su reconocimiento como activos. Por ejemplo, una entidad podría adquirir bienes como parte de la fase de investigación de un proyecto para desarrollar un nuevo producto. Aunque tales bienes no hayan sido consumidos, podrían no cumplir las condiciones para reconocerse como activos, según las NIIF aplicables.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Transacciones con pagos basados en acciones liquidadas mediante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Aspectos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En las transacciones con pagos basados en acciones, que sean liquidadas mediante instrumentos de patrimonio, la entidad medirá los bienes o servicios recibidos, así como el correspondiente incremento en el patrimonio, directamente al valor razonable de los bienes o servicios recibidos, a menos que dicho valor razonable no pueda ser estimado con fiabilidad. Si la entidad no pudiera estimar con fiabilidad el valor razonable de los bienes o servicios recibidos, determinará su valor, así como el correspondiente incremento de patrimonio, indirectamente por referencia</w:t>
      </w:r>
      <w:hyperlink r:id="rId75" w:anchor="bf1d8509dbb45374e158f6351448fc5dbe3nf9" w:tgtFrame="_self" w:history="1">
        <w:r w:rsidRPr="00401DFF">
          <w:rPr>
            <w:rFonts w:ascii="Times New Roman" w:eastAsia="Times New Roman" w:hAnsi="Times New Roman" w:cs="Times New Roman"/>
            <w:color w:val="0000FF"/>
            <w:sz w:val="20"/>
            <w:szCs w:val="20"/>
            <w:u w:val="single"/>
            <w:vertAlign w:val="superscript"/>
            <w:lang w:eastAsia="es-CO"/>
          </w:rPr>
          <w:t>(71)</w:t>
        </w:r>
      </w:hyperlink>
      <w:r w:rsidRPr="00401DFF">
        <w:rPr>
          <w:rFonts w:ascii="Times New Roman" w:eastAsia="Times New Roman" w:hAnsi="Times New Roman" w:cs="Times New Roman"/>
          <w:b/>
          <w:bCs/>
          <w:sz w:val="24"/>
          <w:szCs w:val="24"/>
          <w:lang w:eastAsia="es-CO"/>
        </w:rPr>
        <w:t>al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Para aplicar lo dispuesto en el párrafo 10 a transacciones con </w:t>
      </w:r>
      <w:r w:rsidRPr="00401DFF">
        <w:rPr>
          <w:rFonts w:ascii="Times New Roman" w:eastAsia="Times New Roman" w:hAnsi="Times New Roman" w:cs="Times New Roman"/>
          <w:i/>
          <w:iCs/>
          <w:sz w:val="24"/>
          <w:szCs w:val="24"/>
          <w:lang w:eastAsia="es-CO"/>
        </w:rPr>
        <w:t>empleados y terceros que suministren servicios similares</w:t>
      </w:r>
      <w:hyperlink r:id="rId76" w:anchor="bf12a84dbb70ba04b70961d80f74b586521nf9" w:tgtFrame="_self" w:history="1">
        <w:r w:rsidRPr="00401DFF">
          <w:rPr>
            <w:rFonts w:ascii="Times New Roman" w:eastAsia="Times New Roman" w:hAnsi="Times New Roman" w:cs="Times New Roman"/>
            <w:color w:val="0000FF"/>
            <w:sz w:val="20"/>
            <w:szCs w:val="20"/>
            <w:u w:val="single"/>
            <w:vertAlign w:val="superscript"/>
            <w:lang w:eastAsia="es-CO"/>
          </w:rPr>
          <w:t>(72)</w:t>
        </w:r>
      </w:hyperlink>
      <w:r w:rsidRPr="00401DFF">
        <w:rPr>
          <w:rFonts w:ascii="Times New Roman" w:eastAsia="Times New Roman" w:hAnsi="Times New Roman" w:cs="Times New Roman"/>
          <w:sz w:val="24"/>
          <w:szCs w:val="24"/>
          <w:lang w:eastAsia="es-CO"/>
        </w:rPr>
        <w:t xml:space="preserve">, la entidad determinará el valor razonable de los servicios recibidos por referencia al valor razonable de los instrumentos de patrimonio concedidos, porque habitualmente no será posible estimar de manera fiable el valor razonable de los servicios recibidos, como se expone en el párrafo 12. El valor razonable de esos instrumentos de patrimonio se determinará en la </w:t>
      </w:r>
      <w:r w:rsidRPr="00401DFF">
        <w:rPr>
          <w:rFonts w:ascii="Times New Roman" w:eastAsia="Times New Roman" w:hAnsi="Times New Roman" w:cs="Times New Roman"/>
          <w:i/>
          <w:iCs/>
          <w:sz w:val="24"/>
          <w:szCs w:val="24"/>
          <w:lang w:eastAsia="es-CO"/>
        </w:rPr>
        <w:t>fecha de concesión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Normalmente, las acciones, las opciones sobre acciones u otros instrumentos de patrimonio se conceden a los empleados como parte de su paquete de remuneración, en adición a un sueldo en efectivo y otras prestaciones para los mismos. Habitualmente, no será posible valorar directamente los servicios recibidos por cada componente concreto que forme parte del paquete de remuneración a los empleados. Igualmente, podría no ser posible determinar independientemente el valor razonable del paquete completo de la remuneración del empleado, sin medir de forma directa el valor razonable de los instrumentos de patrimonio concedidos. Además, las acciones o las opciones sobre acciones se concederán a menudo como parte de un bono acordado y no como parte de la retribución básica; por ejemplo, es habitual encontrarlas como un incentivo a los empleados para que continúen prestando sus servicios a la entidad o para recompensarles por los esfuerzos realizados en la mejora del rendimiento de la entidad. Con la concesión de acciones o de opciones sobre acciones, que complementa otras retribuciones la entidad paga una remuneración adicional para obtener ciertos beneficios económicos adicionales. Es probable que la estimación del valor razonable de dichos beneficios adicionales sea una tarea difícil. Dada la dificultad para determinar directamente el valor razonable de los servicios recibidos, la entidad medirá el valor razonable de los mismos por referencia al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Para aplicar los requerimientos del párrafo 10 a las transacciones con terceros distintos de los empleados, existirá una presunción refutable de que el valor razonable de los bienes o servicios recibidos puede estimarse con fiabilidad. Dicho valor razonable se medirá en la fecha en que la entidad obtenga los bienes o la contraparte preste los servicios. En los casos excepcionales en que la entidad refute esta presunción, porque no pueda estimar con fiabilidad el valor razonable de los bienes o servicios recibidos, medirá los bienes o servicios recibidos, y el incremento correspondiente en el patrimonio, indirectamente por </w:t>
      </w:r>
      <w:r w:rsidRPr="00401DFF">
        <w:rPr>
          <w:rFonts w:ascii="Times New Roman" w:eastAsia="Times New Roman" w:hAnsi="Times New Roman" w:cs="Times New Roman"/>
          <w:sz w:val="24"/>
          <w:szCs w:val="24"/>
          <w:lang w:eastAsia="es-CO"/>
        </w:rPr>
        <w:lastRenderedPageBreak/>
        <w:t>referencia al valor razonable de los instrumentos de patrimonio concedidos, medidos en la fecha en que la entidad obtenga los bienes o la contraparte preste los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13A En particular, si la contraprestación identificable recibida (si la hubiera) por la entidad parece ser inferior al valor razonable de los instrumentos de patrimonio concedidos o del pasivo incurrido, habitualmente esta circunstancia indicará que se ha recibido (o se recibirá) por la entidad otra contraprestación (es decir, bienes o servicios no identificables). La entidad medirá los bienes o servicios identificables recibidos de acuerdo con esta NIIF. La entidad medirá los bienes o servicios recibidos (o por recibir) no identificables como la diferencia entre el valor razonable del pago basado en acciones y el valor razonable de los bienes o servicios identificables recibidos (o por recibir). La entidad medirá los bienes o servicios no identificables recibidos en la fecha de la concesión. No obstante, para las transacciones liquidadas en efectivo, el pasivo se medirá nuevamente al final de cada periodo sobre el que se informa, hasta que sea cancelado de acuerdo con los párrafos 30 a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en las que se reciben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Si los instrumentos de patrimonio concedidos se </w:t>
      </w:r>
      <w:r w:rsidRPr="00401DFF">
        <w:rPr>
          <w:rFonts w:ascii="Times New Roman" w:eastAsia="Times New Roman" w:hAnsi="Times New Roman" w:cs="Times New Roman"/>
          <w:i/>
          <w:iCs/>
          <w:sz w:val="24"/>
          <w:szCs w:val="24"/>
          <w:lang w:eastAsia="es-CO"/>
        </w:rPr>
        <w:t>consolidan</w:t>
      </w:r>
      <w:r w:rsidRPr="00401DFF">
        <w:rPr>
          <w:rFonts w:ascii="Times New Roman" w:eastAsia="Times New Roman" w:hAnsi="Times New Roman" w:cs="Times New Roman"/>
          <w:sz w:val="24"/>
          <w:szCs w:val="24"/>
          <w:lang w:eastAsia="es-CO"/>
        </w:rPr>
        <w:t xml:space="preserve"> inmediatamente, la contraparte no estará obligada a completar un determinado periodo de servicios antes de que adquiera incondicionalmente el derecho sobre esos instrumentos de patrimonio. A falta de evidencia en contrario, la entidad presumirá que se han recibido los servicios a prestar por la contraparte, como contrapartida de los instrumentos de patrimonio concedidos. En este caso, la entidad reconocerá íntegramente, en la fecha de concesión, los servicios recibidos con el correspondiente aumento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15 Si los instrumentos de patrimonio concedidos no se consolidan inmediatamente, sino hasta que la contraparte complete un determinado periodo de servicios, la entidad presumirá que los servicios se van a prestar por la contraparte durante el </w:t>
      </w:r>
      <w:r w:rsidRPr="00401DFF">
        <w:rPr>
          <w:rFonts w:ascii="Times New Roman" w:eastAsia="Times New Roman" w:hAnsi="Times New Roman" w:cs="Times New Roman"/>
          <w:i/>
          <w:iCs/>
          <w:sz w:val="24"/>
          <w:szCs w:val="24"/>
          <w:lang w:eastAsia="es-CO"/>
        </w:rPr>
        <w:t>periodo de consolidación (irrevocabilidad) de la concesión</w:t>
      </w:r>
      <w:r w:rsidRPr="00401DFF">
        <w:rPr>
          <w:rFonts w:ascii="Times New Roman" w:eastAsia="Times New Roman" w:hAnsi="Times New Roman" w:cs="Times New Roman"/>
          <w:sz w:val="24"/>
          <w:szCs w:val="24"/>
          <w:lang w:eastAsia="es-CO"/>
        </w:rPr>
        <w:t xml:space="preserve"> como contraprestación de los instrumentos de patrimonio que recibirá en el futuro. La entidad contabilizará esos servicios a medida que sean prestados por la contraparte, durante el periodo en que los instrumentos de patrimonio se consolidan, junto con el correspondiente aumento en el patrimonio.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a un empleado se le conceden opciones sobre acciones, condicionadas a completar tres años de servicio, entonces la entidad presumirá que los servicios que va a prestar el empleado, como contrapartida de las opciones sobre acciones se recibirán en el futuro, a lo largo de los tres años del periodo de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 a un empleado se le conceden opciones sobre acciones, condicionadas a alcanzar un determinado nivel de rendimiento y a permanecer en la entidad hasta que dicho nivel de rendimiento se haya alcanzado, y la duración del periodo de consolidación (irrevocabilidad) de la concesión varía dependiendo de cuándo se alcance ese nivel de rendimiento, la entidad presumirá que los servicios a prestar por el trabajador, como contrapartida de las opciones sobre acciones, se recibirán en el futuro, a lo largo del periodo esperado de consolidación (irrevocabilidad) de la concesión. La entidad estimará la duración de ese </w:t>
      </w:r>
      <w:r w:rsidRPr="00401DFF">
        <w:rPr>
          <w:rFonts w:ascii="Times New Roman" w:eastAsia="Times New Roman" w:hAnsi="Times New Roman" w:cs="Times New Roman"/>
          <w:sz w:val="24"/>
          <w:szCs w:val="24"/>
          <w:lang w:eastAsia="es-CO"/>
        </w:rPr>
        <w:lastRenderedPageBreak/>
        <w:t xml:space="preserve">periodo esperado de consolidación (irrevocabilidad) en la fecha de la concesión, basándose en el desenlace más probable de la condición de rendimiento impuesta. Si el rendimiento se midiese sobre una </w:t>
      </w:r>
      <w:r w:rsidRPr="00401DFF">
        <w:rPr>
          <w:rFonts w:ascii="Times New Roman" w:eastAsia="Times New Roman" w:hAnsi="Times New Roman" w:cs="Times New Roman"/>
          <w:i/>
          <w:iCs/>
          <w:sz w:val="24"/>
          <w:szCs w:val="24"/>
          <w:lang w:eastAsia="es-CO"/>
        </w:rPr>
        <w:t>condición referida al mercado,</w:t>
      </w:r>
      <w:r w:rsidRPr="00401DFF">
        <w:rPr>
          <w:rFonts w:ascii="Times New Roman" w:eastAsia="Times New Roman" w:hAnsi="Times New Roman" w:cs="Times New Roman"/>
          <w:sz w:val="24"/>
          <w:szCs w:val="24"/>
          <w:lang w:eastAsia="es-CO"/>
        </w:rPr>
        <w:t xml:space="preserve"> la estimación de la duración del periodo esperado de consolidación (irrevocabilidad) de la concesión será coherente con las suposiciones empleadas para estimar el valor razonable de las opciones concedidas, y no se revisará posteriormente. Si la condición de rendimiento no fuese una condición referida al mercado, la entidad revisará su estimación acerca de la duración del periodo de consolidación (irrevocabilidad) de la concesión, si fuera necesario, siempre que la información posterior indicara que la duración del periodo de consolidación (irrevocabilidad) de la concesión difiere de la estimada previamente.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medidas por referencia al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Para las transacciones medidas por referencia al valor razonable de los instrumentos de patrimonio concedidos, la entidad determinará el valor razonable de esos instrumentos en la </w:t>
      </w:r>
      <w:r w:rsidRPr="00401DFF">
        <w:rPr>
          <w:rFonts w:ascii="Times New Roman" w:eastAsia="Times New Roman" w:hAnsi="Times New Roman" w:cs="Times New Roman"/>
          <w:i/>
          <w:iCs/>
          <w:sz w:val="24"/>
          <w:szCs w:val="24"/>
          <w:lang w:eastAsia="es-CO"/>
        </w:rPr>
        <w:t>fecha de medición,</w:t>
      </w:r>
      <w:r w:rsidRPr="00401DFF">
        <w:rPr>
          <w:rFonts w:ascii="Times New Roman" w:eastAsia="Times New Roman" w:hAnsi="Times New Roman" w:cs="Times New Roman"/>
          <w:sz w:val="24"/>
          <w:szCs w:val="24"/>
          <w:lang w:eastAsia="es-CO"/>
        </w:rPr>
        <w:t xml:space="preserve"> basándose en los precios de mercado si estuvieran disponibles, teniendo en cuenta los plazos y condiciones sobre los que esos instrumentos de patrimonio fueron concedidos (considerando los requerimientos de los párrafos 19 a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los precios de mercado no estuvieran disponibles, la entidad estimará el valor razonable de los instrumentos de patrimonio concedidos utilizando una técnica de valoración para estimar cuál habría sido el precio de esos instrumentos de patrimonio en una transacción en condiciones de independencia mutua, realizada entre partes interesadas y debidamente informadas. La técnica de valoración será coherente con las metodologías de valoración generalmente aceptadas para la fijación de precios de los instrumentos financieros, e incorporará todos los factores y suposiciones que sean conocidas, y que considerarían los participantes en el mercado a la hora de fijar el precio (teniendo en cuenta los requerimientos de los párrafos 19 a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El Apéndice B contiene guías adicionales sobre la determinación del valor razonable de las acciones y las opciones sobre acciones, centrándose en particular en los términos y condiciones que son normalmente utilizados en una concesión de acciones o de opciones sobre acciones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Tratamiento de las condiciones para la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19 La concesión de instrumentos de patrimonio podría estar condicionada al cumplimiento de determinadas </w:t>
      </w:r>
      <w:r w:rsidRPr="00401DFF">
        <w:rPr>
          <w:rFonts w:ascii="Times New Roman" w:eastAsia="Times New Roman" w:hAnsi="Times New Roman" w:cs="Times New Roman"/>
          <w:i/>
          <w:iCs/>
          <w:sz w:val="24"/>
          <w:szCs w:val="24"/>
          <w:lang w:eastAsia="es-CO"/>
        </w:rPr>
        <w:t>condiciones para la consolidación (irrevocabilidad) de la concesión</w:t>
      </w:r>
      <w:r w:rsidRPr="00401DFF">
        <w:rPr>
          <w:rFonts w:ascii="Times New Roman" w:eastAsia="Times New Roman" w:hAnsi="Times New Roman" w:cs="Times New Roman"/>
          <w:sz w:val="24"/>
          <w:szCs w:val="24"/>
          <w:lang w:eastAsia="es-CO"/>
        </w:rPr>
        <w:t xml:space="preserve">. Por ejemplo, la concesión de acciones o de opciones sobre acciones a un empleado habitualmente está condicionada a que el empleado siga prestando sus servicios, en la entidad, a lo largo de un determinado periodo de tiempo. También podrían existir condiciones relativas al rendimiento esperado, tales como que la entidad alcanzara un crecimiento específico en sus beneficios o un determinado incremento en el precio de sus acciones. Las condiciones para la consolidación (irrevocabilidad) de la concesión, distintas </w:t>
      </w:r>
      <w:r w:rsidRPr="00401DFF">
        <w:rPr>
          <w:rFonts w:ascii="Times New Roman" w:eastAsia="Times New Roman" w:hAnsi="Times New Roman" w:cs="Times New Roman"/>
          <w:sz w:val="24"/>
          <w:szCs w:val="24"/>
          <w:lang w:eastAsia="es-CO"/>
        </w:rPr>
        <w:lastRenderedPageBreak/>
        <w:t>de las condiciones referidas al mercado, no serán tenidas en cuenta al estimar el valor razonable de las acciones o de las opciones sobre acciones en la fecha de medición. En cambio, las condiciones para la consolidación (irrevocabilidad) de la concesión se tendrán en cuenta, ajustando el número de instrumentos de patrimonio incluidos en la determinación del importe de la transacción, de forma que, en última instancia, el importe reconocido por los bienes o servicios recibidos como contraprestación de los instrumentos de patrimonio concedidos, se basará en el número de instrumentos de patrimonio que eventualmente se vayan a consolidar. Por ello, no se reconocerá ningún importe acumulado por los bienes o servicios recibidos, si los instrumentos de patrimonio concedidos no se consolidan a consecuencia del incumplimiento de alguna condición necesaria para la irrevocabilidad (consolidación) de la concesión, por ejemplo, si la contraparte no completa un determinado periodo de prestación de servicios, o no cumple alguna condición relativa al rendimiento, teniendo en cuenta los requerimientos del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Para aplicar los requerimientos del párrafo 19, la entidad reconocerá un importe, por los bienes o servicios recibidos durante el periodo para la irrevocabilidad (consolidación) de la concesión, basado en la mejor estimación disponible del número de instrumentos de patrimonio que se espere consolidar y revisará esta estimación, si es necesario, siempre que la información posterior indique que el número de instrumentos de patrimonio que se espere consolidar difiera de las estimaciones previas. En la fecha de irrevocabilidad (consolidación) de la concesión, la entidad revisará la estimación para que sea igual al número de instrumentos de patrimonio que finalmente cumplirán las condiciones para la irrevocabilidad (consolidación) de la concesión, teniendo en cuenta los requerimientos del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Las condiciones referidas al mercado, como por ejemplo un precio objetivo de la acción al que esté condicionada la consolidación (irrevocabilidad) de la concesión (o su ejercicio), se tendrán en cuenta al estimar el valor razonable de los instrumentos de patrimonio concedidos. Por eso, para la concesión de instrumentos de patrimonio con condiciones referidas al mercado, la entidad reconocerá los bienes o servicios recibidos de la contraparte que satisfagan el resto de condiciones para la consolidación (irrevocabilidad) de la concesión (por ejemplo, los servicios recibidos de un empleado que permanezca en activo durante el periodo requerido), independientemente de que se cumpla la condición referida al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Tratamiento de las condiciones distintas a las de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21A De forma similar, una entidad tendrá en cuenta, al estimar el valor razonable de los instrumentos de patrimonio concedidos, todas las condiciones distintas a las de consolidación (irrevocabilidad) de los mismos. Por ello, en los casos de concesión de instrumentos de patrimonio con condiciones distintas a las de consolidación (irrevocabilidad), la entidad reconocerá los bienes o servicios, recibidos de una contraparte que satisfaga todas las condiciones para la consolidación (irrevocabilidad) que no se refieran al mercado (por ejemplo, las que tienen relación con los servicios recibidos de un empleado que permanezca en servicio durante el periodo requerido), independientemente de que se cumplan dichas condiciones distintas a las de consolidación (irrevocabilidad).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Tratamiento de un componente de renovación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22 En las opciones que tengan un </w:t>
      </w:r>
      <w:r w:rsidRPr="00401DFF">
        <w:rPr>
          <w:rFonts w:ascii="Times New Roman" w:eastAsia="Times New Roman" w:hAnsi="Times New Roman" w:cs="Times New Roman"/>
          <w:i/>
          <w:iCs/>
          <w:sz w:val="24"/>
          <w:szCs w:val="24"/>
          <w:lang w:eastAsia="es-CO"/>
        </w:rPr>
        <w:t>componente de renovación</w:t>
      </w:r>
      <w:r w:rsidRPr="00401DFF">
        <w:rPr>
          <w:rFonts w:ascii="Times New Roman" w:eastAsia="Times New Roman" w:hAnsi="Times New Roman" w:cs="Times New Roman"/>
          <w:sz w:val="24"/>
          <w:szCs w:val="24"/>
          <w:lang w:eastAsia="es-CO"/>
        </w:rPr>
        <w:t xml:space="preserve">, éste no se tendrá en cuenta al estimar el valor razonable de las opciones concedidas, en la fecha de medición. En cambio, una </w:t>
      </w:r>
      <w:r w:rsidRPr="00401DFF">
        <w:rPr>
          <w:rFonts w:ascii="Times New Roman" w:eastAsia="Times New Roman" w:hAnsi="Times New Roman" w:cs="Times New Roman"/>
          <w:i/>
          <w:iCs/>
          <w:sz w:val="24"/>
          <w:szCs w:val="24"/>
          <w:lang w:eastAsia="es-CO"/>
        </w:rPr>
        <w:t>opción de renovación</w:t>
      </w:r>
      <w:r w:rsidRPr="00401DFF">
        <w:rPr>
          <w:rFonts w:ascii="Times New Roman" w:eastAsia="Times New Roman" w:hAnsi="Times New Roman" w:cs="Times New Roman"/>
          <w:sz w:val="24"/>
          <w:szCs w:val="24"/>
          <w:lang w:eastAsia="es-CO"/>
        </w:rPr>
        <w:t xml:space="preserve"> se contabilizará como una nueva opción concedida, siempre que se conceda posteriormente, y en ese mismo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Después de la fecha de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Una vez que haya reconocido los bienes y servicios recibidos, de acuerdo con los párrafos 10 a 22, así como el correspondiente incremento en el patrimonio, la entidad no realizará ajustes adicionales al patrimonio tras la fecha de irrevocabilidad (consolidación) de la concesión. Por ejemplo, la entidad no revertirá posteriormente el importe reconocido por los servicios recibidos de un empleado, si los instrumentos de patrimonio cuyos derechos ha consolidado son objeto de revocación o, en el caso de las opciones sobre acciones, si las opciones no se llegan a ejercitar. Sin embargo, este requerimiento no impide que la entidad reconozca una transferencia dentro del patrimonio, es decir, una transferencia desde un componente de patrimonio a otro.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Cuando el valor razonable de los instrumentos de patrimonio no puede estimarse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Los requerimientos contenidos en los párrafos 16 a 23 se aplicarán cuando la entidad esté obligada a medir una transacción con pagos basados en acciones, por referencia al valor razonable de los instrumentos de patrimonio concedidos. En ocasiones excepcionales, la entidad podría ser incapaz de estimar con fiabilidad el valor razonable de los instrumentos de patrimonio concedidos en la fecha de medición, de acuerdo con los requerimientos de los párrafos 16 a 22. Sólo en estas ocasiones excepcionales,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Medirá inicialmente los instrumentos de patrimonio por su </w:t>
      </w:r>
      <w:r w:rsidRPr="00401DFF">
        <w:rPr>
          <w:rFonts w:ascii="Times New Roman" w:eastAsia="Times New Roman" w:hAnsi="Times New Roman" w:cs="Times New Roman"/>
          <w:i/>
          <w:iCs/>
          <w:sz w:val="24"/>
          <w:szCs w:val="24"/>
          <w:lang w:eastAsia="es-CO"/>
        </w:rPr>
        <w:t>valor intrínseco,</w:t>
      </w:r>
      <w:r w:rsidRPr="00401DFF">
        <w:rPr>
          <w:rFonts w:ascii="Times New Roman" w:eastAsia="Times New Roman" w:hAnsi="Times New Roman" w:cs="Times New Roman"/>
          <w:sz w:val="24"/>
          <w:szCs w:val="24"/>
          <w:lang w:eastAsia="es-CO"/>
        </w:rPr>
        <w:t xml:space="preserve"> en la fecha en la que la entidad obtenga los bienes o la contraparte preste los servicios, y posteriormente, al final de cada periodo sobre el que se informa y en la fecha de la liquidación definitiva, reconociendo los cambios de dicho valor intrínseco en el resultado del periodo. En una concesión de opciones sobre acciones, el acuerdo con pagos basados en acciones se liquidará finalmente cuando se ejerciten las opciones, se pierdan (por ejemplo por producirse la baja en el empleo) o caduquen (por ejemplo al término de la vida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Reconocerá los bienes o servicios recibidos basándose en el número de instrumentos de patrimonio que finalmente se consoliden o (cuando sea aplicable) sean finalmente ejercidos. Para aplicar este requerimiento a las opciones sobre acciones, por ejemplo, la entidad reconocerá los bienes o servicios recibidos durante el periodo para la irrevocabilidad (consolidación) de la concesión, de acuerdo con los párrafos 14 y 15, excepto que los requerimientos contenidos en el apartado (b) del párrafo 15 relativos a las condiciones referidas al mercado, no serán aplicables. El importe reconocido de los bienes y servicios recibidos durante el periodo para la consolidación (irrevocabilidad) de la concesión se basará en el número de opciones sobre acciones que se espera sean </w:t>
      </w:r>
      <w:r w:rsidRPr="00401DFF">
        <w:rPr>
          <w:rFonts w:ascii="Times New Roman" w:eastAsia="Times New Roman" w:hAnsi="Times New Roman" w:cs="Times New Roman"/>
          <w:sz w:val="24"/>
          <w:szCs w:val="24"/>
          <w:lang w:eastAsia="es-CO"/>
        </w:rPr>
        <w:lastRenderedPageBreak/>
        <w:t>consolidadas. La entidad revisará esa estimación, si fuera necesario, si las informaciones posteriores indicasen que el número de opciones sobre acciones que se espera que consoliden, difiera de las estimaciones previas. En la fecha de consolidación (irrevocabilidad) de la concesión, la entidad revisará la estimación para que sea igual al número de instrumentos de patrimonio que finalmente queden consolidados. Tras la fecha de vencimiento del plazo para consolidar, la entidad revertirá el importe reconocido de bienes o de servicios recibidos si las opciones sobre acciones son posteriormente anuladas, o caducan al término de su vida.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Si la entidad aplica el párrafo 24, no será necesario que aplique los párrafos 26 a 29, puesto que cualquier modificación de los plazos y condiciones, sobre los que los instrumentos de patrimonio fueron concedidos, será tenida en cuenta al aplicar el método del valor intrínseco establecido en el párrafo 24. Sin embargo, cuando la entidad liquide una concesión de instrumentos de patrimonio a los que se ha aplicado el párrafo 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liquidación tuviese lugar durante el periodo para la consolidación (irrevocabilidad) de la concesión, la entidad contabilizará la liquidación como una aceleración de la consolidación (irrevocabilidad) de la concesión, y por ello, reconocerá inmediatamente el importe que, en otro caso, se hubiera reconocido por los servicios recibidos a lo largo del periodo de consolidación (irrevocabilidad) de la concesión que reste.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pago realizado en la liquidación se contabilizará como una recompra de instrumentos de patrimonio, es decir, como una deducción del patrimonio, salvo, y en la medida en que, el pago exceda del valor intrínseco de los instrumentos de patrimonio, valorados en la fecha de recompra. Cualquier exceso se reconocerá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Modificaciones en los plazos y condiciones de concesión de los instrumentos de patrimonio, incluyendo las cancelaciones y las liquidaciones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La entidad podría modificar los plazos y condiciones en las que los instrumentos de patrimonio fueron concedidos. Por ejemplo, podría reducir el precio de ejercicio de opciones concedidas a los empleados (es decir, volver a determinar el precio de las opciones), lo que aumentará el valor razonable de dichas opciones. Los requerimientos de los párrafos 27 a 29, para contabilizar los efectos de las modificaciones, se refieren al contexto de las transacciones con pagos basados en acciones con los empleados. No obstante, esos requerimientos serán también de aplicación a transacciones con pagos basados en acciones con sujetos distintos de los empleados, que se valoren por referencia al valor razonable de los instrumentos de patrimonio concedidos. En este último caso, las referencias que figuran en los párrafos 27 a 29 relativas a la fecha de concesión, se deberán referir, en su lugar, a la fecha en que la entidad obtenga los bienes o la contraparte preste los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27 La entidad reconocerá, como mínimo, los servicios recibidos medidos por su valor razonable en la fecha de concesión de los instrumentos de patrimonio otorgados, a menos que tales instrumentos de patrimonio no queden consolidados por no cumplir alguna condición necesaria para la consolidación (irrevocabilidad) de la concesión (distinta de una condición referida al mercado) que fuera impuesta en la fecha de concesión. Esto se </w:t>
      </w:r>
      <w:r w:rsidRPr="00401DFF">
        <w:rPr>
          <w:rFonts w:ascii="Times New Roman" w:eastAsia="Times New Roman" w:hAnsi="Times New Roman" w:cs="Times New Roman"/>
          <w:sz w:val="24"/>
          <w:szCs w:val="24"/>
          <w:lang w:eastAsia="es-CO"/>
        </w:rPr>
        <w:lastRenderedPageBreak/>
        <w:t>aplicará independientemente de cualquier modificación de los plazos y condiciones en que los instrumentos de patrimonio fueron otorgados, o de una cancelación o liquidación referentes a esa concesión de instrumentos de patrimonio. Además, la entidad reconocerá los efectos de las modificaciones que aumenten el total del valor razonable de los acuerdos con pagos basados en acciones o bien sean, de alguna otra forma, beneficiosos para el empleado. En el Apéndice B se dan guías sobre la aplicación de este requerimiento.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Si se cancela o liquida una concesión de instrumentos de patrimonio durante el periodo para la consolidación (irrevocabilidad) de dicha concesión (por causa distinta de una cancelación derivada de falta de cumplimiento de las condiciones para la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contabilizará la cancelación o la liquidación como una aceleración de la consolidación (irrevocabilidad) de la concesión, y por ello reconocerá inmediatamente el importe que, en otro caso, habría reconocido por los servicios recibidos a lo largo del periodo de consolidación (irrevocabilidad) de la concesión restante.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pago hecho al empleado para la cancelación o liquidación de la concesión se contabilizará como la recompra de una participación en el patrimonio, es decir como una deducción del patrimonio, salvo, y en la medida en que, los pagos excedan al valor razonable de los instrumentos concedidos, medido en la fecha de recompra. Cualquier exceso se reconocerá como un gasto. Sin embargo, si el acuerdo con pagos basados en acciones incluía componentes de pasivo, la entidad medirá nuevamente el valor razonable del pasivo a la fecha de la cancelación o liquidación. Cualquier pago realizado para liquidar el componente de pasivo se contabilizará como una extinción de dicho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se concediesen nuevos instrumentos de patrimonio a los empleados y, en la fecha de su concesión, la entidad identificase los nuevos instrumentos de patrimonio concedidos como instrumentos de patrimonio sustitutivos de los instrumentos de patrimonio cancelados, la entidad contabilizará la concesión de los instrumentos de patrimonio sustitutivos como si se tratara de una modificación en la concesión original de los instrumentos de patrimonio, de acuerdo con el párrafo 27 y las guías del Apéndice B. El incremento en el valor razonable concedido será la diferencia entre el valor razonable de los instrumentos de patrimonio sustituidos y el valor razonable neto de los instrumentos de patrimonio cancelados, en la fecha en la que se conceda la sustitución. El valor razonable neto de los instrumentos de patrimonio cancelados será su valor razonable, inmediatamente antes de la cancelación, menos el importe de cualquier pago realizado a los empleados en el momento de la cancelación de dichos instrumentos, que se contabilizará como una deducción del patrimonio, de acuerdo con el apartado (b) anterior. Si la entidad no identificase los nuevos instrumentos de patrimonio concedidos como instrumentos de patrimonio sustitutivos de los instrumentos de patrimonio cancelados, contabilizará esos nuevos instrumentos de patrimonio como una nueva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28A Si una entidad o la contraparte pueden elegir sobre cumplir o no una condición distinta a las de consolidación (irrevocabilidad) de la concesión, durante el periodo de consolidación de la misma, la entidad tratará la falta de cumplimiento de dicha condición, ya sea por la entidad o la contraparte, como una cancelación.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29 Si la entidad recomprase instrumentos de patrimonio ya consolidados, el pago realizado a los empleados se contabilizará como una deducción del patrimonio, salvo, y en la medida en que, el pago exceda del valor razonable de los instrumentos de patrimonio recomprados, medido en la fecha de recompra. Cualquier exceso se reconocerá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liquidadas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Para las transacciones con pagos basados en acciones liquidadas en efectivo, la entidad medirá los bienes o servicios adquiridos y el pasivo en el que haya incurrido, al valor razonable del pasivo. Hasta que el pasivo se liquide, la entidad volverá a medir el valor razonable del pasivo al final de cada periodo sobre el que se informa, así como en la fecha de liquidación, reconociendo cualquier cambio en el valor razonable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Por ejemplo, la entidad podría conceder a los empleados derechos sobre la revaluación de las acciones como parte de su remuneración, por lo cual los empleados adquirirán el derecho a un pago futuro de efectivo (más que el derecho a un instrumento de patrimonio), que se basará en el incremento del precio de la acción de la entidad a partir de un determinado nivel, a lo largo de un periodo de tiempo determinado. O bien, la entidad podría conceder a sus empleados el derecho a recibir un pago de efectivo futuro, mediante la concesión de un derecho sobre acciones (incluyendo acciones a emitir al ejercitar las opciones sobre acciones) que sean canjeables por efectivo, ya sea de manera obligatoria (por ejemplo al cese del empleo) o a elección del empleado.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La entidad reconocerá los servicios recibidos, y el pasivo a pagar por tales servicios, a medida que los empleados presten el servicio. Por ejemplo, algunos derechos sobre la revaluación de acciones se consolidan inmediatamente y por ello, los empleados no están obligados a completar un determinado periodo de servicio para tener derecho al pago en efectivo. A falta de evidencia en contrario, la entidad presumirá que ha recibido, de los empleados, los servicios por los que les han sido concedidos derechos sobre la revaluación de las acciones. Así, la entidad reconocerá inmediatamente, tanto los servicios recibidos, como el pasivo derivado de su obligación de pago. Si los derechos sobre la revaluación de acciones no fuesen consolidados hasta que los empleados hayan completado un determinado periodo de servicio, la entidad reconocerá los servicios recibidos, y el pasivo derivado de la obligación de pago, a medida que los empleados presten sus servicios durante el periodo de tiempo correspondiente.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El pasivo se medirá, tanto inicialmente como al final de cada periodo sobre el que se informe, hasta su liquidación, al valor razonable de los derechos sobre la revaluación de las acciones, mediante la aplicación de un modelo de valoración de opciones, teniendo en cuenta los plazos y condiciones de concesión de los citados derechos, y en la medida en que los empleados hayan prestado sus servicios hasta la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que dan alternativas de liquidación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34 En las transacciones con pagos basados en acciones en que los términos del acuerdo proporcionen a la entidad, o a la contraparte, la opción de que la entidad liquide la transacción en efectivo (u otros activos) o mediante la emisión de instrumentos de patrimonio, la entidad contabilizará esa transacción, o sus componentes, como una transacción con pagos basados en acciones que se va a liquidar en efectivo si, y en la medida en que, la entidad hubiese incurrido en un pasivo para liquidar en efectivo u otros activos, o como una transacción con pagos basados en acciones que se va a liquidar con instrumentos de patrimonio siempre, y en la medida en que, no haya incurrido en ese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en las que los términos del acuerdo proporcionan a la contraparte la elección del medio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Si la entidad ha concedido a la contraparte el derecho a elegir si una transacción con pagos basados en acciones va a ser liquidada en efectivo</w:t>
      </w:r>
      <w:hyperlink r:id="rId77" w:anchor="bf14dabbca6bbe24ceeb28aebc928f3e110nf9" w:tgtFrame="_self" w:history="1">
        <w:r w:rsidRPr="00401DFF">
          <w:rPr>
            <w:rFonts w:ascii="Times New Roman" w:eastAsia="Times New Roman" w:hAnsi="Times New Roman" w:cs="Times New Roman"/>
            <w:color w:val="0000FF"/>
            <w:sz w:val="20"/>
            <w:szCs w:val="20"/>
            <w:u w:val="single"/>
            <w:vertAlign w:val="superscript"/>
            <w:lang w:eastAsia="es-CO"/>
          </w:rPr>
          <w:t>(73)</w:t>
        </w:r>
      </w:hyperlink>
      <w:r w:rsidRPr="00401DFF">
        <w:rPr>
          <w:rFonts w:ascii="Times New Roman" w:eastAsia="Times New Roman" w:hAnsi="Times New Roman" w:cs="Times New Roman"/>
          <w:sz w:val="24"/>
          <w:szCs w:val="24"/>
          <w:lang w:eastAsia="es-CO"/>
        </w:rPr>
        <w:t xml:space="preserve"> o mediante la emisión de instrumentos de patrimonio, entonces la entidad habrá concedido un instrumento financiero compuesto, que incluye un componente de deuda (esto es, el derecho de la contraparte a exigir el pago en efectivo) y un componente de patrimonio (es decir, el derecho de la contraparte para solicitar que la liquidación se realice mediante instrumentos de patrimonio en lugar de hacerlo en efectivo). En las transacciones con terceros distintos de los empleados, en las que el valor razonable de los bienes o servicios recibidos se determine directamente, la entidad medirá el componente de patrimonio del instrumento financiero compuesto, como la diferencia entre el valor razonable de los bienes o servicios recibidos y el valor razonable del componente de deuda, en la fecha en la que los bienes o servicios se reciban.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En otras transacciones, incluyendo las transacciones con los empleados, la entidad determinará el valor razonable del instrumento financiero compuesto en la fecha de medición, teniendo en cuenta los plazos y condiciones en los que fueran concedidos los derechos a recibir efectivo o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Para aplicar el párrafo 36, la entidad determinará primero el valor razonable del componente de deuda, y posteriormente, determinará el valor razonable del componente de patrimonio —teniendo en cuenta que la contraparte debe anular el derecho a recibir efectivo para recibir el instrumento de patrimonio. El valor razonable del instrumento financiero compuesto es la suma de los valores razonables de los dos componentes. Sin embargo, las transacciones con pagos basados en acciones, en las que la contraparte tiene la opción de elegir el medio de liquidación, se estructuran a menudo de forma que el valor razonable de una alternativa de liquidación sea el mismo que el de la otra. Por ejemplo, la contraparte podría tener la opción de recibir opciones sobre acciones o la liquidación en efectivo de los derechos de la revaluación de acciones. En estos casos, el valor razonable del componente de patrimonio será nulo, y por tanto, el valor razonable del instrumento financiero compuesto será igual al valor razonable del componente de deuda. Por el contrario, si los valores razonables de las alternativas de liquidación difieren, el valor razonable del componente de patrimonio habitualmente será mayor que cero, en cuyo caso el valor razonable del instrumento financiero compuesto será mayor que el valor razonable del componente de deuda.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38 La entidad contabilizará independientemente los bienes o servicios recibidos o adquiridos con relación a cada componente del instrumento financiero compuesto. Para el componente de deuda, la entidad reconocerá los bienes o servicios adquiridos, y un pasivo por la obligación de pagar dichos bienes o servicios, a medida que la contraparte suministra bienes o presta servicios, de acuerdo con los requerimientos que se aplican a las transacciones con pagos basados en acciones liquidadas en efectivo (párrafos 30 a 33). Para el componente de patrimonio (si existiera), la entidad reconocerá los bienes o servicios recibidos, y un aumento en el patrimonio, a medida que la contraparte suministre los bienes o servicios, de acuerdo con los requerimientos aplicables a las transacciones con pagos basados en acciones que se liquidan en instrumentos de patrimonio (párrafos 10 a 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En la fecha de liquidación, la entidad volverá a medir el pasivo a su valor razonable. Si la entidad emitiese instrumentos de patrimonio para la liquidación, en lugar de hacerla en efectivo, el pasivo se transferirá directamente al patrimonio, como contrapartida por los instrumentos de patrimonio emitidos.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Si la entidad liquidase la transacción en efectivo, en lugar de emitir instrumentos de patrimonio, dicho pago se aplicará a liquidar el pasivo en su totalidad. Cualquier componente de patrimonio reconocido previamente, permanecerá dentro del mismo. Al elegir recibir efectivo para liquidar la transacción, la contraparte anula su derecho a recibir instrumentos de patrimonio. Sin embargo, este requerimiento no impide que la entidad reconozca una transferencia dentro del patrimonio, es decir, una transferencia desde un componente de patrimonio a otro.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en las que las condiciones del acuerdo proporcionan a la entidad la opción de elegir el medio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En una transacción con pagos basados en acciones en la que los términos del acuerdo proporcionan a la entidad la posibilidad de elegir si se liquida en efectivo o mediante la emisión de instrumentos de patrimonio, la entidad determinará si tiene una obligación presente de liquidar en efectivo, y contabilizará en consecuencia. La entidad tiene una obligación presente para liquidar en efectivo cuando la decisión de liquidar en instrumentos de patrimonio no tenga carácter o fundamento comercial (por ejemplo, porque la entidad tenga legalmente prohibido la emisión de acciones), o la entidad tuviera una práctica pasada o una política establecida de liquidar en efectivo, o generalmente liquide en efectivo cuando la contraparte lo solicite.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Si la entidad tuviera una obligación presente de liquidar en efectivo, contabilizará la transacción de acuerdo con los requerimientos aplicables a las transacciones con pagos basados en acciones que se liquidan en efectivo, que figuran en los párrafos 30 a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Si no existiese esta obligación, la entidad contabilizará la transacción de acuerdo con los requerimientos aplicables a las transacciones con pagos basados en acciones liquidadas en instrumentos de patrimonio, que figuran en los párrafos 10 a 29. En el momento de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Si la entidad eligiese liquidar en efectivo, el pago en efectivo se registrará como una recompra de una participación en el patrimonio, es decir, como una deducción del importe del patrimonio, excepto por lo señalado en el párrafo (c)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entidad eligiese liquidar mediante la emisión de instrumentos de patrimonio, no se requieren otras contabilizaciones (distintas de la transferencia de un componente de patrimonio a otro, si fuera necesario), excepto por lo señalado en el párrafo (c)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entidad eligiese la alternativa de liquidación por el mayor valor razonable, en la fecha de liquidación, la entidad reconocerá un gasto adicional por el exceso de valor entregado, esto es la diferencia entre el efectivo pagado y el valor razonable de los instrumentos de patrimonio que hubiera tenido que emitir, o la diferencia entre el valor razonable de los instrumentos de patrimonio emitidos y el importe de efectivo que en otro caso habría tenido que pagar, según lo que resulte aplicable.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entre entidades del grupo (modificaciones de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43A Para transacciones con pagos basados en acciones entre entidades del grupo, la entidad que recibe los bienes o servicios medirá éstos en sus estados financieros separados o individuales, como una transacción con pagos basados en acciones liquidada mediante instrumentos de patrimonio o mediante efectivo, evaluando: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 los incentivos concedidos,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sus propios derechos y obligaciones.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importe reconocido por la entidad que recibe los bienes o servicios puede diferir del importe reconocido por el grupo consolidado o por otra entidad del grupo que liquida la transacción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43B La entidad que recibe los bienes o servicios medirá los bienes o servicios recibidos como una transacción con pagos basados en acciones liquidadas mediante instrumentos de patrimonio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incentivos concedidos sean sus instrumentos de patrimonio propio,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no tenga obligación de liquidar la transacción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 posterioridad, la entidad medirá nuevamente la transacción con pagos basados en acciones liquidadas mediante instrumentos de patrimonio solo por los cambios en las condiciones para la consolidación (o irrevocabilidad) de la concesión distintas de las referidas al mercado de acuerdo con los párrafos 19 a 21. En el resto de circunstancias, la entidad que recibe los bienes o servicios medirá los bienes o servicios recibidos como una transacción con basados en acciones liquidadas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43C Cuando otra entidad en el grupo reciba los bienes o servicios, la entidad que liquida la transacción con pagos basados en acciones reconocerá la transacción como una transacción con pagos basados en acciones liquidada mediante instrumentos de patrimonio solo si se liquida con instrumentos de patrimonio propio de la entidad. En otro caso, la transacción se reconocerá como una transacción con pagos basados en acciones liquidadas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43D Algunas transacciones del grupo involucran acuerdos de reembolso que requieren que una entidad del grupo pague a otra entidad del grupo por la aportación de los pagos basados en acciones a los proveedores de los bienes o servicios. En estos casos, la entidad que recibe los bienes o servicios contabilizará la transacción con pagos basados en acciones de acuerdo con el párrafo 43B sin importar los acuerdos de reembolso intragrupo.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 Una entidad revelará información que permita, a los usuarios de los estados financieros, comprender la naturaleza y alcance de los acuerdos con pagos basados en acciones que se hayan producido a lo largo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Para que tenga efecto el contenido del párrafo 44, la entidad revelará al menos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cada tipo de acuerdo con pagos basados en acciones que haya existido a lo largo del periodo, incluyendo los plazos y condiciones generales de cada acuerdo, tales como requerimientos para la consolidación de los derechos, el plazo máximo de las opciones emitidas y el método de liquidación (por ejemplo en efectivo o en instrumentos de patrimonio). Una entidad cuyos tipos de acuerdos con pagos basados en acciones sean básicamente similares, puede agrupar esta información, a menos que fuera necesario presentar información independiente de cada uno de los acuerdos para cumplir el principio establecido en el párrafo 44.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número y el promedio ponderado de los precios de ejercicio de las opciones sobre acciones, para cada uno de los siguientes grupos de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existentes al comienzo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concedidas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anuladas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ejercitadas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que hayan caducado a lo largo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existentes al final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susceptibles de ejercicio al final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Para las opciones sobre acciones ejercitadas durante el periodo, el precio promedio ponderado de las acciones en la fecha de ejercicio. Si las opciones hubieran sido ejercitadas de manera regular a lo largo del periodo, entonces la entidad podría revelar el precio promedio ponderado de la acción durante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Para las opciones existentes al final del periodo, el rango de precios de ejercicio y el promedio ponderado de la vida contractual restante. Si el rango total de los precios de ejercicio fuera amplio, las opciones existentes se dividirán en rangos que sean significativos para evaluar el número de acciones y los momentos en los que las acciones adicionales podrían ser emitidas, así como el efectivo que podría ser recibido como consecuencia del ejercicio de esas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46 Una entidad revelará información que permita a los usuarios de los estados financieros comprender cómo se ha determinado, durante el periodo, el valor razonable de los bienes o servicios recibidos o el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Si la entidad ha determinado de forma indirecta el valor razonable de los bienes o servicios recibidos como contrapartida de los instrumentos de patrimonio de la entidad, por referencia al valor razonable de los instrumentos de patrimonio concedidos, para cumplir con el contenido del párrafo 46, la entidad revelará al menos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las opciones sobre acciones concedidas durante el periodo, el valor razonable promedio ponderado de estas opciones a la fecha de medición, así como información sobre cómo se ha determinado el valor razonable,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modelo de valoración de opciones usado y los datos de entrada utilizados en dicho modelo, incluyendo el precio promedio ponderado de la acción, el precio de ejercicio, la volatilidad esperada, la vida de la opción, los dividendos esperados, la tasa de interés libre de riesgo y otros datos de entrada del modelo, donde se incluirá el método empleado y las suposiciones hechas para incorporar los posibles efectos del ejercicio anticipado de las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cómo se ha determinado la volatilidad esperada, incluyendo una explicación de la medida en que la volatilidad se basa en la volatilidad histórica;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cómo se han incorporado, en su caso, otras características de la opción concedida en la determinación del valor razonable, tales como algunas condiciones referidas al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otros instrumentos de patrimonio concedidos durante el periodo (esto es, los que sean distintos de opciones sobre acciones), el número y valor razonable promedio ponderado de esos instrumentos en la fecha de medición, así como información acerca de cómo se ha determinado este valor razonable,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el valor razonable no se hubiese determinado sobre la base de un precio de mercado observable, la forma concreta de calcularlo;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si se han incorporado, y cómo, en su caso, los dividendos esperados al proceder a la determinación del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si se ha incorporado, y cómo, en su caso, cualquier otra característica de los instrumentos de patrimonio concedidos que se incluyera en la determinación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los acuerdos con pagos basados en acciones que se modificaron a lo largo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explicación de esas modificaciones;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valor razonable incremental concedido (como resultado de esas modificaciones);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información sobre cómo se midió el valor razonable incremental concedido, de manera coherente con los requerimientos establecidos en los apartados (a) y (b) anteriores, cuando ello sea aplicable.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Si la entidad hubiera medido directamente el valor razonable de los bienes o servicios recibidos durante el periodo, revelará cómo se ha calculado ese valor razonable, por ejemplo si el valor razonable se hubiera determinado utilizando el precio de mercado para esos bienes o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Si la entidad hubiese refutado la presunción contenida en el párrafo 13, revelará ese hecho, y dará una explicación de por qué dicha presunción fue refutada.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50 Una entidad revelará información que permita a los usuarios de los estados financieros comprender el efecto de las transacciones con pagos basados en acciones sobre el resultado de la entidad durante el periodo, así como sobre su posición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 Para que tenga efecto el contenido del párrafo 50, la entidad revelará al menos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gasto total reconocido durante el periodo procedente de transacciones con pagos basados en acciones en las que los bienes o servicios recibidos no cumplían las condiciones para su reconocimiento como activos y, por tanto, fueron reconocidos inmediatamente como un gasto, incluyendo información por separado de la porción del total de los gastos procedentes de transacciones que se han contabilizado como transacciones con pagos basados en acciones que se liquidan en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los pasivos procedentes de transacciones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importe total en libros al final del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el valor intrínseco total de los pasivos al final del periodo para los que los derechos de la contraparte a recibir efectivo u otros activos se han consolidado al final del periodo (por ejemplo derechos consolidados sobre la revaluación de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Si la información a revelar requerida por la NIIF no cumpliera los principios contenidos en los párrafos 44, 46 y 50, la entidad revelará tanta información adicional como sea necesaria para cumplir con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En las transacciones con pagos basados en acciones liquidadas en instrumentos de patrimonio, la entidad aplicará esta NIIF a las concesiones de acciones, opciones sobre acciones u otros instrumentos de patrimonio que fueron concedidos con posterioridad al 7 de noviembre de 2002, y todavía no hubieran consolidado los derechos correspondientes en la fecha de entrada en vigor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Se aconseja, pero no se obliga, a la entidad, a aplicar esta NIIF a otras concesiones de instrumentos de patrimonio si la entidad ha revelado públicamente el valor razonable de dichos instrumentos de patrimonio, determinado en su fecha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Para todas las concesiones de instrumentos de patrimonio a las se aplique esta NIIF, la entidad reexpresará la información comparativa y, cuando sea aplicable, ajustará el saldo inicial de las ganancias (pérdidas) acumuladas del periodo más antiguo para el que se presente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Para todas las concesiones de instrumentos de patrimonio a las que la NIIF no haya sido aplicada (por ejemplo, instrumentos de patrimonio concedidos en o antes del 7 de noviembre de 2002), la entidad deberá, en todo caso, revelar la información requerida en los párrafos 44 y 45.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Si, después de que la NIIF entre en vigor, la entidad modificase los plazos o condiciones de una concesión de instrumentos de patrimonio a la que no se ha aplicado esta NIIF, deberá, en todo caso, aplicar los párrafos 26 a 29 para contabilizar cualquier modificación.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Para los pasivos surgidos de transacciones con pagos basados en acciones, existentes en la fecha de la entrada en vigor de esta NIIF, la entidad aplicará la NIIF retroactivamente. Para estos pasivos, la entidad reexpresará la información comparativa, incluyendo el ajuste en el saldo inicial de las ganancias (pérdidas) acumuladas del periodo más antiguo para el que se presente información, en el cual la información haya sido reexpresada, excepto cuando la entidad no venga obligada a reexpresar la información comparativa, en la medida que la información se refiera a un periodo o una fecha que sea anterior al 7 de noviembre de 2002.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59 Se aconseja, pero no se obliga a la entidad, a aplicar de forma retroactiva la NIIF a otros pasivos surgidos de transacciones con pagos basados en acciones, por ejemplo, a los </w:t>
      </w:r>
      <w:r w:rsidRPr="00401DFF">
        <w:rPr>
          <w:rFonts w:ascii="Times New Roman" w:eastAsia="Times New Roman" w:hAnsi="Times New Roman" w:cs="Times New Roman"/>
          <w:sz w:val="24"/>
          <w:szCs w:val="24"/>
          <w:lang w:eastAsia="es-CO"/>
        </w:rPr>
        <w:lastRenderedPageBreak/>
        <w:t>pasivos que fueran liquidados durante un periodo para el que se presente información comparativa.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Una entidad aplicará esta NIIF en los periodos anuales que comiencen a partir del 1 de enero de 2005. Se aconseja su aplicación anticipada. Si la entidad aplicase la NIIF para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61 La NIIF 3 (revisada en 2008) y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modificaron el párrafo 5. Una entidad aplicará esas modificaciones a periodos anuales que comiencen a partir del 1 de julio de 2009. Se permite su aplicación anticipada. Si una entidad aplicase la NIIF 3 (revisada en 2008) a un periodo anterior, las modificaciones se aplicarán también 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Una entidad aplicará las siguientes modificaciones de forma retroactiva, en los periodos anuales que comiencen a partir del 1 de enero de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requerimiento del párrafo 21A con respecto al tratamiento de las condiciones distintas a las de irrevocabilidad (consolidación)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definiciones revisadas de “consolidación (irrevocabilidad)” y “condiciones para la consolidación (irrevocabilidad) de la concesión” del 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modificaciones de los párrafos 28 y 28A con respecto a las cancelaciones.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Se permite su aplicación anticipada. Si una entidad aplicase estas modificaciones en un periodo que comience con anterioridad al 1 de enero de 2009,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63 Una entidad aplicará las siguientes modificaciones realizadas mediante </w:t>
      </w:r>
      <w:r w:rsidRPr="00401DFF">
        <w:rPr>
          <w:rFonts w:ascii="Times New Roman" w:eastAsia="Times New Roman" w:hAnsi="Times New Roman" w:cs="Times New Roman"/>
          <w:i/>
          <w:iCs/>
          <w:sz w:val="24"/>
          <w:szCs w:val="24"/>
          <w:lang w:eastAsia="es-CO"/>
        </w:rPr>
        <w:t>Transacciones con Pagos Basados en Acciones Liquidadas en Efectivo del Grupo</w:t>
      </w:r>
      <w:r w:rsidRPr="00401DFF">
        <w:rPr>
          <w:rFonts w:ascii="Times New Roman" w:eastAsia="Times New Roman" w:hAnsi="Times New Roman" w:cs="Times New Roman"/>
          <w:sz w:val="24"/>
          <w:szCs w:val="24"/>
          <w:lang w:eastAsia="es-CO"/>
        </w:rPr>
        <w:t xml:space="preserve"> emitido en junio de 2009 retroactivamente, sujetas a las disposiciones transitorias incluidas en los párrafos 53 a 59,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xml:space="preserve"> para los periodos anuales que comiencen a partir del 1 de enero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modificación del párrafo 2, la supresión del párrafo 3, y la incorporación de los párrafos 3A y 43A a 43D y de los párrafos B45, B47, B50, B54, B56 a B58 y B60 en el Apéndice B en lo que respecta a la contabilización de transacciones entre entidades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definiciones revisadas del Apéndice A de los siguientes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transacción con pagos basados en acciones liquidada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transacción con pagos basados en acciones liquidada mediante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Arial" w:eastAsia="Times New Roman" w:hAnsi="Arial" w:cs="Arial"/>
          <w:sz w:val="24"/>
          <w:szCs w:val="24"/>
          <w:lang w:eastAsia="es-CO"/>
        </w:rPr>
        <w:lastRenderedPageBreak/>
        <w:t>•</w:t>
      </w:r>
      <w:r w:rsidRPr="00401DFF">
        <w:rPr>
          <w:rFonts w:ascii="Times New Roman" w:eastAsia="Times New Roman" w:hAnsi="Times New Roman" w:cs="Times New Roman"/>
          <w:sz w:val="24"/>
          <w:szCs w:val="24"/>
          <w:lang w:eastAsia="es-CO"/>
        </w:rPr>
        <w:t xml:space="preserve"> acuerdo con pagos basados en acciones,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transacción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la información necesaria para la aplicación retroactiva no está disponible, una entidad reflejará en sus estados financieros separados o individuales los importes anteriormente reconocidos en los estados financieros consolidados del grupo. Se permite su aplicación anticipada. Si la entidad aplicase las modificaciones a un ejercicio que comience antes del 1 de enero de 2010,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63A La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y la NIIF 11, emitidas en mayo de 2011, modificaron el párrafo 5 y el Apéndice A.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interpretaciones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64 </w:t>
      </w:r>
      <w:r w:rsidRPr="00401DFF">
        <w:rPr>
          <w:rFonts w:ascii="Times New Roman" w:eastAsia="Times New Roman" w:hAnsi="Times New Roman" w:cs="Times New Roman"/>
          <w:i/>
          <w:iCs/>
          <w:sz w:val="24"/>
          <w:szCs w:val="24"/>
          <w:lang w:eastAsia="es-CO"/>
        </w:rPr>
        <w:t xml:space="preserve">Transacciones del Grupo con Pagos Basados en Acciones Liquidadas en Efectivo </w:t>
      </w:r>
      <w:r w:rsidRPr="00401DFF">
        <w:rPr>
          <w:rFonts w:ascii="Times New Roman" w:eastAsia="Times New Roman" w:hAnsi="Times New Roman" w:cs="Times New Roman"/>
          <w:sz w:val="24"/>
          <w:szCs w:val="24"/>
          <w:lang w:eastAsia="es-CO"/>
        </w:rPr>
        <w:t xml:space="preserve">emitido en junio de 2009 sustituyó a la CINIIF 8 </w:t>
      </w:r>
      <w:r w:rsidRPr="00401DFF">
        <w:rPr>
          <w:rFonts w:ascii="Times New Roman" w:eastAsia="Times New Roman" w:hAnsi="Times New Roman" w:cs="Times New Roman"/>
          <w:i/>
          <w:iCs/>
          <w:sz w:val="24"/>
          <w:szCs w:val="24"/>
          <w:lang w:eastAsia="es-CO"/>
        </w:rPr>
        <w:t>Alcance de la NIIF 2</w:t>
      </w:r>
      <w:r w:rsidRPr="00401DFF">
        <w:rPr>
          <w:rFonts w:ascii="Times New Roman" w:eastAsia="Times New Roman" w:hAnsi="Times New Roman" w:cs="Times New Roman"/>
          <w:sz w:val="24"/>
          <w:szCs w:val="24"/>
          <w:lang w:eastAsia="es-CO"/>
        </w:rPr>
        <w:t xml:space="preserve"> y a la CINIIF 11 </w:t>
      </w:r>
      <w:r w:rsidRPr="00401DFF">
        <w:rPr>
          <w:rFonts w:ascii="Times New Roman" w:eastAsia="Times New Roman" w:hAnsi="Times New Roman" w:cs="Times New Roman"/>
          <w:i/>
          <w:iCs/>
          <w:sz w:val="24"/>
          <w:szCs w:val="24"/>
          <w:lang w:eastAsia="es-CO"/>
        </w:rPr>
        <w:t>NIIF 2-Transacciones con Acciones Propias y del Grupo.</w:t>
      </w:r>
      <w:r w:rsidRPr="00401DFF">
        <w:rPr>
          <w:rFonts w:ascii="Times New Roman" w:eastAsia="Times New Roman" w:hAnsi="Times New Roman" w:cs="Times New Roman"/>
          <w:sz w:val="24"/>
          <w:szCs w:val="24"/>
          <w:lang w:eastAsia="es-CO"/>
        </w:rPr>
        <w:t xml:space="preserve"> Las modificaciones realizadas por ese documento incorporaron los requerimientos anteriores establecidos en las CINIIF 8 y CINIIF 11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Modificó el párrafo 2 y añadió el párrafo 13A con respecto a la contabilización de las transacciones en las que la entidad no puede identificar de forma específica algunos o todos los bienes o servicios recibidos. Esos requerimientos entraron en vigor para los periodos anuales con comienzo a partir del 1 de mayo de 2006.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Añadió los párrafos B46, B48, B49, B51 a B53, B55, B59 y B61 en el Apéndice B con respecto a la contabilización de transacciones entre entidades del grupo. Esos requerimientos entraron en vigor para los periodos anuales con comienzo a partir del 1 de marzo de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Esos requerimientos se aplicaron de acuerdo con los requerimientos de la NIC 8, sujetos a las disposiciones transitorias de la NIIF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56"/>
        <w:gridCol w:w="4472"/>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 con pagos basados en acciones (share-based payment arrangement)</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acuerdo entre la entidad (u otra entidad del grupo</w:t>
            </w:r>
            <w:hyperlink r:id="rId78" w:anchor="bf17ecfc5bd29cb49be86c63a30dfb23fdfnf9" w:tgtFrame="_self" w:history="1">
              <w:r w:rsidRPr="00401DFF">
                <w:rPr>
                  <w:rFonts w:ascii="Times New Roman" w:eastAsia="Times New Roman" w:hAnsi="Times New Roman" w:cs="Times New Roman"/>
                  <w:color w:val="0000FF"/>
                  <w:sz w:val="20"/>
                  <w:szCs w:val="20"/>
                  <w:u w:val="single"/>
                  <w:vertAlign w:val="superscript"/>
                  <w:lang w:eastAsia="es-CO"/>
                </w:rPr>
                <w:t>(74)</w:t>
              </w:r>
            </w:hyperlink>
            <w:r w:rsidRPr="00401DFF">
              <w:rPr>
                <w:rFonts w:ascii="Times New Roman" w:eastAsia="Times New Roman" w:hAnsi="Times New Roman" w:cs="Times New Roman"/>
                <w:sz w:val="24"/>
                <w:szCs w:val="24"/>
                <w:lang w:eastAsia="es-CO"/>
              </w:rPr>
              <w:t xml:space="preserve"> o cualquier accionista de cualquier entidad del grupo) y un tercero (incluyendo un empleado) que otorga el derecho al tercero a recibir</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sz w:val="24"/>
                <w:szCs w:val="24"/>
                <w:lang w:eastAsia="es-CO"/>
              </w:rPr>
              <w:lastRenderedPageBreak/>
              <w:t xml:space="preserve">(a) efectivo u otros activos de la entidad por importes que están basados en el precio (o valor) de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(incluyendo acciones u </w:t>
            </w:r>
            <w:r w:rsidRPr="00401DFF">
              <w:rPr>
                <w:rFonts w:ascii="Times New Roman" w:eastAsia="Times New Roman" w:hAnsi="Times New Roman" w:cs="Times New Roman"/>
                <w:b/>
                <w:bCs/>
                <w:sz w:val="24"/>
                <w:szCs w:val="24"/>
                <w:lang w:eastAsia="es-CO"/>
              </w:rPr>
              <w:t>opciones sobre acciones)</w:t>
            </w:r>
            <w:r w:rsidRPr="00401DFF">
              <w:rPr>
                <w:rFonts w:ascii="Times New Roman" w:eastAsia="Times New Roman" w:hAnsi="Times New Roman" w:cs="Times New Roman"/>
                <w:sz w:val="24"/>
                <w:szCs w:val="24"/>
                <w:lang w:eastAsia="es-CO"/>
              </w:rPr>
              <w:t xml:space="preserve"> de la entidad o de otra entidad del grupo, o</w:t>
            </w:r>
            <w:r w:rsidRPr="00401DFF">
              <w:rPr>
                <w:rFonts w:ascii="Times New Roman" w:eastAsia="Times New Roman" w:hAnsi="Times New Roman" w:cs="Times New Roman"/>
                <w:sz w:val="24"/>
                <w:szCs w:val="24"/>
                <w:lang w:eastAsia="es-CO"/>
              </w:rPr>
              <w:br/>
              <w:t xml:space="preserve">(b)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(incluyendo acciones u </w:t>
            </w:r>
            <w:r w:rsidRPr="00401DFF">
              <w:rPr>
                <w:rFonts w:ascii="Times New Roman" w:eastAsia="Times New Roman" w:hAnsi="Times New Roman" w:cs="Times New Roman"/>
                <w:b/>
                <w:bCs/>
                <w:sz w:val="24"/>
                <w:szCs w:val="24"/>
                <w:lang w:eastAsia="es-CO"/>
              </w:rPr>
              <w:t>opciones sobre acciones)</w:t>
            </w:r>
            <w:r w:rsidRPr="00401DFF">
              <w:rPr>
                <w:rFonts w:ascii="Times New Roman" w:eastAsia="Times New Roman" w:hAnsi="Times New Roman" w:cs="Times New Roman"/>
                <w:sz w:val="24"/>
                <w:szCs w:val="24"/>
                <w:lang w:eastAsia="es-CO"/>
              </w:rPr>
              <w:t xml:space="preserve"> de la entidad o de otra entidad del grupo,</w:t>
            </w:r>
            <w:r w:rsidRPr="00401DFF">
              <w:rPr>
                <w:rFonts w:ascii="Times New Roman" w:eastAsia="Times New Roman" w:hAnsi="Times New Roman" w:cs="Times New Roman"/>
                <w:sz w:val="24"/>
                <w:szCs w:val="24"/>
                <w:lang w:eastAsia="es-CO"/>
              </w:rPr>
              <w:br/>
              <w:t xml:space="preserve">siempre que se cumplan las </w:t>
            </w:r>
            <w:r w:rsidRPr="00401DFF">
              <w:rPr>
                <w:rFonts w:ascii="Times New Roman" w:eastAsia="Times New Roman" w:hAnsi="Times New Roman" w:cs="Times New Roman"/>
                <w:b/>
                <w:bCs/>
                <w:sz w:val="24"/>
                <w:szCs w:val="24"/>
                <w:lang w:eastAsia="es-CO"/>
              </w:rPr>
              <w:t>condiciones para la consolidación (o irrevocabilidad) de la concesión, si las hubiera.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componente de renovación (reload feature)</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cualidad que da lugar a una concesión automática de </w:t>
            </w:r>
            <w:r w:rsidRPr="00401DFF">
              <w:rPr>
                <w:rFonts w:ascii="Times New Roman" w:eastAsia="Times New Roman" w:hAnsi="Times New Roman" w:cs="Times New Roman"/>
                <w:b/>
                <w:bCs/>
                <w:sz w:val="24"/>
                <w:szCs w:val="24"/>
                <w:lang w:eastAsia="es-CO"/>
              </w:rPr>
              <w:t>opciones sobre acciones</w:t>
            </w:r>
            <w:r w:rsidRPr="00401DFF">
              <w:rPr>
                <w:rFonts w:ascii="Times New Roman" w:eastAsia="Times New Roman" w:hAnsi="Times New Roman" w:cs="Times New Roman"/>
                <w:sz w:val="24"/>
                <w:szCs w:val="24"/>
                <w:lang w:eastAsia="es-CO"/>
              </w:rPr>
              <w:t xml:space="preserve"> adicionales, cuando el tenedor de la opción ejercita opciones previamente concedidas utilizando las acciones de la entidad, en lugar de efectivo, para satisfacer el precio de ejercicio.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condición referida al mercado (market condition)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condición de la que depende el precio de ejercicio, la consolidación o la posibilidad de ejercicio de un </w:t>
            </w:r>
            <w:r w:rsidRPr="00401DFF">
              <w:rPr>
                <w:rFonts w:ascii="Times New Roman" w:eastAsia="Times New Roman" w:hAnsi="Times New Roman" w:cs="Times New Roman"/>
                <w:b/>
                <w:bCs/>
                <w:sz w:val="24"/>
                <w:szCs w:val="24"/>
                <w:lang w:eastAsia="es-CO"/>
              </w:rPr>
              <w:t>instrumento de patrimonio,</w:t>
            </w:r>
            <w:r w:rsidRPr="00401DFF">
              <w:rPr>
                <w:rFonts w:ascii="Times New Roman" w:eastAsia="Times New Roman" w:hAnsi="Times New Roman" w:cs="Times New Roman"/>
                <w:sz w:val="24"/>
                <w:szCs w:val="24"/>
                <w:lang w:eastAsia="es-CO"/>
              </w:rPr>
              <w:t xml:space="preserve"> que está relacionada con el precio de mercado de los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de la entidad, por ejemplo, que se alcance un determinado precio de la acción o un determinado importe de </w:t>
            </w:r>
            <w:r w:rsidRPr="00401DFF">
              <w:rPr>
                <w:rFonts w:ascii="Times New Roman" w:eastAsia="Times New Roman" w:hAnsi="Times New Roman" w:cs="Times New Roman"/>
                <w:b/>
                <w:bCs/>
                <w:sz w:val="24"/>
                <w:szCs w:val="24"/>
                <w:lang w:eastAsia="es-CO"/>
              </w:rPr>
              <w:t>valor intrínseco</w:t>
            </w:r>
            <w:r w:rsidRPr="00401DFF">
              <w:rPr>
                <w:rFonts w:ascii="Times New Roman" w:eastAsia="Times New Roman" w:hAnsi="Times New Roman" w:cs="Times New Roman"/>
                <w:sz w:val="24"/>
                <w:szCs w:val="24"/>
                <w:lang w:eastAsia="es-CO"/>
              </w:rPr>
              <w:t xml:space="preserve">de una </w:t>
            </w:r>
            <w:r w:rsidRPr="00401DFF">
              <w:rPr>
                <w:rFonts w:ascii="Times New Roman" w:eastAsia="Times New Roman" w:hAnsi="Times New Roman" w:cs="Times New Roman"/>
                <w:b/>
                <w:bCs/>
                <w:sz w:val="24"/>
                <w:szCs w:val="24"/>
                <w:lang w:eastAsia="es-CO"/>
              </w:rPr>
              <w:t>opción sobre acciones,</w:t>
            </w:r>
            <w:r w:rsidRPr="00401DFF">
              <w:rPr>
                <w:rFonts w:ascii="Times New Roman" w:eastAsia="Times New Roman" w:hAnsi="Times New Roman" w:cs="Times New Roman"/>
                <w:sz w:val="24"/>
                <w:szCs w:val="24"/>
                <w:lang w:eastAsia="es-CO"/>
              </w:rPr>
              <w:t xml:space="preserve">o que se consiga un determinado objetivo basado en el precio de mercado de los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de la entidad en relación a un índice de precios de mercado de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de otras entidades.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Condiciones para la consolidación (o irrevocabilidad) de la concesión (vesting conditions)</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Son las condiciones que determinan si la entidad recibe los servicios que dan derecho a la otra parte a recibir efectivo, otros activos o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de la entidad en un </w:t>
            </w:r>
            <w:r w:rsidRPr="00401DFF">
              <w:rPr>
                <w:rFonts w:ascii="Times New Roman" w:eastAsia="Times New Roman" w:hAnsi="Times New Roman" w:cs="Times New Roman"/>
                <w:b/>
                <w:bCs/>
                <w:sz w:val="24"/>
                <w:szCs w:val="24"/>
                <w:lang w:eastAsia="es-CO"/>
              </w:rPr>
              <w:t>acuerdo de pagos basados en acciones.</w:t>
            </w:r>
            <w:r w:rsidRPr="00401DFF">
              <w:rPr>
                <w:rFonts w:ascii="Times New Roman" w:eastAsia="Times New Roman" w:hAnsi="Times New Roman" w:cs="Times New Roman"/>
                <w:sz w:val="24"/>
                <w:szCs w:val="24"/>
                <w:lang w:eastAsia="es-CO"/>
              </w:rPr>
              <w:t xml:space="preserve"> Las condiciones para la consolidación (irrevocabilidad) de la concesión son condiciones de servicio o condiciones de rendimiento. Las condiciones de servicio requieren que la otra parte complete un periodo determinado de </w:t>
            </w:r>
            <w:r w:rsidRPr="00401DFF">
              <w:rPr>
                <w:rFonts w:ascii="Times New Roman" w:eastAsia="Times New Roman" w:hAnsi="Times New Roman" w:cs="Times New Roman"/>
                <w:sz w:val="24"/>
                <w:szCs w:val="24"/>
                <w:lang w:eastAsia="es-CO"/>
              </w:rPr>
              <w:lastRenderedPageBreak/>
              <w:t xml:space="preserve">servicio. Las condiciones de rendimiento requieren que la otra parte complete un periodo determinado de servicio y determinados objetivos de rendimiento (tales como un incremento determinado en el beneficio de la entidad en un determinado periodo). Una condición de rendimiento puede incluir una </w:t>
            </w:r>
            <w:r w:rsidRPr="00401DFF">
              <w:rPr>
                <w:rFonts w:ascii="Times New Roman" w:eastAsia="Times New Roman" w:hAnsi="Times New Roman" w:cs="Times New Roman"/>
                <w:b/>
                <w:bCs/>
                <w:sz w:val="24"/>
                <w:szCs w:val="24"/>
                <w:lang w:eastAsia="es-CO"/>
              </w:rPr>
              <w:t>condición referida al mercado.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Consolidación (irrevocabilidad) de la concesión (vest)</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Consecución del derecho. En un </w:t>
            </w:r>
            <w:r w:rsidRPr="00401DFF">
              <w:rPr>
                <w:rFonts w:ascii="Times New Roman" w:eastAsia="Times New Roman" w:hAnsi="Times New Roman" w:cs="Times New Roman"/>
                <w:b/>
                <w:bCs/>
                <w:sz w:val="24"/>
                <w:szCs w:val="24"/>
                <w:lang w:eastAsia="es-CO"/>
              </w:rPr>
              <w:t>acuerdo de pagos basados en acciones,</w:t>
            </w:r>
            <w:r w:rsidRPr="00401DFF">
              <w:rPr>
                <w:rFonts w:ascii="Times New Roman" w:eastAsia="Times New Roman" w:hAnsi="Times New Roman" w:cs="Times New Roman"/>
                <w:sz w:val="24"/>
                <w:szCs w:val="24"/>
                <w:lang w:eastAsia="es-CO"/>
              </w:rPr>
              <w:t xml:space="preserve"> un derecho de la otra parte a recibir efectivo, otros activos o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de la entidad es irrevocable (o se consolida) cuando el derecho de la contraparte deja de estar condicionado al cumplimiento de cualesquiera </w:t>
            </w:r>
            <w:r w:rsidRPr="00401DFF">
              <w:rPr>
                <w:rFonts w:ascii="Times New Roman" w:eastAsia="Times New Roman" w:hAnsi="Times New Roman" w:cs="Times New Roman"/>
                <w:b/>
                <w:bCs/>
                <w:sz w:val="24"/>
                <w:szCs w:val="24"/>
                <w:lang w:eastAsia="es-CO"/>
              </w:rPr>
              <w:t>condiciones para la consolidación (irrevocabilidad) de la concesión.</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empleados y terceros que prestan servicios similares (employees and others providing similar services)</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Individuos que prestan servicios personales a la entidad en una de las siguientes situaciones (a) los individuos tienen la consideración de empleados a efectos legales o fiscales, (b) los individuos trabajan para la entidad bajo su dirección, de la misma forma que quienes tienen la consideración de empleados a efectos legales o fiscales, o (c) los servicios prestados son similares a los que prestan los empleados. El término incluye, por ejemplo, al personal de la gerencia, es decir las personas que tienen autoridad y responsabilidad en tareas de planificación, dirección y control de las actividades de la entidad, incluyendo los miembros no ejecutivos del órgano de administración.</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concesión (grant date)</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fecha en que la entidad y un tercero (incluyendo en este término a los empleados) alcanzan un </w:t>
            </w:r>
            <w:r w:rsidRPr="00401DFF">
              <w:rPr>
                <w:rFonts w:ascii="Times New Roman" w:eastAsia="Times New Roman" w:hAnsi="Times New Roman" w:cs="Times New Roman"/>
                <w:b/>
                <w:bCs/>
                <w:sz w:val="24"/>
                <w:szCs w:val="24"/>
                <w:lang w:eastAsia="es-CO"/>
              </w:rPr>
              <w:t>acuerdo de pagos basados en acciones,</w:t>
            </w:r>
            <w:r w:rsidRPr="00401DFF">
              <w:rPr>
                <w:rFonts w:ascii="Times New Roman" w:eastAsia="Times New Roman" w:hAnsi="Times New Roman" w:cs="Times New Roman"/>
                <w:sz w:val="24"/>
                <w:szCs w:val="24"/>
                <w:lang w:eastAsia="es-CO"/>
              </w:rPr>
              <w:t xml:space="preserve"> que se produce cuando la entidad y la contraparte llegan a un entendimiento compartido sobre los plazos y condiciones del acuerdo. En la fecha de concesión, la entidad confiere a la contraparte el derecho a recibir efectivo, otros activos, o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de la misma, sujeto al cumplimiento, en su caso, de </w:t>
            </w:r>
            <w:r w:rsidRPr="00401DFF">
              <w:rPr>
                <w:rFonts w:ascii="Times New Roman" w:eastAsia="Times New Roman" w:hAnsi="Times New Roman" w:cs="Times New Roman"/>
                <w:sz w:val="24"/>
                <w:szCs w:val="24"/>
                <w:lang w:eastAsia="es-CO"/>
              </w:rPr>
              <w:lastRenderedPageBreak/>
              <w:t xml:space="preserve">determinadas </w:t>
            </w:r>
            <w:r w:rsidRPr="00401DFF">
              <w:rPr>
                <w:rFonts w:ascii="Times New Roman" w:eastAsia="Times New Roman" w:hAnsi="Times New Roman" w:cs="Times New Roman"/>
                <w:b/>
                <w:bCs/>
                <w:sz w:val="24"/>
                <w:szCs w:val="24"/>
                <w:lang w:eastAsia="es-CO"/>
              </w:rPr>
              <w:t>condiciones para la consolidación (irrevocabilidad) de la concesión.</w:t>
            </w:r>
            <w:r w:rsidRPr="00401DFF">
              <w:rPr>
                <w:rFonts w:ascii="Times New Roman" w:eastAsia="Times New Roman" w:hAnsi="Times New Roman" w:cs="Times New Roman"/>
                <w:sz w:val="24"/>
                <w:szCs w:val="24"/>
                <w:lang w:eastAsia="es-CO"/>
              </w:rPr>
              <w:t xml:space="preserve"> Si ese acuerdo está sujeto a un proceso de aprobación (por ejemplo, por los accionistas) la fecha de concesión es aquélla en la que se obtiene la aprobación.</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fecha de medición (measurement date)</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fecha en la que se mide, a efectos de esta NIIF, el </w:t>
            </w:r>
            <w:r w:rsidRPr="00401DFF">
              <w:rPr>
                <w:rFonts w:ascii="Times New Roman" w:eastAsia="Times New Roman" w:hAnsi="Times New Roman" w:cs="Times New Roman"/>
                <w:b/>
                <w:bCs/>
                <w:sz w:val="24"/>
                <w:szCs w:val="24"/>
                <w:lang w:eastAsia="es-CO"/>
              </w:rPr>
              <w:t>valor razonable</w:t>
            </w:r>
            <w:r w:rsidRPr="00401DFF">
              <w:rPr>
                <w:rFonts w:ascii="Times New Roman" w:eastAsia="Times New Roman" w:hAnsi="Times New Roman" w:cs="Times New Roman"/>
                <w:sz w:val="24"/>
                <w:szCs w:val="24"/>
                <w:lang w:eastAsia="es-CO"/>
              </w:rPr>
              <w:t xml:space="preserve">de los </w:t>
            </w:r>
            <w:r w:rsidRPr="00401DFF">
              <w:rPr>
                <w:rFonts w:ascii="Times New Roman" w:eastAsia="Times New Roman" w:hAnsi="Times New Roman" w:cs="Times New Roman"/>
                <w:b/>
                <w:bCs/>
                <w:sz w:val="24"/>
                <w:szCs w:val="24"/>
                <w:lang w:eastAsia="es-CO"/>
              </w:rPr>
              <w:t>instrumentos de patrimonio concedidos.</w:t>
            </w:r>
            <w:r w:rsidRPr="00401DFF">
              <w:rPr>
                <w:rFonts w:ascii="Times New Roman" w:eastAsia="Times New Roman" w:hAnsi="Times New Roman" w:cs="Times New Roman"/>
                <w:sz w:val="24"/>
                <w:szCs w:val="24"/>
                <w:lang w:eastAsia="es-CO"/>
              </w:rPr>
              <w:t xml:space="preserve"> Para transacciones con </w:t>
            </w:r>
            <w:r w:rsidRPr="00401DFF">
              <w:rPr>
                <w:rFonts w:ascii="Times New Roman" w:eastAsia="Times New Roman" w:hAnsi="Times New Roman" w:cs="Times New Roman"/>
                <w:b/>
                <w:bCs/>
                <w:sz w:val="24"/>
                <w:szCs w:val="24"/>
                <w:lang w:eastAsia="es-CO"/>
              </w:rPr>
              <w:t>los empleados y terceros que prestan servicios similares,</w:t>
            </w:r>
            <w:r w:rsidRPr="00401DFF">
              <w:rPr>
                <w:rFonts w:ascii="Times New Roman" w:eastAsia="Times New Roman" w:hAnsi="Times New Roman" w:cs="Times New Roman"/>
                <w:sz w:val="24"/>
                <w:szCs w:val="24"/>
                <w:lang w:eastAsia="es-CO"/>
              </w:rPr>
              <w:t xml:space="preserve"> la fecha de medición es la </w:t>
            </w:r>
            <w:r w:rsidRPr="00401DFF">
              <w:rPr>
                <w:rFonts w:ascii="Times New Roman" w:eastAsia="Times New Roman" w:hAnsi="Times New Roman" w:cs="Times New Roman"/>
                <w:b/>
                <w:bCs/>
                <w:sz w:val="24"/>
                <w:szCs w:val="24"/>
                <w:lang w:eastAsia="es-CO"/>
              </w:rPr>
              <w:t>fecha de concesión.</w:t>
            </w:r>
            <w:r w:rsidRPr="00401DFF">
              <w:rPr>
                <w:rFonts w:ascii="Times New Roman" w:eastAsia="Times New Roman" w:hAnsi="Times New Roman" w:cs="Times New Roman"/>
                <w:sz w:val="24"/>
                <w:szCs w:val="24"/>
                <w:lang w:eastAsia="es-CO"/>
              </w:rPr>
              <w:t xml:space="preserve"> Para las transacciones con sujetos distintos de los empleados (y terceros que prestan servicios similares) la fecha de medición es aquélla en la que la entidad obtiene los bienes, o la contraparte presta los servicios.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de patrimonio (equity instrument)</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que pone de manifiesto un interés residual en los activos de la entidad, una vez han sido deducidos todos sus pasivos</w:t>
            </w:r>
            <w:hyperlink r:id="rId79" w:anchor="bf187b841440e5f46848f910de9509ab5f5nf9" w:tgtFrame="_self" w:history="1">
              <w:r w:rsidRPr="00401DFF">
                <w:rPr>
                  <w:rFonts w:ascii="Times New Roman" w:eastAsia="Times New Roman" w:hAnsi="Times New Roman" w:cs="Times New Roman"/>
                  <w:color w:val="0000FF"/>
                  <w:sz w:val="20"/>
                  <w:szCs w:val="20"/>
                  <w:u w:val="single"/>
                  <w:vertAlign w:val="superscript"/>
                  <w:lang w:eastAsia="es-CO"/>
                </w:rPr>
                <w:t>(75)</w:t>
              </w:r>
            </w:hyperlink>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de patrimonio concedido (equity instrument granted)</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derecho (condicional o incondicional) a un </w:t>
            </w:r>
            <w:r w:rsidRPr="00401DFF">
              <w:rPr>
                <w:rFonts w:ascii="Times New Roman" w:eastAsia="Times New Roman" w:hAnsi="Times New Roman" w:cs="Times New Roman"/>
                <w:b/>
                <w:bCs/>
                <w:sz w:val="24"/>
                <w:szCs w:val="24"/>
                <w:lang w:eastAsia="es-CO"/>
              </w:rPr>
              <w:t>instrumento de patrimonio</w:t>
            </w:r>
            <w:r w:rsidRPr="00401DFF">
              <w:rPr>
                <w:rFonts w:ascii="Times New Roman" w:eastAsia="Times New Roman" w:hAnsi="Times New Roman" w:cs="Times New Roman"/>
                <w:sz w:val="24"/>
                <w:szCs w:val="24"/>
                <w:lang w:eastAsia="es-CO"/>
              </w:rPr>
              <w:t xml:space="preserve"> de la entidad, que ésta ha conferido a un tercero, en virtud de un </w:t>
            </w:r>
            <w:r w:rsidRPr="00401DFF">
              <w:rPr>
                <w:rFonts w:ascii="Times New Roman" w:eastAsia="Times New Roman" w:hAnsi="Times New Roman" w:cs="Times New Roman"/>
                <w:b/>
                <w:bCs/>
                <w:sz w:val="24"/>
                <w:szCs w:val="24"/>
                <w:lang w:eastAsia="es-CO"/>
              </w:rPr>
              <w:t>acuerdo con pagos basados en acciones.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opción de renovación (reload option)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nueva </w:t>
            </w:r>
            <w:r w:rsidRPr="00401DFF">
              <w:rPr>
                <w:rFonts w:ascii="Times New Roman" w:eastAsia="Times New Roman" w:hAnsi="Times New Roman" w:cs="Times New Roman"/>
                <w:b/>
                <w:bCs/>
                <w:sz w:val="24"/>
                <w:szCs w:val="24"/>
                <w:lang w:eastAsia="es-CO"/>
              </w:rPr>
              <w:t>opción sobre acciones,</w:t>
            </w:r>
            <w:r w:rsidRPr="00401DFF">
              <w:rPr>
                <w:rFonts w:ascii="Times New Roman" w:eastAsia="Times New Roman" w:hAnsi="Times New Roman" w:cs="Times New Roman"/>
                <w:sz w:val="24"/>
                <w:szCs w:val="24"/>
                <w:lang w:eastAsia="es-CO"/>
              </w:rPr>
              <w:t xml:space="preserve"> concedida cuando se utiliza una acción para satisfacer el precio de ejercicio de una </w:t>
            </w:r>
            <w:r w:rsidRPr="00401DFF">
              <w:rPr>
                <w:rFonts w:ascii="Times New Roman" w:eastAsia="Times New Roman" w:hAnsi="Times New Roman" w:cs="Times New Roman"/>
                <w:b/>
                <w:bCs/>
                <w:sz w:val="24"/>
                <w:szCs w:val="24"/>
                <w:lang w:eastAsia="es-CO"/>
              </w:rPr>
              <w:t>opción sobre acciones</w:t>
            </w:r>
            <w:r w:rsidRPr="00401DFF">
              <w:rPr>
                <w:rFonts w:ascii="Times New Roman" w:eastAsia="Times New Roman" w:hAnsi="Times New Roman" w:cs="Times New Roman"/>
                <w:sz w:val="24"/>
                <w:szCs w:val="24"/>
                <w:lang w:eastAsia="es-CO"/>
              </w:rPr>
              <w:t xml:space="preserve"> previa.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opción sobre acciones (share option)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que da al tenedor el derecho, pero no la obligación, de suscribir las acciones de la entidad a un precio fijo o determinable, durante un periodo específico de tiempo.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periodo para la consolidación (o irrevocabilidad) de la concesión (vesting period)</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periodo a lo largo del cual tienen que ser satisfechas todas las </w:t>
            </w:r>
            <w:r w:rsidRPr="00401DFF">
              <w:rPr>
                <w:rFonts w:ascii="Times New Roman" w:eastAsia="Times New Roman" w:hAnsi="Times New Roman" w:cs="Times New Roman"/>
                <w:b/>
                <w:bCs/>
                <w:sz w:val="24"/>
                <w:szCs w:val="24"/>
                <w:lang w:eastAsia="es-CO"/>
              </w:rPr>
              <w:t>condiciones para la consolidación (irrevocabilidad) de la concesión</w:t>
            </w:r>
            <w:r w:rsidRPr="00401DFF">
              <w:rPr>
                <w:rFonts w:ascii="Times New Roman" w:eastAsia="Times New Roman" w:hAnsi="Times New Roman" w:cs="Times New Roman"/>
                <w:sz w:val="24"/>
                <w:szCs w:val="24"/>
                <w:lang w:eastAsia="es-CO"/>
              </w:rPr>
              <w:t xml:space="preserve">en un </w:t>
            </w:r>
            <w:r w:rsidRPr="00401DFF">
              <w:rPr>
                <w:rFonts w:ascii="Times New Roman" w:eastAsia="Times New Roman" w:hAnsi="Times New Roman" w:cs="Times New Roman"/>
                <w:b/>
                <w:bCs/>
                <w:sz w:val="24"/>
                <w:szCs w:val="24"/>
                <w:lang w:eastAsia="es-CO"/>
              </w:rPr>
              <w:t>acuerdo de pagos basados en acciones</w:t>
            </w:r>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Transacción con pagos basados en acciones liquidada en efectivo (cash-settled sharebased payment transaction)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w:t>
            </w:r>
            <w:r w:rsidRPr="00401DFF">
              <w:rPr>
                <w:rFonts w:ascii="Times New Roman" w:eastAsia="Times New Roman" w:hAnsi="Times New Roman" w:cs="Times New Roman"/>
                <w:b/>
                <w:bCs/>
                <w:sz w:val="24"/>
                <w:szCs w:val="24"/>
                <w:lang w:eastAsia="es-CO"/>
              </w:rPr>
              <w:t>transacción con pagos basados en acciones</w:t>
            </w:r>
            <w:r w:rsidRPr="00401DFF">
              <w:rPr>
                <w:rFonts w:ascii="Times New Roman" w:eastAsia="Times New Roman" w:hAnsi="Times New Roman" w:cs="Times New Roman"/>
                <w:sz w:val="24"/>
                <w:szCs w:val="24"/>
                <w:lang w:eastAsia="es-CO"/>
              </w:rPr>
              <w:t xml:space="preserve"> en la que la entidad adquiere bienes o servicios incurriendo en un pasivo para transferir efectivo u otros activos al proveedor de esos bienes o servicios por </w:t>
            </w:r>
            <w:r w:rsidRPr="00401DFF">
              <w:rPr>
                <w:rFonts w:ascii="Times New Roman" w:eastAsia="Times New Roman" w:hAnsi="Times New Roman" w:cs="Times New Roman"/>
                <w:sz w:val="24"/>
                <w:szCs w:val="24"/>
                <w:lang w:eastAsia="es-CO"/>
              </w:rPr>
              <w:lastRenderedPageBreak/>
              <w:t xml:space="preserve">importes que están basados en el precio (o valor) de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(incluyendo acciones u </w:t>
            </w:r>
            <w:r w:rsidRPr="00401DFF">
              <w:rPr>
                <w:rFonts w:ascii="Times New Roman" w:eastAsia="Times New Roman" w:hAnsi="Times New Roman" w:cs="Times New Roman"/>
                <w:b/>
                <w:bCs/>
                <w:sz w:val="24"/>
                <w:szCs w:val="24"/>
                <w:lang w:eastAsia="es-CO"/>
              </w:rPr>
              <w:t>opciones sobre acciones)</w:t>
            </w:r>
            <w:r w:rsidRPr="00401DFF">
              <w:rPr>
                <w:rFonts w:ascii="Times New Roman" w:eastAsia="Times New Roman" w:hAnsi="Times New Roman" w:cs="Times New Roman"/>
                <w:sz w:val="24"/>
                <w:szCs w:val="24"/>
                <w:lang w:eastAsia="es-CO"/>
              </w:rPr>
              <w:t xml:space="preserve"> de la entidad o de otra entidad del grupo.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transacción con pagos basados en acciones liquidada mediante instrumentos de patrimonio (equity-settled sharebased payment transaction)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w:t>
            </w:r>
            <w:r w:rsidRPr="00401DFF">
              <w:rPr>
                <w:rFonts w:ascii="Times New Roman" w:eastAsia="Times New Roman" w:hAnsi="Times New Roman" w:cs="Times New Roman"/>
                <w:b/>
                <w:bCs/>
                <w:sz w:val="24"/>
                <w:szCs w:val="24"/>
                <w:lang w:eastAsia="es-CO"/>
              </w:rPr>
              <w:t>transacción con pagos basados en acciones</w:t>
            </w:r>
            <w:r w:rsidRPr="00401DFF">
              <w:rPr>
                <w:rFonts w:ascii="Times New Roman" w:eastAsia="Times New Roman" w:hAnsi="Times New Roman" w:cs="Times New Roman"/>
                <w:sz w:val="24"/>
                <w:szCs w:val="24"/>
                <w:lang w:eastAsia="es-CO"/>
              </w:rPr>
              <w:t xml:space="preserve"> en la que la entidad</w:t>
            </w:r>
            <w:r w:rsidRPr="00401DFF">
              <w:rPr>
                <w:rFonts w:ascii="Times New Roman" w:eastAsia="Times New Roman" w:hAnsi="Times New Roman" w:cs="Times New Roman"/>
                <w:sz w:val="24"/>
                <w:szCs w:val="24"/>
                <w:lang w:eastAsia="es-CO"/>
              </w:rPr>
              <w:br/>
              <w:t xml:space="preserve">(a) recibe bienes o servicios como contraprestación de sus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propios (incluyendo acciones o </w:t>
            </w:r>
            <w:r w:rsidRPr="00401DFF">
              <w:rPr>
                <w:rFonts w:ascii="Times New Roman" w:eastAsia="Times New Roman" w:hAnsi="Times New Roman" w:cs="Times New Roman"/>
                <w:b/>
                <w:bCs/>
                <w:sz w:val="24"/>
                <w:szCs w:val="24"/>
                <w:lang w:eastAsia="es-CO"/>
              </w:rPr>
              <w:t>opciones sobre acciones),</w:t>
            </w:r>
            <w:r w:rsidRPr="00401DFF">
              <w:rPr>
                <w:rFonts w:ascii="Times New Roman" w:eastAsia="Times New Roman" w:hAnsi="Times New Roman" w:cs="Times New Roman"/>
                <w:sz w:val="24"/>
                <w:szCs w:val="24"/>
                <w:lang w:eastAsia="es-CO"/>
              </w:rPr>
              <w:t xml:space="preserve"> o</w:t>
            </w:r>
            <w:r w:rsidRPr="00401DFF">
              <w:rPr>
                <w:rFonts w:ascii="Times New Roman" w:eastAsia="Times New Roman" w:hAnsi="Times New Roman" w:cs="Times New Roman"/>
                <w:sz w:val="24"/>
                <w:szCs w:val="24"/>
                <w:lang w:eastAsia="es-CO"/>
              </w:rPr>
              <w:br/>
              <w:t>(b) recibe bienes o servicios pero no tiene obligación de liquidar la transacción con el proveedor.</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transacción con pagos basados en acciones (share-based payment transaction)</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transacción en la que la entidad</w:t>
            </w:r>
            <w:r w:rsidRPr="00401DFF">
              <w:rPr>
                <w:rFonts w:ascii="Times New Roman" w:eastAsia="Times New Roman" w:hAnsi="Times New Roman" w:cs="Times New Roman"/>
                <w:sz w:val="24"/>
                <w:szCs w:val="24"/>
                <w:lang w:eastAsia="es-CO"/>
              </w:rPr>
              <w:br/>
              <w:t xml:space="preserve">(a) recibe bienes o servicios del proveedor de dichos bienes o servicios (incluyendo un empleado) en un </w:t>
            </w:r>
            <w:r w:rsidRPr="00401DFF">
              <w:rPr>
                <w:rFonts w:ascii="Times New Roman" w:eastAsia="Times New Roman" w:hAnsi="Times New Roman" w:cs="Times New Roman"/>
                <w:b/>
                <w:bCs/>
                <w:sz w:val="24"/>
                <w:szCs w:val="24"/>
                <w:lang w:eastAsia="es-CO"/>
              </w:rPr>
              <w:t>acuerdo con pagos basados en acciones,</w:t>
            </w:r>
            <w:r w:rsidRPr="00401DFF">
              <w:rPr>
                <w:rFonts w:ascii="Times New Roman" w:eastAsia="Times New Roman" w:hAnsi="Times New Roman" w:cs="Times New Roman"/>
                <w:sz w:val="24"/>
                <w:szCs w:val="24"/>
                <w:lang w:eastAsia="es-CO"/>
              </w:rPr>
              <w:t xml:space="preserve"> o</w:t>
            </w:r>
            <w:r w:rsidRPr="00401DFF">
              <w:rPr>
                <w:rFonts w:ascii="Times New Roman" w:eastAsia="Times New Roman" w:hAnsi="Times New Roman" w:cs="Times New Roman"/>
                <w:sz w:val="24"/>
                <w:szCs w:val="24"/>
                <w:lang w:eastAsia="es-CO"/>
              </w:rPr>
              <w:br/>
              <w:t xml:space="preserve">(b) incurre en una obligación de liquidar la transacción con el proveedor en un </w:t>
            </w:r>
            <w:r w:rsidRPr="00401DFF">
              <w:rPr>
                <w:rFonts w:ascii="Times New Roman" w:eastAsia="Times New Roman" w:hAnsi="Times New Roman" w:cs="Times New Roman"/>
                <w:b/>
                <w:bCs/>
                <w:sz w:val="24"/>
                <w:szCs w:val="24"/>
                <w:lang w:eastAsia="es-CO"/>
              </w:rPr>
              <w:t>acuerdo con pagos basados en acciones</w:t>
            </w:r>
            <w:r w:rsidRPr="00401DFF">
              <w:rPr>
                <w:rFonts w:ascii="Times New Roman" w:eastAsia="Times New Roman" w:hAnsi="Times New Roman" w:cs="Times New Roman"/>
                <w:sz w:val="24"/>
                <w:szCs w:val="24"/>
                <w:lang w:eastAsia="es-CO"/>
              </w:rPr>
              <w:t>cuando otra entidad del grupo reciba esos bienes o servicios.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intrínseco (intrinsic value)</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diferencia entre el </w:t>
            </w:r>
            <w:r w:rsidRPr="00401DFF">
              <w:rPr>
                <w:rFonts w:ascii="Times New Roman" w:eastAsia="Times New Roman" w:hAnsi="Times New Roman" w:cs="Times New Roman"/>
                <w:b/>
                <w:bCs/>
                <w:sz w:val="24"/>
                <w:szCs w:val="24"/>
                <w:lang w:eastAsia="es-CO"/>
              </w:rPr>
              <w:t>valor razonable</w:t>
            </w:r>
            <w:r w:rsidRPr="00401DFF">
              <w:rPr>
                <w:rFonts w:ascii="Times New Roman" w:eastAsia="Times New Roman" w:hAnsi="Times New Roman" w:cs="Times New Roman"/>
                <w:sz w:val="24"/>
                <w:szCs w:val="24"/>
                <w:lang w:eastAsia="es-CO"/>
              </w:rPr>
              <w:t xml:space="preserve">de las acciones que la contraparte tiene derecho (condicional o incondicional) a suscribir, o que tiene derecho a recibir y el precio (si existiese) que la contraparte está (o estará) obligada a pagar por esas acciones. Por ejemplo, una </w:t>
            </w:r>
            <w:r w:rsidRPr="00401DFF">
              <w:rPr>
                <w:rFonts w:ascii="Times New Roman" w:eastAsia="Times New Roman" w:hAnsi="Times New Roman" w:cs="Times New Roman"/>
                <w:b/>
                <w:bCs/>
                <w:sz w:val="24"/>
                <w:szCs w:val="24"/>
                <w:lang w:eastAsia="es-CO"/>
              </w:rPr>
              <w:t>opción sobre acciones</w:t>
            </w:r>
            <w:r w:rsidRPr="00401DFF">
              <w:rPr>
                <w:rFonts w:ascii="Times New Roman" w:eastAsia="Times New Roman" w:hAnsi="Times New Roman" w:cs="Times New Roman"/>
                <w:sz w:val="24"/>
                <w:szCs w:val="24"/>
                <w:lang w:eastAsia="es-CO"/>
              </w:rPr>
              <w:t xml:space="preserve"> con un precio de ejercicio de 15 u.m.</w:t>
            </w:r>
            <w:hyperlink r:id="rId80" w:anchor="bf14a7e207cfc0141d69960c3e54b29308anf9" w:tgtFrame="_self" w:history="1">
              <w:r w:rsidRPr="00401DFF">
                <w:rPr>
                  <w:rFonts w:ascii="Times New Roman" w:eastAsia="Times New Roman" w:hAnsi="Times New Roman" w:cs="Times New Roman"/>
                  <w:color w:val="0000FF"/>
                  <w:sz w:val="20"/>
                  <w:szCs w:val="20"/>
                  <w:u w:val="single"/>
                  <w:vertAlign w:val="superscript"/>
                  <w:lang w:eastAsia="es-CO"/>
                </w:rPr>
                <w:t>(76)</w:t>
              </w:r>
            </w:hyperlink>
            <w:r w:rsidRPr="00401DFF">
              <w:rPr>
                <w:rFonts w:ascii="Times New Roman" w:eastAsia="Times New Roman" w:hAnsi="Times New Roman" w:cs="Times New Roman"/>
                <w:sz w:val="24"/>
                <w:szCs w:val="24"/>
                <w:lang w:eastAsia="es-CO"/>
              </w:rPr>
              <w:t xml:space="preserve">, sobre una acción con un </w:t>
            </w:r>
            <w:r w:rsidRPr="00401DFF">
              <w:rPr>
                <w:rFonts w:ascii="Times New Roman" w:eastAsia="Times New Roman" w:hAnsi="Times New Roman" w:cs="Times New Roman"/>
                <w:b/>
                <w:bCs/>
                <w:sz w:val="24"/>
                <w:szCs w:val="24"/>
                <w:lang w:eastAsia="es-CO"/>
              </w:rPr>
              <w:t>valor razonable</w:t>
            </w:r>
            <w:r w:rsidRPr="00401DFF">
              <w:rPr>
                <w:rFonts w:ascii="Times New Roman" w:eastAsia="Times New Roman" w:hAnsi="Times New Roman" w:cs="Times New Roman"/>
                <w:sz w:val="24"/>
                <w:szCs w:val="24"/>
                <w:lang w:eastAsia="es-CO"/>
              </w:rPr>
              <w:t>de 20 u.m., tiene un valor intrínseco de 5 u.m.</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importe por el que un activo podría ser intercambiado, un pasivo liquidado, o un </w:t>
            </w:r>
            <w:r w:rsidRPr="00401DFF">
              <w:rPr>
                <w:rFonts w:ascii="Times New Roman" w:eastAsia="Times New Roman" w:hAnsi="Times New Roman" w:cs="Times New Roman"/>
                <w:b/>
                <w:bCs/>
                <w:sz w:val="24"/>
                <w:szCs w:val="24"/>
                <w:lang w:eastAsia="es-CO"/>
              </w:rPr>
              <w:t>instrumento de patrimonio concedido</w:t>
            </w:r>
            <w:r w:rsidRPr="00401DFF">
              <w:rPr>
                <w:rFonts w:ascii="Times New Roman" w:eastAsia="Times New Roman" w:hAnsi="Times New Roman" w:cs="Times New Roman"/>
                <w:sz w:val="24"/>
                <w:szCs w:val="24"/>
                <w:lang w:eastAsia="es-CO"/>
              </w:rPr>
              <w:t>podría ser intercambiado, entre partes interesadas y debidamente informadas, en una transacción realizada en condiciones de independencia mutua.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Estimación del valor razonable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En los párrafos B2 a B41 de este apéndice se aborda la medición del valor razonable de las acciones y las opciones sobre acciones concedidas, centrándose en los plazos y condiciones específicos que son características comunes de una concesión de acciones, o de opciones sobre acciones, a los empleados. Por tanto, no contiene una discusión exhaustiva. Además, como las cuestiones valorativas abordadas a continuación se centran en acciones y opciones sobre acciones concedidas a los empleados, se asume que el valor razonable de las acciones o de las opciones sobre acciones se mide en la fecha de concesión. Sin embargo, muchas de las cuestiones valorativas tratadas a continuación (por ejemplo, la determinación de la volatilidad esperada) también se aplicarán en el contexto de la estimación del valor razonable de las acciones o de las opciones sobre acciones concedidas a terceros distintos de los empleados, en la fecha en la que la entidad obtenga los bienes o la contraparte preste los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Para las acciones concedidas a los empleados, el valor razonable se medirá por el precio de mercado de las acciones de la entidad (o a un precio de mercado estimado, si las acciones de la entidad no cotizasen en un mercado público) ajustadas para tener en cuenta los plazos y condiciones en los que dichas acciones hayan sido concedidas (excepto las condiciones para la irrevocabilidad (consolidación) de la concesión, que se excluyen de la medición del valor razonable, de acuerdo con los párrafos 19 a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Por ejemplo, si el empleado no tuviese derecho a recibir dividendos durante el periodo para la consolidación (irrevocabilidad) de la concesión, este factor se tendrá en cuenta en la estimación del valor razonable de las acciones concedidas. De forma parecida, si las acciones están sujetas a restricciones que afectan a su transmisibilidad con posterioridad a la fecha límite de consolidación, ese hecho será tenido en cuenta, pero sólo en la medida en que las restricciones posteriores al periodo de consolidación del derecho afecten al precio que pagaría un sujeto independiente y bien informado. Por ejemplo, si las acciones cotizan activamente en un mercado líquido y profundo, las restricciones de transmisibilidad posteriores a la fecha de consolidación (irrevocabilidad) de la concesión pueden tener escaso o ningún efecto en el precio que el sujeto independiente e informado pagaría por esas acciones. Las restricciones a la transferencia, u otras restricciones que existan durante el periodo para la irrevocabilidad (consolidación) de la concesión, no se tendrán en cuenta al estimar el valor razonable en la fecha de concesión de las acciones, porque esas restricciones se derivan de la existencia de condiciones para la irrevocabilidad (consolidación) de la concesión, que se contabilizarán de acuerdo con lo establecido en los párrafos 19 a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Opciones sobre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 En muchos casos, no están disponibles los precios de mercado para las opciones sobre acciones concedidas a los empleados, ya que dichas opciones están sujetas a plazos y </w:t>
      </w:r>
      <w:r w:rsidRPr="00401DFF">
        <w:rPr>
          <w:rFonts w:ascii="Times New Roman" w:eastAsia="Times New Roman" w:hAnsi="Times New Roman" w:cs="Times New Roman"/>
          <w:sz w:val="24"/>
          <w:szCs w:val="24"/>
          <w:lang w:eastAsia="es-CO"/>
        </w:rPr>
        <w:lastRenderedPageBreak/>
        <w:t>condiciones que no se aplican a las opciones cotizadas. Si no existieran opciones cotizadas con plazos y condiciones parecidos, el valor razonable de las opciones concedidas se estimará aplicando un modelo de valoración de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La entidad tendrá en cuenta, a la hora de seleccionar el modelo de valoración de opciones aplicable, los factores que considerarían los partícipes en el mercado que estuvieran interesados y debidamente informados. Por ejemplo, muchas opciones para los empleados tienen vidas largas, pueden usualmente ejercerse durante el periodo que media entre la fecha de consolidación (irrevocabilidad) de la concesión y el término de la vida de las opciones, y son a menudo ejercitadas en cuanto existe la posibilidad de hacerlo. Estos factores deberían ser considerados al estimar el valor razonable, en la fecha de concesión de las opciones. Para muchas entidades, esto podría suponer la exclusión del uso de la fórmula de Black-Scholes-Merton, que no permite la posibilidad de ejercitar antes del término de la vida de la opción, y puede no reflejar adecuadamente los efectos de ejercerla antes de lo esperado. Tampoco ofrece la posibilidad de que la volatilidad esperada y otros datos de entrada del modelo puedan variar a lo largo de la vida de la opción. Sin embargo, para las opciones sobre acciones con vidas contractuales relativamente cortas, o que deban ser ejercitadas en un periodo corto de tiempo tras la fecha de consolidación (irrevocabilidad) de la concesión, los factores y problemas identificados más arriba podrían no resultar aplicables. En estos casos, la fórmula de Black-Scholes-Merton puede dar lugar a un valor que es esencialmente el mismo que se deriva de un modelo de valoración de opciones más flexible.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Todos los modelos de valoración de opciones tienen en cuenta, como mínimo, los siguientes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precio de ejercicio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vida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precio actual de las acciones subyacentes;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volatilidad esperada del precio de la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dividendos esperados sobre las acciones (si es adecuado);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tasa de interés libre de riesgo para la vida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Si existen otros factores que un sujeto interesado y debidamente informado consideraría al establecer el precio, también serán tenidos en cuenta (excepto por lo que se refiere a las condiciones para la irrevocabilidad (consolidación) de la concesión y los componentes de renovación, que se excluyen de la medición del valor razonable de acuerdo con los párrafos 19 a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B8 Por ejemplo, es normal que una opción sobre acciones concedida a un empleado no pueda ser ejercitada durante determinados periodos (por ejemplo durante el periodo para la </w:t>
      </w:r>
      <w:r w:rsidRPr="00401DFF">
        <w:rPr>
          <w:rFonts w:ascii="Times New Roman" w:eastAsia="Times New Roman" w:hAnsi="Times New Roman" w:cs="Times New Roman"/>
          <w:sz w:val="24"/>
          <w:szCs w:val="24"/>
          <w:lang w:eastAsia="es-CO"/>
        </w:rPr>
        <w:lastRenderedPageBreak/>
        <w:t>consolidación (irrevocabilidad) de la concesión o durante determinados periodos especificados por el regulador del mercado financiero). Este factor será tenido en cuenta si, en el modelo de valoración de opciones aplicado, se asume en otro caso que la opción podría ser ejercitada en cualquier momento durante su vida. Sin embargo, si la entidad emplea un modelo de valoración de opciones donde evalúa las que pueden ejercitarse sólo al término de la vida de las mismas, no será necesario realizar ajustes a consecuencia de la incapacidad de ejercitarlas durante el periodo para la consolidación (irrevocabilidad) de la concesión (u otros periodos durante la vida de las opciones), puesto que el modelo asume que las opciones no pueden ser ejercitadas durante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De forma parecida, otra característica común a las opciones sobre acciones de los empleados es la posibilidad de ejercitar anticipadamente la opción antes de que termine el periodo de tiempo en el que pueda hacerse, por ejemplo, porque la opción no es libremente transferible, o porque el empleado debe ejercitar todas las opciones concedidas que haya consolidado cuando cesa en su empleo. Los efectos del ejercicio anticipado esperado serán tenidos en cuenta según lo establecido en los párrafos B16 a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Los factores que un participante en el mercado, interesado y debidamente informado, no consideraría al establecer el precio de una opción sobre acciones (u otro instrumento de patrimonio), no se tendrán en cuenta al estimar el valor razonable de las opciones sobre acciones (u otros instrumentos de patrimonio) que se hayan concedido. Por ejemplo, para opciones sobre acciones concedidas a los empleados, los factores que afectan al valor de la opción sólo desde la perspectiva individual del empleado son irrelevantes para la estimación del precio que establecería un participante en el mercado interesado y debidamente informado.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los modelos de valoración de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Al estimar la volatilidad esperada y los dividendos de las acciones subyacentes, el objetivo es aproximarse a las expectativas que se reflejarían en un mercado real o en el precio negociado de intercambio de la opción. De forma similar, al estimar los efectos del ejercicio anticipado de las opciones sobre acciones por parte del empleado, el objetivo es aproximarse a las expectativas que un tercero ajeno, con acceso a información detallada acerca del comportamiento de los empleados al ejercitar las opciones, desarrollaría a partir de la información disponible en la fecha de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A menudo, es probable que haya un rango de expectativas razonables acerca de la volatilidad futura, los dividendos y el comportamiento respecto al ejercicio de las opciones. Si es así, debería calcularse un valor esperado, ponderando cada importe dentro del rango por su probabilidad asociada de ocurrencia.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B13 Las expectativas acerca del futuro se basan generalmente en la experiencia, debidamente modificada si se espera razonablemente que el futuro difiera del pasado. En determinadas circunstancias, algunos factores identificables pueden indicar que la experiencia histórica sin ajustar predice de manera relativamente pobre la experiencia futura. Por ejemplo, si una entidad con dos líneas de negocio marcadamente diferentes, se desprende de la que es significativamente menos arriesgada, la volatilidad histórica puede </w:t>
      </w:r>
      <w:r w:rsidRPr="00401DFF">
        <w:rPr>
          <w:rFonts w:ascii="Times New Roman" w:eastAsia="Times New Roman" w:hAnsi="Times New Roman" w:cs="Times New Roman"/>
          <w:sz w:val="24"/>
          <w:szCs w:val="24"/>
          <w:lang w:eastAsia="es-CO"/>
        </w:rPr>
        <w:lastRenderedPageBreak/>
        <w:t>no ser la mejor información sobre la que basar las expectativas razonables acerca del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En otros casos, la información histórica puede no estar disponible. Por ejemplo, una entidad que cotiza por primera vez tendrá poca, o ninguna, información histórica sobre la volatilidad del precio de sus acciones. Las entidades no cotizadas o que cotizan por primera vez se abordan más adelante.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En resumen, la entidad no debería simplemente basar las estimaciones de volatilidad, del comportamiento respecto al ejercicio de las opciones y de los dividendos en la información histórica, sin considerar la medida en la que se espera que la experiencia pasada sea razonablemente predictiva de las expectativas sobre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Expectativas sobre el ejercicio anticipado de las opciones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A menudo, los empleados ejercitan las opciones sobre acciones anticipadamente, por diversas razones. Por ejemplo, las opciones sobre acciones para los empleados no son habitualmente transmisibles. Esto a menudo da lugar a que los empleados ejerciten sus opciones sobre acciones anticipadamente, porque es el único modo que tienen para liquidar su posición. Asimismo, los empleados que cesan en la prestación de sus servicios a la entidad son, con frecuencia, obligados a ejercitar las opciones que han consolidado en un periodo corto de tiempo, puesto que en otro caso pueden quedar anuladas. Este factor también causa el ejercicio anticipado de las opciones sobre acciones de los empleados. Otros factores que dan lugar al ejercicio anticipado son la aversión al riesgo y la falta de diversificación de las inversiones de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Los medios para tener en cuenta los efectos del ejercicio anticipado esperado, dependen de la tasa de modelo de valoración de opciones que se aplique. Por ejemplo, el ejercicio anticipado esperado puede tenerse en cuenta empleando una estimación de la vida esperada de la opción (lo que, para una opción sobre acciones de un empleado, es el periodo de tiempo desde la fecha de concesión hasta la fecha en la que se espera que la opción sea ejercitada) como un dato de entrada del modelo de valoración de opciones (por ejemplo, la fórmula de Black-Scholes-Merton). Alternativamente, el ejercicio anticipado esperado podría ser modelizado a través de un modelo de valoración de opciones binomial o similar, que emplea la vida contractual como un dato de entrada 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Entre los factores a considerar en la estimación del ejercicio anticipado de las opciones se incluye: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duración del periodo para la consolidación (irrevocabilidad) de la concesión, porque las opciones sobre acciones habitualmente no pueden ser ejercitadas hasta el término del periodo para la consolidación (irrevocabilidad) de la concesión. Por lo tanto, la determinación de las implicaciones de medición del ejercicio anticipado esperado se basa en la asunción de que las opciones se consolidarán. Las implicaciones de las condiciones para la irrevocabilidad (consolidación) de la concesión se abordan en los párrafos 19 a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promedio de la duración de opciones similares, que hayan estado en circulación en el pasado.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precio de las acciones subyacentes. La experiencia puede indicar que los empleados tienden a ejercitar las opciones cuando el precio de las acciones alcanza un determinado nivel por encima del precio de ejercicio.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nivel del empleado dentro de la organización. Por ejemplo, la experiencia puede indicar que los empleados de niveles superiores tienden a ejercitar las opciones más tarde que los empleados de niveles inferiores (lo que se discute más extensamente en el párrafo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volatilidad esperada de las acciones subyacentes. En promedio, los empleados podrían tender a ejercitar opciones sobre acciones muy volátiles antes que las opciones sobre acciones con poca volatilidad.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Según se indicó en el párrafo B17, los efectos del ejercicio anticipado podrían ser tenidos en cuenta utilizando la estimación de la vida esperada de la opción como un dato de entrada dentro del modelo de valoración de opciones. Al estimar la vida esperada de las opciones sobre acciones concedidas a un grupo de empleados, la entidad podría basar esta estimación en el promedio ponderado de la vida esperada por todo el grupo de empleados, o en un promedio ponderado de la vida según los subgrupos de empleados pertenecientes al grupo, basándose en datos más detallados acerca del comportamiento del ejercicio por parte de los empleados (lo que se discute más adelante).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Es muy probable que se obtenga mayor relevancia dividiendo la concesión de opciones en grupos de empleados con un comportamiento de ejercicio relativamente homogéneo. El valor de la opción no es una función lineal del plazo de la opción, ya que dicho valor aumenta a una tasa decreciente a medida que el plazo se alarga. Por ejemplo, si todas las demás suposiciones son iguales, aunque una opción con un periodo de ejercicio de dos años valga más que una opción con un periodo de ejercicio de un año, no llega a valer el doble. Esto significa que calcular el valor estimado de la opción sobre la base de un único promedio ponderado de vida, que incluya vidas individuales significativamente diferentes, podría sobreestimar el valor razonable total de las opciones sobre acciones concedidas. Si se dividen las opciones concedidas en varios grupos, cada uno de ellos con un rango relativamente estrecho de vidas incluidas en su promedio ponderado de vida, se reducirá esa posibilidad de sobrestimación.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B21 Consideraciones parecidas se aplican cuando se emplea un modelo binomial u otro similar. Por ejemplo, la experiencia de una entidad que concede opciones de forma general a todos los niveles de empleados, podría indicar que los directivos de nivel superior tienden a mantener sus opciones más tiempo que los mandos intermedios, y que los empleados de niveles inferiores tienden a ejercitar sus opciones antes que cualquier otro grupo. Además, los empleados a los que se aconseja o se obliga a mantener un importe mínimo de instrumentos de patrimonio de sus empleadores, incluyendo opciones, podrían en promedio ejercitar opciones más tarde que los empleados que no están sujetos a esa restricción. En esas situaciones, separar las opciones por grupos de receptores con comportamientos </w:t>
      </w:r>
      <w:r w:rsidRPr="00401DFF">
        <w:rPr>
          <w:rFonts w:ascii="Times New Roman" w:eastAsia="Times New Roman" w:hAnsi="Times New Roman" w:cs="Times New Roman"/>
          <w:sz w:val="24"/>
          <w:szCs w:val="24"/>
          <w:lang w:eastAsia="es-CO"/>
        </w:rPr>
        <w:lastRenderedPageBreak/>
        <w:t>respecto al ejercicio relativamente homogéneos, dará lugar a una estimación más precisa del valor razonable total de las opciones sobre acciones concedidas.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Volatilidad esperada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La volatilidad esperada es una medida del importe al que se espera fluctúe el precio a lo largo de un determinado periodo. La medida de la volatilidad usada en los modelos de valoración de opciones es la desviación típica anualizada de las tasas de rendimiento sobre las acciones a lo largo de un periodo de tiempo, calculadas utilizando capitalización continua. La volatilidad habitualmente se expresa en términos anualizados, que son comparables independientemente del periodo de tiempo que se use para su cálculo, por ejemplo, comparaciones de precios diarios, semanales o mensuales.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B23 La tasa de rendimiento (que puede ser positiva o negativa) sobre una acción, para un determinado periodo, mide los beneficios económicos percibidos por un accionista, por dividendos y por la revaluación (o devaluación) del precio de la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La volatilidad anualizada esperada de una acción es el rango dentro del cual se espera que esté la tasa anual de rendimiento, calculada utilizando capitalización continua, con una probabilidad aproximada de dos tercios. Por ejemplo, suponiendo que una acción con una tasa de rendimiento, capitalizada de forma continua, del 12 por ciento tenga una volatilidad del 30 por ciento, esto significa que la probabilidad de que la tasa de rendimiento anual de la acción esté entre -18 por ciento (12% - 30%) y 42 por ciento (12% + 30%) es aproximadamente de dos tercios. Si el precio de la acción es 100 u.m. al comienzo del año y no se pagan dividendos, puede esperarse que el precio de la acción al término del año estuviese entre 83,53 u.m. (100 u.m. x e</w:t>
      </w:r>
      <w:r w:rsidRPr="00401DFF">
        <w:rPr>
          <w:rFonts w:ascii="Times New Roman" w:eastAsia="Times New Roman" w:hAnsi="Times New Roman" w:cs="Times New Roman"/>
          <w:sz w:val="20"/>
          <w:szCs w:val="20"/>
          <w:vertAlign w:val="superscript"/>
          <w:lang w:eastAsia="es-CO"/>
        </w:rPr>
        <w:t>-0,18</w:t>
      </w:r>
      <w:r w:rsidRPr="00401DFF">
        <w:rPr>
          <w:rFonts w:ascii="Times New Roman" w:eastAsia="Times New Roman" w:hAnsi="Times New Roman" w:cs="Times New Roman"/>
          <w:sz w:val="24"/>
          <w:szCs w:val="24"/>
          <w:lang w:eastAsia="es-CO"/>
        </w:rPr>
        <w:t>) y 152,20 u.m. (100 u.m. x e</w:t>
      </w:r>
      <w:r w:rsidRPr="00401DFF">
        <w:rPr>
          <w:rFonts w:ascii="Times New Roman" w:eastAsia="Times New Roman" w:hAnsi="Times New Roman" w:cs="Times New Roman"/>
          <w:sz w:val="20"/>
          <w:szCs w:val="20"/>
          <w:vertAlign w:val="superscript"/>
          <w:lang w:eastAsia="es-CO"/>
        </w:rPr>
        <w:t>0,42</w:t>
      </w:r>
      <w:r w:rsidRPr="00401DFF">
        <w:rPr>
          <w:rFonts w:ascii="Times New Roman" w:eastAsia="Times New Roman" w:hAnsi="Times New Roman" w:cs="Times New Roman"/>
          <w:sz w:val="24"/>
          <w:szCs w:val="24"/>
          <w:lang w:eastAsia="es-CO"/>
        </w:rPr>
        <w:t>) con una probabilidad aproximada de dos tercios.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Entre los factores a considerar en la estimación de la volatilidad esperada 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volatilidad implícita de las opciones sobre acciones cotizadas de las acciones de la entidad, u otros instrumentos cotizados de la entidad que contengan características de las opciones (tales como deuda convertible), si existen.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volatilidad histórica del precio de la acción en el periodo más reciente, que generalmente será proporcional al plazo esperado de la opción (teniendo en cuenta la vida contractual restante de la opción y los efectos del ejercicio anticipado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periodo de tiempo durante el cual las acciones de la entidad han cotizado. Una entidad recientemente incluida en la cotización podría tener una volatilidad histórica elevada, en comparación con entidades similares que han tenido cotización durante más tiempo. Más adelante se proporcionan guías adicionales para entidades incluidas recientemente en las listas de cotización.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La tendencia de la volatilidad a revertir a su media, es decir, a su nivel promedio a largo plazo, y otros factores indican que la volatilidad esperada futura podría diferir de la </w:t>
      </w:r>
      <w:r w:rsidRPr="00401DFF">
        <w:rPr>
          <w:rFonts w:ascii="Times New Roman" w:eastAsia="Times New Roman" w:hAnsi="Times New Roman" w:cs="Times New Roman"/>
          <w:sz w:val="24"/>
          <w:szCs w:val="24"/>
          <w:lang w:eastAsia="es-CO"/>
        </w:rPr>
        <w:lastRenderedPageBreak/>
        <w:t>volatilidad pasada. Por ejemplo, si el precio de la acción de la entidad era extraordinariamente volátil, en algún periodo determinado de tiempo a consecuencia de una oferta pública de compra de acciones fallida o debido a una reestructuración, ese periodo podría ser descartado a la hora de computar el promedio de la volatilidad histórica anual.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uso de intervalos regulares y adecuados para las observaciones de los precios. Las observaciones del precio deberán ser uniformes de un periodo a otro. Por ejemplo, una entidad podría usar el precio de cierre semanal o el precio más alto de la semana, pero no debe utilizar el precio de cierre para algunas semanas y el precio más alto para otras. Además, las observaciones del precio deberán expresarse en la misma moneda que el precio de ejercicio.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Entidades incluidas recientemente en las listas de cotización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Según se indicó en el párrafo B25, la entidad deberá considerar la volatilidad histórica del precio de la acción a lo largo del periodo más reciente, que generalmente es comparable con el plazo esperado de la opción. Si una entidad cotizada recientemente no tiene suficiente información sobre la volatilidad histórica, deberá no obstante computar la volatilidad histórica para el periodo más largo para el que las cotizaciones de mercado estén disponibles. También podría considerar la volatilidad histórica de entidades similares siguiendo un periodo comparable de sus vidas. Por ejemplo, la entidad que sólo ha cotizado durante un año y concede opciones con un promedio de vida esperada de cinco años podría considerar el patrón y nivel de volatilidad histórica de entidades pertenecientes al mismo sector, durante los seis primeros años en los que cotizaron las acciones de dichas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Entidades no incluidas en listas de cotización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La entidad no cotizada no dispondrá de información histórica para considerar cómo estimar la volatilidad esperada. Se recogen a continuación algunas consideraciones adicionales sobre los factores a tener en cuenta.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En algunos casos, una entidad no cotizada que regularmente emita opciones o acciones para sus empleados (o para terceros) podría haber establecido un mercado interno para sus acciones. La volatilidad del precio de esas acciones podría ser considerada al estimar la volatilidad esperada.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B29 Alternativamente, la entidad podría considerar la volatilidad histórica o implícita de entidades similares cotizadas, para las que haya información disponible acerca del precio de la acción o del precio de la opción, con el fin de usarla en la estimación de la volatilidad esperada. Esto podría ser adecuado si la entidad ha referenciado el valor de sus acciones a los precios de las acciones de entidades similares cotizadas.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B30 Si la entidad no hubiera basado su estimación del valor de sus acciones, en los precios de acciones de entidades similares cotizadas, y en cambio hubiera empleado otra metodología para valorar sus acciones, podría realizar una estimación de la volatilidad esperada que fuera uniforme con esa metodología de valoración. Por ejemplo, la entidad podría valorar sus acciones sobre la base de los activos netos o de las ganancias. También </w:t>
      </w:r>
      <w:r w:rsidRPr="00401DFF">
        <w:rPr>
          <w:rFonts w:ascii="Times New Roman" w:eastAsia="Times New Roman" w:hAnsi="Times New Roman" w:cs="Times New Roman"/>
          <w:sz w:val="24"/>
          <w:szCs w:val="24"/>
          <w:lang w:eastAsia="es-CO"/>
        </w:rPr>
        <w:lastRenderedPageBreak/>
        <w:t>podría considerar la volatilidad esperada de esos valores basados en los activos netos o en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Dividendos esperados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Tener o no en cuenta los dividendos esperados, al determinar el valor razonable de las acciones o de las opciones, dependerá de si la contraparte tiene derecho a recibir dividendos o retribuciones equivalentes a los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Por ejemplo, si se han concedido a los empleados opciones y tienen derecho a percibir dividendos sobre las acciones subyacentes u otros dividendos equivalentes (que podrían ser pagados en efectivo o aplicados a reducir el precio de ejercicio), entre la fecha de concesión y la fecha de ejercicio, las opciones concedidas deberán valorarse como si no se fuesen a pagar dividendos sobre las acciones subyacentes; es decir el valor del dato de entrada representativo de los dividendos debería ser 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De forma parecida, cuando se estima el valor razonable a la fecha de concesión de acciones concedidas a los empleados, no se requiere ajuste alguno para los dividendos esperados si el empleado tiene derecho a recibir los dividendos que se paguen durante el periodo para la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Por el contrario, si los empleados no tienen derecho a recibir dividendos o equivalentes de dividendos durante el periodo de consolidación del derecho (o antes de su ejercicio, en el caso de una opción), la valoración en la fecha de concesión de los derechos sobre acciones o sobre opciones deberá tener en cuenta los dividendos esperados. Es decir, al estimar el valor razonable de una concesión de opciones, los dividendos estimados deberán ser incluidos en la aplicación del modelo de valoración de opciones. Cuando se estime el valor razonable de una concesión de acciones, se reducirá la medición por el valor presente de los dividendos esperados que se vayan a pagar durante el periodo para la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Los modelos de valoración de opciones exigen generalmente la utilización de una tasa de rentabilidad esperada por dividendos. Sin embargo, dichos modelos pueden ser modificados para usar un importe de dividendo esperado en lugar de una tasa de rentabilidad. La entidad puede utilizar, o bien la tasa de rentabilidad esperada o bien el importe de los pagos esperados. Si la entidad utiliza este último dato, deberá considerar su patrón histórico de incremento de los dividendos. Por ejemplo, si la política de la entidad ha sido, habitualmente, aumentar los dividendos aproximadamente un 3 por ciento cada año, el valor estimado de la opción no deberá asumir un importe fijo de dividendo a lo largo de la vida de la opción, a menos que exista evidencia para apoyar esa suposición.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B36 Por lo general, las suposiciones acerca de los dividendos esperados deberán basarse en información pública disponible. Una entidad que no pague dividendos ni tenga intención de hacerlo, deberá suponer una rentabilidad esperada por dividendos nula. Sin embargo, una entidad emergente, que no tenga historial de pago de dividendos, podría tener como expectativa comenzar a pagar dividendos a lo largo de las vidas esperadas de las opciones sobre acciones que haya concedido a sus empleados. Esas entidades podrían utilizar un </w:t>
      </w:r>
      <w:r w:rsidRPr="00401DFF">
        <w:rPr>
          <w:rFonts w:ascii="Times New Roman" w:eastAsia="Times New Roman" w:hAnsi="Times New Roman" w:cs="Times New Roman"/>
          <w:sz w:val="24"/>
          <w:szCs w:val="24"/>
          <w:lang w:eastAsia="es-CO"/>
        </w:rPr>
        <w:lastRenderedPageBreak/>
        <w:t>promedio entre sus rentabilidades pasadas por dividendos (cero) y la rentabilidad media por dividendos de un grupo similar comparable.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Tasa de interés libre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Normalmente, la tasa de interés libre de riesgo es la rentabilidad implícita, actualmente disponible, para las emisiones cupón cero de los organismos públicos de aquellos países en cuya moneda se expresa el precio de ejercicio, con un plazo restante igual al plazo esperado de la opción que va a ser valorada (basado en la vida contractual restante de la vida de la opción y teniendo en cuenta los efectos de un ejercicio anticipado esperado). Podría ser necesario emplear un sustituto adecuado, si no existieran esas emisiones de organismos públicos, o si las circunstancias indican que la rentabilidad implícita sobre las emisiones cupón cero de los organismos públicos no es representativa de la tasa de interés libre de riesgo (por ejemplo, en economías con elevada inflación). También deberá utilizarse un sustituto adecuado si los partícipes en el mercado normalmente determinarían la tasa de interés libre de riesgo usando ese sustituto, en lugar de la rentabilidad implícita de las emisiones cupón cero de los organismos públicos, al estimar el valor razonable de una opción con una vida igual al periodo esperado de la opción que se está valorando.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Efectos de la estructura de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B38 En ocasiones otros sujetos, distintos de la entidad, emiten opciones sobre acciones cotizadas de la entidad y las negocian. Cuando se ejercitan estas opciones sobre acciones, el emisor entrega acciones al tenedor de la opción. Esas acciones se adquieren, por lo general, a los accionistas actuales. Por lo tanto el ejercicio de opciones sobre acciones cotizadas no tiene efecto dilusivo.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B39 Por el contrario, si las opciones sobre acciones son emitidas por la propia entidad, cuando éstas se ejerciten, se emitirán nuevas acciones (que o bien son realmente emitidas o bien son emitidas en esencia, si se utilizan acciones que se han adquirido previamente y se han mantenido en la propia cartera por parte de la entidad). Suponiendo que las acciones van a ser emitidas al precio de ejercicio, en lugar de al precio actual de mercado en la fecha de ejercicio, esta dilución real o potencial podría reducir el precio de la acción, de forma que el tenedor de la opción no obtenga una ganancia tan grande al ejercitarla como si ejercitara otra opción cotizada similar que no diluyese el precio de la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B40 El que esto tenga un efecto significativo en el valor de las opciones sobre acciones concedidas, depende de varios factores, tales como el número de nuevas acciones que se emitirán al ejercitar las opciones en comparación con el número de acciones ya emitidas. Por otra parte, si el mercado espera que tenga lugar la concesión de las opciones, puede ya haber considerado la potencial dilución en el precio de la acción en la fecha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 Sin embargo, la entidad deberá considerar si el posible efecto dilusivo del futuro ejercicio de las opciones sobre acciones concedidas, podría repercutir sobre su valor razonable estimado en la fecha de concesión. Los modelos de valoración de opciones pueden ser adaptados para tener en cuenta este efecto dilusivo potencial.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Modificaciones de los acuerdos de pagos basados en acciones liquidados mediante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B42 El párrafo 27 requiere que, independientemente de cualquier modificación en los plazos y condiciones sobre los que fueron concedidos los instrumentos de patrimonio, o de la cancelación o liquidación de esa concesión de instrumentos de patrimonio, la entidad reconozca, como mínimo, los servicios recibidos medidos por su valor razonable en la fecha de concesión de los instrumentos de patrimonio concedidos, a menos que esos instrumentos de patrimonio no se consoliden a consecuencia del incumplimiento de alguna condición necesaria para su irrevocabilidad (consolidación) (distinta de una condición referida al mercado), de las que fueron establecidas en la fecha de concesión. Además, la entidad reconocería los efectos de las modificaciones que aumenten el valor razonable total de los acuerdos con pagos basados en acciones o que, en otro caso, sean beneficiosos para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 Para aplicar los requerimientos del párrafo 27: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modificación aumenta el valor razonable de los instrumentos de patrimonio concedidos (por ejemplo, reduciendo el precio de ejercicio), determinado inmediatamente antes y después de la modificación, la entidad incluirá el valor razonable incremental concedido en la medición del importe reconocido por los servicios como contrapartida de los instrumentos de patrimonio concedidos. El valor razonable incremental concedido es la diferencia entre el valor razonable del instrumento de patrimonio modificado y el del instrumento de patrimonio original, ambos estimados en la fecha de la modificación. Si la modificación tiene lugar durante el periodo para la consolidación (irrevocabilidad) de la concesión, el valor razonable incremental concedido se incluirá en la determinación del importe reconocido por los servicios recibidos, a lo largo del periodo que va desde la fecha de modificación hasta la fecha en la que los instrumentos de patrimonio se consolidan, en adición al importe basado en el valor razonable en la fecha de concesión de los instrumentos de patrimonio originales, que son reconocidos a lo largo del periodo restante original para la consolidación (irrevocabilidad) de la concesión. Si la modificación tiene lugar tras la fecha de consolidación (irrevocabilidad) de la concesión, el valor razonable incremental concedido se reconocerá inmediatamente, o a lo largo del periodo de obtención de los derechos si el empleado está obligado a prestar un periodo de servicio adicional antes de obtener incondicionalmente el derecho a esos instrumentos de patrimonio modificados.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De forma parecida, si la modificación aumenta el número de instrumentos de patrimonio concedidos, la entidad incluirá el valor razonable de los instrumentos de patrimonio concedidos adicionalmente, medidos en la fecha de la modificación, en la medición del importe reconocido por los servicios recibidos como contrapartida por los instrumentos de patrimonio concedidos, de forma uniforme con los requerimientos establecidos en el apartado (a) anterior. Por ejemplo, si la modificación tiene lugar durante el periodo para la consolidación (irrevocabilidad) de la concesión, el valor razonable de los instrumentos de patrimonio adicionales concedidos se incluirá en la determinación del importe reconocido por los servicios recibidos a lo largo del periodo que se extiende desde la fecha de la modificación hasta la fecha en la que se obtiene la consolidación (irrevocabilidad) de la concesión de los instrumentos de patrimonio adicionales, en adición </w:t>
      </w:r>
      <w:r w:rsidRPr="00401DFF">
        <w:rPr>
          <w:rFonts w:ascii="Times New Roman" w:eastAsia="Times New Roman" w:hAnsi="Times New Roman" w:cs="Times New Roman"/>
          <w:sz w:val="24"/>
          <w:szCs w:val="24"/>
          <w:lang w:eastAsia="es-CO"/>
        </w:rPr>
        <w:lastRenderedPageBreak/>
        <w:t>al importe basado en el valor razonable en la fecha de concesión de los instrumentos de patrimonio originalmente concedidos, que son reconocidos a lo largo del periodo original restante para conseguir la consolidación (irrevocabilidad) de la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entidad modifica las condiciones para la irrevocabilidad (consolidación) de la concesión, de una forma que sea beneficiosa para el empleado, por ejemplo, reduciendo el periodo de obtención de los derechos o modificando o eliminando una condición de rendimiento (distinta de una condición referida al mercado, cuyos cambios se contabilizarán de acuerdo con lo establecido en el apartado (a) anterior), la entidad tomará en cuenta las condiciones modificadas para la irrevocabilidad (consolidación) de la concesión al aplicar los requerimientos de los párrafos 19 a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 Además, si la entidad modifica los plazos y condiciones de los instrumentos de patrimonio concedidos de forma que reduzca el valor razonable total del acuerdo con pagos basados en acciones, o en cualquier otro caso la modificación no resulta beneficiosa para el empleado, la entidad continuará, no obstante, contabilizando los servicios recibidos como contrapartida por los instrumentos de patrimonio concedidos, como si esa modificación no hubiera ocurrido (siempre que se trate de una modificación distinta de la cancelación de algunos o de la totalidad de los instrumentos concedidos, que se contabilizará de acuerdo con lo establecido en el párrafo 28).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modificación reduce el valor razonable de los instrumentos de patrimonio concedidos, según valoraciones realizadas inmediatamente antes y después de la modificación, la entidad no tendrá en cuenta esa disminución en el valor razonable y procederá a determinar el importe reconocido por los servicios recibidos como contrapartida por los instrumentos de patrimonio basándose en el valor razonable de la fecha de concesión de los instrumentos de patrimonio concedidos.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modificación reduce el número de instrumentos de patrimonio concedidos a un empleado, esa reducción será contabilizada como una cancelación de esa parte de la concesión, de acuerdo con los requerimientos del párrafo 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entidad modifica las condiciones para la irrevocabilidad (consolidación) de la concesión de forma que no resulte beneficioso para el empleado, por ejemplo, incrementando el periodo para la irrevocabilidad (consolidación) de la concesión o bien modificando o añadiendo una condición sobre el rendimiento (que sea distinta de una condición referida al mercado, cuyo cambio se contabilizará de acuerdo con el apartado (a) anterior), la entidad no tendrá en cuenta las condiciones para la irrevocabilidad (consolidación) de la concesión al aplicar los requerimientos de los párrafos 19 a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entre entidades del grupo (modificaciones de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B45 Los párrafos 43A a 43C tratan la contabilización de las transacciones con pagos basados en acciones entre entidades del grupo en los estados financieros separados o individuales de cada entidad. Los párrafos B46 a B61 analizan cómo aplicar los requerimientos de los párrafos 43A a 43C. Como se destacó en el párrafo 43D, las </w:t>
      </w:r>
      <w:r w:rsidRPr="00401DFF">
        <w:rPr>
          <w:rFonts w:ascii="Times New Roman" w:eastAsia="Times New Roman" w:hAnsi="Times New Roman" w:cs="Times New Roman"/>
          <w:sz w:val="24"/>
          <w:szCs w:val="24"/>
          <w:lang w:eastAsia="es-CO"/>
        </w:rPr>
        <w:lastRenderedPageBreak/>
        <w:t>transacciones con pagos basados en acciones entre entidades del grupo pueden tener lugar por una variedad de razones dependiendo de factores y circunstancias. Por ello, este análisis no es exhaustivo y supone que cuando la entidad que recibe los bienes o servicios no tiene obligación de liquidar la transacción, dicha transacción es una contribución de patrimonio de la controladora a la subsidiaria independientemente de los acuerdos de reembolso intragrupo.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B46 Aunque el análisis siguiente se centra en transacciones con empleados, también será de aplicación a transacciones con pagos basados en acciones similares, realizadas con proveedores de bienes o servicios distintos de los empleados. Un acuerdo entre una controladora y su subsidiaria podría requerir que la subsidiaria pague a la controladora por la aportación de los instrumentos de patrimonio a los empleados. El siguiente análisis no trata la contabilización de este acuerdo de pago intragrupo.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B47 Generalmente se pueden observar cuatro cuestiones en las transacciones con pagos basados en acciones entre entidades del grupo. Por conveniencia, los siguientes ejemplos analizan las cuestiones en términos de una controladora y su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de pagos basados en acciones que involucran instrumentos de patrimonio propio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B48 La primera cuestión es si las transacciones siguientes que involucran instrumentos de patrimonio propio de una entidad deben contabilizarse como liquidadas mediante instrumentos de patrimonio o como liquidadas en efectivo de acuerdo con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concede a sus empleados derechos sobre sus instrumentos de patrimonio (por ejemplo opciones sobre acciones), y compra, por elección propia o por obligación, instrumentos de patrimonio (es decir, acciones propias) a un tercero, para cumplir sus obligaciones con sus empleados;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concede a los empleados de una entidad derechos sobre los instrumentos de patrimonio de ésta (por ejemplo opciones sobre acciones), ya sea por la propia entidad o por sus accionistas, siendo éstos los que aportan los instrumentos de patrimonio necesarios.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B49 La entidad contabilizará las transacciones con pagos basados en acciones en las que recibe servicios como contraprestación de sus instrumentos de patrimonio propio como liquidadas mediante instrumentos de patrimonio. Esto se aplicará independientemente de si la entidad por elección propia o por obligación, compra esos instrumentos de patrimonio a un tercero para cumplir sus obligaciones con sus empleados derivadas de un acuerdo con pago basado en acciones. También se aplicará con independencia de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derechos del empleado a los instrumentos de patrimonio de la entidad se concedieron por la propia entidad o por uno o varios de sus accionistas;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acuerdo con pago basado en acciones fuera liquidado por la propia entidad o por uno o varios de sus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B50 Si el accionista tiene la obligación de liquidar la transacción con los empleados de su participada, se proporcionan los instrumentos de patrimonio de su participada en lugar de los suyos propios. Por ello, si su participada está en el mismo grupo que el accionista, de acuerdo con el párrafo 43C, el accionista medirá su obligación, en sus estados financieros separados, de acuerdo con los requerimientos aplicables a las transacciones con pagos basados en acciones liquidadas en efectivo y con los aplicables a las transacciones con pagos basados en acciones liquidados mediante instrumentos de patrimonio, en sus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con pagos basados en acciones que involucran instrumentos de patrimonio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 La segunda cuestión trata de las transacciones con pagos basados en acciones entre dos o más entidades dentro del mismo grupo que involucran un instrumento de patrimonio de otra entidad del grupo. Por ejemplo, se concede a los empleados de una subsidiaria derechos sobre los instrumentos de patrimonio de su controladora en contraprestación por los servicios prestados a la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 Por ello, esta segunda cuestión afecta a los siguientes acuerdos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controladora concede derechos sobre sus instrumentos de patrimonio directamente a los empleados de su subsidiaria: la controladora (no la subsidiaria) tiene la obligación de proporcionar los instrumentos de patrimonio a los empleados de la subsidiaria;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subsidiaria concede a sus empleados derechos sobre instrumentos de patrimonio de su controladora: la subsidiaria tiene la obligación de proporcionar los instrumentos de patrimonio a sus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controladora concede derechos sobre sus instrumentos de patrimonio a los empleados de su subsidiaria [párrafo B52(a)]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B53 La subsidiaria no tiene una obligación de proporcionar los instrumentos de patrimonio de su controladora a los empleados de la subsidiaria. Por ello, de acuerdo con el párrafo 43B, la subsidiaria medirá los servicios recibidos de sus empleados de acuerdo con los requerimientos aplicables a las transacciones con pagos basados en acciones liquidadas mediante instrumentos de patrimonio, y reconocerá un incremento correspondiente en patrimonio como una contribución procedente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B54 La controladora tiene una obligación de liquidar la transacción con los empleados de la subsidiaria aportando instrumentos de patrimonio propio de la controladora. Por ello, de acuerdo con el párrafo 43C, la controladora medirá su obligación de acuerdo con los </w:t>
      </w:r>
      <w:r w:rsidRPr="00401DFF">
        <w:rPr>
          <w:rFonts w:ascii="Times New Roman" w:eastAsia="Times New Roman" w:hAnsi="Times New Roman" w:cs="Times New Roman"/>
          <w:sz w:val="24"/>
          <w:szCs w:val="24"/>
          <w:lang w:eastAsia="es-CO"/>
        </w:rPr>
        <w:lastRenderedPageBreak/>
        <w:t>requerimientos aplicables a las transacciones con pagos basados en acciones liquidadas mediante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subsidiaria concede a sus empleados derechos sobre los instrumentos de patrimonio de su controladora [párrafo B52(b)]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B55 Debido a que la subsidiaria no cumple las condiciones del párrafo 43B, se contabilizará la transacción con sus empleados como liquidada en efectivo. Este requerimiento se aplicará con independencia de la forma en que la subsidiaria obtenga los instrumentos de patrimonio para satisfacer sus obligaciones con sus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con pagos basados en acciones que involucran pagos liquidados mediante efectivo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B56 La tercera cuestión es cómo una entidad que recibe bienes o servicios de sus proveedores (incluyendo los empleados) debería contabilizar los acuerdos con pagos basados en acciones que son liquidados en efectivo cuando la entidad en sí misma no tiene ninguna obligación de hacer los pagos requeridos a sus proveedores. Por ejemplo, considérense los acuerdos siguientes en los que la controladora (no la entidad en sí misma) tiene la obligación de hacer los pagos en efectivo requeridos a los empleados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empleados de la entidad recibirán pagos en efectivo que están vinculados al precio de sus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empleados de la entidad recibirán pagos en efectivo que están vinculados al precio de los instrumentos de patrimonio de su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 La subsidiaria no tiene la obligación de liquidar la transacción con sus empleados. Por ello, la subsidiaria contabilizará la transacción con sus empleados como liquidada mediante instrumentos de patrimonio, y reconocerá un incremento correspondiente en patrimonio como una contribución de su controladora. La subsidiaria medirá nuevamente el costo de la transacción posteriormente por los cambios que procedan de condiciones para la irrevocabilidad (consolidación) de la concesión distintas de las referidas al mercado no cumplidas de acuerdo con los párrafos 19 a 21. Esto difiere de la medición de la transacción como liquidada en efectivo en los estados financieros consolidados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B58 Debido a que la controladora tiene la obligación de liquidar la transacción con los empleados, y la contraprestación es efectivo, la controladora (y el grupo consolidado) medirá su obligación de acuerdo con los requerimientos aplicables a las transacciones con pagos basados en acciones liquidadas en efectivo del párrafo 43C.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de empleados entre entidades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B59 La cuarta cuestión está relacionada con los acuerdos de pagos basados en acciones del grupo que involucran a empleados de más de una entidad del grupo. Por ejemplo, una controladora puede conceder derechos sobre sus instrumentos de patrimonio a los </w:t>
      </w:r>
      <w:r w:rsidRPr="00401DFF">
        <w:rPr>
          <w:rFonts w:ascii="Times New Roman" w:eastAsia="Times New Roman" w:hAnsi="Times New Roman" w:cs="Times New Roman"/>
          <w:sz w:val="24"/>
          <w:szCs w:val="24"/>
          <w:lang w:eastAsia="es-CO"/>
        </w:rPr>
        <w:lastRenderedPageBreak/>
        <w:t>empleados de sus subsidiarias, sujetos a la condición de que éstos presten servicios continuados dentro del grupo durante un periodo de tiempo especificado. Un empleado de una subsidiaria puede ser trasladado a otra subsidiaria durante el periodo especificado de consolidación (o irrevocabilidad) de la concesión sin que los derechos del empleado sobre los instrumentos de patrimonio de la controladora, que se deriven del acuerdo con pago basado en acciones original se vean afectados. Si las subsidiarias no tienen obligación de liquidar la transacción con pagos basados en acciones con sus empleados, lo contabilizarán como una transacción liquidada mediante instrumentos de patrimonio. Cada subsidiaria medirá los servicios recibidos del empleado por referencia al valor razonable de los instrumentos de patrimonio en la fecha en que los derechos sobre esos instrumentos de patrimonio fueron originalmente concedidos por la controladora, tal como se define en el Apéndice A, y en proporción al periodo de irrevocabilidad (consolidación) de la concesión que el empleado permaneció en cada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B60 Si la subsidiaria tiene la obligación de liquidar la transacción con sus empleados en instrumentos de patrimonio de su controladora, contabilizará la transacción como liquidada en efectivo. Cada subsidiaria medirá los servicios recibidos sobre la base del valor razonable en la fecha de la concesión de los instrumentos de patrimonio por la proporción del periodo de consolidación (o irrevocabilidad) de la concesión que el empleado permaneció en cada subsidiaria. Además, cada subsidiaria reconocerá los cambios en el valor razonable de los instrumentos de patrimonio durante el periodo de servicio del empleado en cada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B61 El citado empleado, después de su traslado entre las entidades del grupo, podría no cumplir una condición para la irrevocabilidad (consolidación) de la concesión, distinta de una condición referida al mercado, según se define en el Apéndice A, por ejemplo, si el empleado abandonase el grupo antes de completar el periodo de prestación de servicios. En este caso, puesto que la condición de irrevocabilidad (consolidación) de la concesión es el servicio al grupo, cada subsidiaria ajustará el importe previamente reconocido en relación con los servicios recibidos del empleado conforme a los principios del párrafo 19. Por ello, si los derechos sobre los instrumentos de patrimonio concedidos por la controladora no se consolidasen por el incumplimiento de alguna condición para la consolidación (o irrevocabilidad) de la concesión distinta de las condiciones referidas al mercado, no se reconocerá ningún importe acumulado por los servicios recibidos de ese empleado en los estados financieros de cualquier entidad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(70) El título de la NIC 32 fue modificado en 2005.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En esta NIIF se utilizan la frase “por referencia a” en lugar de “al”, puesto que la transacción se mide, en última instancia, multiplicando el valor razonable de los instrumentos de patrimonio, medido en la fecha especificada en los párrafos 11 ó 13 (según cuál de los dos sea aplicable), por el número de instrumentos de patrimonio que son irrevocables (se consolidan), como se explica en el párrafo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 En el resto de la NIIF, todas las referencias a los empleados se entenderán realizadas también a los terceros que suministren servicios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(73) En los párrafos 35 a 43, todas las referencias a “efectivo”, incluyen también a otros activos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(74) Un “grupo” se define en el Apéndice A de la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como una “controladora y sus subsidiarias” desde la perspectiva de la entidad controladora última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(75)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 xml:space="preserve"> define un pasivo como una obligación presente de la entidad surgida de sucesos pasados, para cuya liquidación se espera que se produzca una salida de la entidad de recursos que incorporan beneficios económicos (por ejemplo una salida de efectivo u otros activos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En este apéndice,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objetivo de esta NIIF es mejorar la relevancia, la fiabilidad y la comparabilidad de la información sobre </w:t>
      </w:r>
      <w:r w:rsidRPr="00401DFF">
        <w:rPr>
          <w:rFonts w:ascii="Times New Roman" w:eastAsia="Times New Roman" w:hAnsi="Times New Roman" w:cs="Times New Roman"/>
          <w:i/>
          <w:iCs/>
          <w:sz w:val="24"/>
          <w:szCs w:val="24"/>
          <w:lang w:eastAsia="es-CO"/>
        </w:rPr>
        <w:t xml:space="preserve">combinaciones de negocios </w:t>
      </w:r>
      <w:r w:rsidRPr="00401DFF">
        <w:rPr>
          <w:rFonts w:ascii="Times New Roman" w:eastAsia="Times New Roman" w:hAnsi="Times New Roman" w:cs="Times New Roman"/>
          <w:sz w:val="24"/>
          <w:szCs w:val="24"/>
          <w:lang w:eastAsia="es-CO"/>
        </w:rPr>
        <w:t xml:space="preserve">y sus efectos, que una entidad que informa proporciona a través de su estado financiero. Para lograrlo, esta NIIF establece principios y requerimientos sobre la forma en que la </w:t>
      </w:r>
      <w:r w:rsidRPr="00401DFF">
        <w:rPr>
          <w:rFonts w:ascii="Times New Roman" w:eastAsia="Times New Roman" w:hAnsi="Times New Roman" w:cs="Times New Roman"/>
          <w:i/>
          <w:iCs/>
          <w:sz w:val="24"/>
          <w:szCs w:val="24"/>
          <w:lang w:eastAsia="es-CO"/>
        </w:rPr>
        <w:t>entidad adquirente</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reconocerá y medirá en sus estados financieros los activos </w:t>
      </w:r>
      <w:r w:rsidRPr="00401DFF">
        <w:rPr>
          <w:rFonts w:ascii="Times New Roman" w:eastAsia="Times New Roman" w:hAnsi="Times New Roman" w:cs="Times New Roman"/>
          <w:i/>
          <w:iCs/>
          <w:sz w:val="24"/>
          <w:szCs w:val="24"/>
          <w:lang w:eastAsia="es-CO"/>
        </w:rPr>
        <w:t xml:space="preserve">identificables </w:t>
      </w:r>
      <w:r w:rsidRPr="00401DFF">
        <w:rPr>
          <w:rFonts w:ascii="Times New Roman" w:eastAsia="Times New Roman" w:hAnsi="Times New Roman" w:cs="Times New Roman"/>
          <w:sz w:val="24"/>
          <w:szCs w:val="24"/>
          <w:lang w:eastAsia="es-CO"/>
        </w:rPr>
        <w:t xml:space="preserve">adquiridos, los pasivos asumidos y cualquier </w:t>
      </w:r>
      <w:r w:rsidRPr="00401DFF">
        <w:rPr>
          <w:rFonts w:ascii="Times New Roman" w:eastAsia="Times New Roman" w:hAnsi="Times New Roman" w:cs="Times New Roman"/>
          <w:i/>
          <w:iCs/>
          <w:sz w:val="24"/>
          <w:szCs w:val="24"/>
          <w:lang w:eastAsia="es-CO"/>
        </w:rPr>
        <w:t>participación no controladora</w:t>
      </w:r>
      <w:r w:rsidRPr="00401DFF">
        <w:rPr>
          <w:rFonts w:ascii="Times New Roman" w:eastAsia="Times New Roman" w:hAnsi="Times New Roman" w:cs="Times New Roman"/>
          <w:sz w:val="24"/>
          <w:szCs w:val="24"/>
          <w:lang w:eastAsia="es-CO"/>
        </w:rPr>
        <w:t xml:space="preserve"> en la </w:t>
      </w:r>
      <w:r w:rsidRPr="00401DFF">
        <w:rPr>
          <w:rFonts w:ascii="Times New Roman" w:eastAsia="Times New Roman" w:hAnsi="Times New Roman" w:cs="Times New Roman"/>
          <w:i/>
          <w:iCs/>
          <w:sz w:val="24"/>
          <w:szCs w:val="24"/>
          <w:lang w:eastAsia="es-CO"/>
        </w:rPr>
        <w:t>entidad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reconocerá y medirá la </w:t>
      </w:r>
      <w:r w:rsidRPr="00401DFF">
        <w:rPr>
          <w:rFonts w:ascii="Times New Roman" w:eastAsia="Times New Roman" w:hAnsi="Times New Roman" w:cs="Times New Roman"/>
          <w:i/>
          <w:iCs/>
          <w:sz w:val="24"/>
          <w:szCs w:val="24"/>
          <w:lang w:eastAsia="es-CO"/>
        </w:rPr>
        <w:t xml:space="preserve">plusvalía </w:t>
      </w:r>
      <w:r w:rsidRPr="00401DFF">
        <w:rPr>
          <w:rFonts w:ascii="Times New Roman" w:eastAsia="Times New Roman" w:hAnsi="Times New Roman" w:cs="Times New Roman"/>
          <w:sz w:val="24"/>
          <w:szCs w:val="24"/>
          <w:lang w:eastAsia="es-CO"/>
        </w:rPr>
        <w:t>adquirida en la combinación de negocios o una ganancia procedente de una compra en condiciones muy ventajosas;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determinará qué información revelará para permitir que los usuarios de los estados financieros evalúen la naturaleza y los efectos financieros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Esta NIIF se aplicará a una transacción u otro suceso que cumpla la definición de una combinación de negocios. Esta NIIF no se aplicará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formación de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adquisición de un activo o de un grupo de activos que no constituya un </w:t>
      </w:r>
      <w:r w:rsidRPr="00401DFF">
        <w:rPr>
          <w:rFonts w:ascii="Times New Roman" w:eastAsia="Times New Roman" w:hAnsi="Times New Roman" w:cs="Times New Roman"/>
          <w:i/>
          <w:iCs/>
          <w:sz w:val="24"/>
          <w:szCs w:val="24"/>
          <w:lang w:eastAsia="es-CO"/>
        </w:rPr>
        <w:t>negocio</w:t>
      </w:r>
      <w:r w:rsidRPr="00401DFF">
        <w:rPr>
          <w:rFonts w:ascii="Times New Roman" w:eastAsia="Times New Roman" w:hAnsi="Times New Roman" w:cs="Times New Roman"/>
          <w:sz w:val="24"/>
          <w:szCs w:val="24"/>
          <w:lang w:eastAsia="es-CO"/>
        </w:rPr>
        <w:t xml:space="preserve">. En estos casos, la entidad adquirente identificará y reconocerá los activos identificables individuales que se adquirieron (incluyendo los que cumplan con la definición y los criterios de reconocimiento de los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incluidos en la NIC 38 </w:t>
      </w:r>
      <w:r w:rsidRPr="00401DFF">
        <w:rPr>
          <w:rFonts w:ascii="Times New Roman" w:eastAsia="Times New Roman" w:hAnsi="Times New Roman" w:cs="Times New Roman"/>
          <w:i/>
          <w:iCs/>
          <w:sz w:val="24"/>
          <w:szCs w:val="24"/>
          <w:lang w:eastAsia="es-CO"/>
        </w:rPr>
        <w:t xml:space="preserve">Activos </w:t>
      </w:r>
      <w:r w:rsidRPr="00401DFF">
        <w:rPr>
          <w:rFonts w:ascii="Times New Roman" w:eastAsia="Times New Roman" w:hAnsi="Times New Roman" w:cs="Times New Roman"/>
          <w:i/>
          <w:iCs/>
          <w:sz w:val="24"/>
          <w:szCs w:val="24"/>
          <w:lang w:eastAsia="es-CO"/>
        </w:rPr>
        <w:lastRenderedPageBreak/>
        <w:t>Intangibles)</w:t>
      </w:r>
      <w:r w:rsidRPr="00401DFF">
        <w:rPr>
          <w:rFonts w:ascii="Times New Roman" w:eastAsia="Times New Roman" w:hAnsi="Times New Roman" w:cs="Times New Roman"/>
          <w:sz w:val="24"/>
          <w:szCs w:val="24"/>
          <w:lang w:eastAsia="es-CO"/>
        </w:rPr>
        <w:t xml:space="preserve"> y los pasivos asumidos. El costo del grupo deberá distribuirse entre los activos individualmente identificables y los pasivos sobre la base de sus </w:t>
      </w:r>
      <w:r w:rsidRPr="00401DFF">
        <w:rPr>
          <w:rFonts w:ascii="Times New Roman" w:eastAsia="Times New Roman" w:hAnsi="Times New Roman" w:cs="Times New Roman"/>
          <w:i/>
          <w:iCs/>
          <w:sz w:val="24"/>
          <w:szCs w:val="24"/>
          <w:lang w:eastAsia="es-CO"/>
        </w:rPr>
        <w:t>valores razonables</w:t>
      </w:r>
      <w:r w:rsidRPr="00401DFF">
        <w:rPr>
          <w:rFonts w:ascii="Times New Roman" w:eastAsia="Times New Roman" w:hAnsi="Times New Roman" w:cs="Times New Roman"/>
          <w:sz w:val="24"/>
          <w:szCs w:val="24"/>
          <w:lang w:eastAsia="es-CO"/>
        </w:rPr>
        <w:t xml:space="preserve"> relativos en la fecha de la compra. Esta transacción o suceso no dará lugar a una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combinación de entidades o negocios bajo control común (los párrafos B1 a B4 proporcionan las guías de aplicación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Una entidad determinará si una transacción u otro suceso es una combinación de negocios mediante la aplicación de la definición de esta NIIF, que requiere que los activos adquiridos y los pasivos asumidos constituyan un negocio. Cuando los activos adquiridos no sean un negocio, la entidad que informa contabilizará la transacción o el otro suceso como la adquisición de un activo. Los párrafos B5 a B12 proporcionan guías sobre la identificación de una combinación de negocios y la definición de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método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Una entidad contabilizará cada combinación de negocios mediante la aplicación del método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La aplicación del método de la adquisición requiere: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identificación de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determinación de la </w:t>
      </w:r>
      <w:r w:rsidRPr="00401DFF">
        <w:rPr>
          <w:rFonts w:ascii="Times New Roman" w:eastAsia="Times New Roman" w:hAnsi="Times New Roman" w:cs="Times New Roman"/>
          <w:i/>
          <w:iCs/>
          <w:sz w:val="24"/>
          <w:szCs w:val="24"/>
          <w:lang w:eastAsia="es-CO"/>
        </w:rPr>
        <w:t>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reconocimiento y medición de los activos identificables adquiridos, de los pasivos asumidos y cualquier participación no controladora en la adquirida;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reconocimiento y medición de la plusvalía o ganancia por compra en términos muy ventajosos.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En cada combinación de negocios, una de las entidades que se combinan deberá identificarse como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Para identificar la adquirente —la entidad que obtiene el </w:t>
      </w:r>
      <w:r w:rsidRPr="00401DFF">
        <w:rPr>
          <w:rFonts w:ascii="Times New Roman" w:eastAsia="Times New Roman" w:hAnsi="Times New Roman" w:cs="Times New Roman"/>
          <w:i/>
          <w:iCs/>
          <w:sz w:val="24"/>
          <w:szCs w:val="24"/>
          <w:lang w:eastAsia="es-CO"/>
        </w:rPr>
        <w:t>control</w:t>
      </w:r>
      <w:r w:rsidRPr="00401DFF">
        <w:rPr>
          <w:rFonts w:ascii="Times New Roman" w:eastAsia="Times New Roman" w:hAnsi="Times New Roman" w:cs="Times New Roman"/>
          <w:sz w:val="24"/>
          <w:szCs w:val="24"/>
          <w:lang w:eastAsia="es-CO"/>
        </w:rPr>
        <w:t xml:space="preserve"> de la adquirida— deberán utilizarse las guías de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Si ha ocurrido una combinación de negocios pero la aplicación de las guías de la NIIF 10 no indica claramente cuál de las entidades que se combinan es la adquirente, para llevar a cabo esa determinación deberán considerarse los factores incluidos en los párrafos B14 a B18.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8 La adquirente identificará la fecha de adquisición, que es aquélla en la que se obtiene el control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fecha en la cual la adquirente obtiene el control de la adquirida es generalmente aquélla en la que la adquirente transfiere legalmente la contraprestación, adquiere los activos y asume los pasivos de la adquirida —la fecha de cierre. Sin embargo, la adquirente puede obtener el control en una fecha anterior o posterior a la fecha de cierre. Por ejemplo, la fecha de adquisición precederá a la fecha de cierre si un acuerdo escrito prevé que la adquirente obtenga el control de la adquirida en una fecha anterior a la fecha de cierre. Una adquirente considerará todos los hechos y circunstancias pertinentes.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 de los activos identificables adquiridos, las obligaciones asumidas y cualquier participación no controladora en la entidad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 de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A la fecha de adquisición, la adquirente reconocerá, por separado de la plusvalía, los activos identificables adquiridos, los pasivos asumidos y cualquier participación no controladora en la adquirida. El reconocimiento de los activos identificables adquiridos y de los pasivos asumidos estará sujeto a las condiciones especificadas en los párrafos 11 y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Condiciones de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Para cumplir las condiciones de reconocimiento como parte de la aplicación del método de la adquisición, los activos identificables adquiridos y los pasivos asumidos deben satisfacer, a la fecha de la adquisición, las definiciones de activos y pasivos del </w:t>
      </w:r>
      <w:r w:rsidRPr="00401DFF">
        <w:rPr>
          <w:rFonts w:ascii="Times New Roman" w:eastAsia="Times New Roman" w:hAnsi="Times New Roman" w:cs="Times New Roman"/>
          <w:i/>
          <w:iCs/>
          <w:sz w:val="24"/>
          <w:szCs w:val="24"/>
          <w:lang w:eastAsia="es-CO"/>
        </w:rPr>
        <w:t>Marco Conceptual</w:t>
      </w:r>
      <w:hyperlink r:id="rId81" w:anchor="bf1e9eb2d5e419b40bfa2d0a0bb238ba0e7nf9" w:tgtFrame="_self" w:history="1">
        <w:r w:rsidRPr="00401DFF">
          <w:rPr>
            <w:rFonts w:ascii="Times New Roman" w:eastAsia="Times New Roman" w:hAnsi="Times New Roman" w:cs="Times New Roman"/>
            <w:color w:val="0000FF"/>
            <w:sz w:val="20"/>
            <w:szCs w:val="20"/>
            <w:u w:val="single"/>
            <w:vertAlign w:val="superscript"/>
            <w:lang w:eastAsia="es-CO"/>
          </w:rPr>
          <w:t>(77)</w:t>
        </w:r>
      </w:hyperlink>
      <w:r w:rsidRPr="00401DFF">
        <w:rPr>
          <w:rFonts w:ascii="Times New Roman" w:eastAsia="Times New Roman" w:hAnsi="Times New Roman" w:cs="Times New Roman"/>
          <w:i/>
          <w:iCs/>
          <w:sz w:val="24"/>
          <w:szCs w:val="24"/>
          <w:lang w:eastAsia="es-CO"/>
        </w:rPr>
        <w:t>para la Preparación y Presentación de los Estados Financieros</w:t>
      </w:r>
      <w:r w:rsidRPr="00401DFF">
        <w:rPr>
          <w:rFonts w:ascii="Times New Roman" w:eastAsia="Times New Roman" w:hAnsi="Times New Roman" w:cs="Times New Roman"/>
          <w:sz w:val="24"/>
          <w:szCs w:val="24"/>
          <w:lang w:eastAsia="es-CO"/>
        </w:rPr>
        <w:t>. Por ejemplo, a la fecha de la adquisición no son pasivos los costos en que la adquirente espera incurrir en el futuro pero no está obligada a tener, para efectuar su plan de abandonar una actividad de una adquirida o para terminar el empleo de empleados de la adquirida o para reubicarlos. Por ello, la adquirente no reconocerá esos costos como parte de la aplicación del método de la adquisición. En su lugar, la adquirente reconocerá esos costos en sus estados financieros posteriores a la combinación de acuerdo con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 Además, para cumplir las condiciones para el reconocimiento como parte de la aplicación del método de la adquisición, los activos identificables adquiridos y los pasivos asumidos deben ser parte de lo que la adquirente y la adquirida (o sus anteriores </w:t>
      </w:r>
      <w:r w:rsidRPr="00401DFF">
        <w:rPr>
          <w:rFonts w:ascii="Times New Roman" w:eastAsia="Times New Roman" w:hAnsi="Times New Roman" w:cs="Times New Roman"/>
          <w:i/>
          <w:iCs/>
          <w:sz w:val="24"/>
          <w:szCs w:val="24"/>
          <w:lang w:eastAsia="es-CO"/>
        </w:rPr>
        <w:t>propietarios)</w:t>
      </w:r>
      <w:r w:rsidRPr="00401DFF">
        <w:rPr>
          <w:rFonts w:ascii="Times New Roman" w:eastAsia="Times New Roman" w:hAnsi="Times New Roman" w:cs="Times New Roman"/>
          <w:sz w:val="24"/>
          <w:szCs w:val="24"/>
          <w:lang w:eastAsia="es-CO"/>
        </w:rPr>
        <w:t xml:space="preserve"> intercambiaron en la transacción de la combinación de negocios y no el resultado de transacciones separadas. La adquirente aplicará las guías de los párrafos 51 a 53 para determinar qué activos adquiridos o pasivos asumidos son parte del intercambio por la adquirida y cuáles, si los hubiera, son el resultado de transacciones separadas a ser contabilizadas de acuerdo con su naturaleza y las NIIF aplicables.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La aplicación por parte de la adquirente del principio y de las condiciones de reconocimiento puede dar lugar a la contabilización de algunos activos y pasivos que la adquirida no haya reconocido previamente como tales en sus estados financieros. Por </w:t>
      </w:r>
      <w:r w:rsidRPr="00401DFF">
        <w:rPr>
          <w:rFonts w:ascii="Times New Roman" w:eastAsia="Times New Roman" w:hAnsi="Times New Roman" w:cs="Times New Roman"/>
          <w:sz w:val="24"/>
          <w:szCs w:val="24"/>
          <w:lang w:eastAsia="es-CO"/>
        </w:rPr>
        <w:lastRenderedPageBreak/>
        <w:t>ejemplo, la adquirente reconocerá los activos intangibles identificables adquiridos, tales como un nombre comercial, una patente o una relación con un cliente, que la adquirida no reconoció como activos en sus estados financieros porque los desarrolló internamente y cargó los costos relacionados como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Los párrafos B28 a B40 proporcionan guías sobre el reconocimiento de arrendamientos operativos y activos intangibles. Los párrafos 22 a 28 especifican los tipos de activos identificables y de pasivos que incluyen partidas para las que esta NIIF proporciona excepciones limitadas del principio y condiciones de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Clasificación y designación de activos identificables adquiridos y pasivos asumidos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A la fecha de la adquisición, la adquirente clasificará o designará los activos identificables adquiridos y los pasivos asumidos según sea necesario para la aplicación posterior de otras NIIF. La adquirente efectuará esas clasificaciones o designaciones sobre la base de los acuerdos contractuales, de las condiciones económicas, de sus políticas contables o de operación y de otras condiciones pertinentes tal como existan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En algunas situaciones, las NIIF proporcionarán diferentes formas de contabilización dependiendo de la forma en que una entidad clasifique o designe un activo o pasivo concreto. Ejemplos de clasificaciones o designaciones que la adquirente hará sobre la base de las correspondientes condiciones tal como existían en la fecha de la adquisición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 clasificación de activos y pasivos financieros concretos como medidos a valor razonable o al costo amortizado, de acuerdo con la NIIF 9 </w:t>
      </w:r>
      <w:r w:rsidRPr="00401DFF">
        <w:rPr>
          <w:rFonts w:ascii="Times New Roman" w:eastAsia="Times New Roman" w:hAnsi="Times New Roman" w:cs="Times New Roman"/>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designación de un instrumento derivado como un instrumento de cobertura de acuerdo con la NIC 39;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evaluación de si un derivado implícito debe separarse del contrato anfitrión de acuerdo con la NIIF 9 (que es una cuestión de “clasificación”, según el uso dado por esta NIIF a ese término).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Esta NIIF estipula dos excepciones al principio incluido en el párrafo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 clasificación de un contrato de arrendamiento como un arrendamiento operativo o como un arrendamiento financiero de acuerdo con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clasificación de un contrato como un contrato de seguro de acuerdo con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adquirente clasificará esos contratos sobre la base de las condiciones contractuales y de otros factores al comienzo del contrato (o, si las condiciones del contrato han sido </w:t>
      </w:r>
      <w:r w:rsidRPr="00401DFF">
        <w:rPr>
          <w:rFonts w:ascii="Times New Roman" w:eastAsia="Times New Roman" w:hAnsi="Times New Roman" w:cs="Times New Roman"/>
          <w:sz w:val="24"/>
          <w:szCs w:val="24"/>
          <w:lang w:eastAsia="es-CO"/>
        </w:rPr>
        <w:lastRenderedPageBreak/>
        <w:t>modificadas de una manera que cambiaría su clasificación, a la fecha de esa modificación, que puede ser la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18 La adquirente medirá los activos identificables adquiridos y los pasivos asumidos a sus valores razonables en la fecha de su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Para cada combinación de negocios, la adquirente medirá en la fecha de adquisición los componentes de las participaciones no controladoras en la adquirida que son participaciones en la propiedad actuales y que otorgan a sus tenedores el derecho a una participación proporcional en los activos netos de la entidad en el caso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al valor razonable;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 la participación proporcional de los instrumentos de propiedad actuales en los importes reconocidos de los activos netos identificables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Todos los demás componentes de las participaciones no controladoras se medirán al valor razonable en sus fechas de adquisición, a menos que se requiera otra base de medición por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Los párrafos 24 a 31 especifican los tipos de activos y pasivos identificables que incluyen partidas para las que esta NIIF proporciona excepciones limitadas del principio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Excepciones a los principios de reconocimiento o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Esta NIIF proporciona excepciones limitadas a sus principios de reconocimiento y medición. Los párrafos 22 a 31 especifican tanto las partidas concretas para las que se establecen excepciones como la naturaleza de éstas. La adquirente contabilizará esas partidas aplicando los requerimientos de los párrafos 22 a 31, lo que hará que algunas partidas sean: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contabilizadas ya sea aplicando condiciones de reconocimiento adicionales a las de los párrafos 11 y 12 o aplicando los requerimientos de otras NIIF, lo que dará resultados diferentes a los obtenidos mediante la aplicación de las condiciones y del principio de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medidas por importes distintos de sus valores razonables a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Excepción al principio de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22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define un pasivo contingente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obligación posible, surgida a raíz de sucesos pasados y cuya existencia ha de ser confirmada sólo por la ocurrencia o la falta de ocurrencia de uno o más hechos futuros sucesos inciertos que no están enteramente bajo el control de la entidad;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obligación presente, surgida a raíz de sucesos pasados, que no se ha reconocido contablemente porque: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no es probable que para satisfacerla se vaya a requerir una salida de recursos que incorporen beneficios económicos;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de la obligación no pueda ser medido con la suficiente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El requerimiento de la NIC 37 no se aplicará para determinar qué pasivos contingentes se han de reconocer en la fecha de la adquisición. En su lugar la adquirente reconocerá en la fecha de la adquisición un pasivo contingente asumido en una combinación de negocios si es una obligación presente que surja de sucesos pasados y su valor razonable pueda medirse con fiabilidad. Por ello, en contra de la NIC 37, la adquirente reconocerá un pasivo contingente asumido en una combinación de negocios en la fecha de la adquisición, incluso cuando no sea probable que para cancelar la obligación vaya a requerirse una salida de recursos que incorporen beneficios económicos. El párrafo 56 proporciona guías sobre la contabilización posterior de pasivos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Excepciones a ambos principios de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La adquirente reconocerá y medirá un activo o un pasivo por impuestos diferidos que surjan de los activos adquiridos y de los pasivos asumidos en una combinación de negocios de acuerdo con la NIC 12 </w:t>
      </w:r>
      <w:r w:rsidRPr="00401DFF">
        <w:rPr>
          <w:rFonts w:ascii="Times New Roman" w:eastAsia="Times New Roman" w:hAnsi="Times New Roman" w:cs="Times New Roman"/>
          <w:i/>
          <w:iCs/>
          <w:sz w:val="24"/>
          <w:szCs w:val="24"/>
          <w:lang w:eastAsia="es-CO"/>
        </w:rPr>
        <w:t>Impuesto a las Ganancias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 adquirente contabilizará los efectos fiscales potenciales de las diferencias temporarias y de las compensaciones tributarias de una adquirida que existan en la fecha de la adquisición y que surjan como resultado de ésta de acuerdo con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La adquirente reconocerá y medirá un pasivo (o un activo, si lo hubiera) relacionado con acuerdos de beneficios a los empleados de la adquirida de acuerdo con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de indemnización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27 En una combinación de negocios, el vendedor puede indemnizar contractualmente a la adquirente por el resultado de una contingencia o de una incertidumbre relacionada con el total o con parte de un determinado activo o pasivo. Por ejemplo, el vendedor puede indemnizar a la adquirente por pérdidas por encima de un determinado importe de un pasivo que surja de una contingencia en particular; en otras palabras, el vendedor garantizará que el pasivo de la adquirente no excederá un determinado importe. Como resultado, la adquirente obtendrá un activo de indemnización. La adquirente reconocerá un activo de indemnización al mismo tiempo que reconozca la partida de indemnización y lo medirá sobre la misma base que ésta, sujeto a la necesidad de establecer una corrección de valor por importes incobrables. Por ello, si la indemnización está relacionada con un activo o pasivo que se reconoce a la fecha de la adquisición y se mide por su valor razonable a esa fecha, la adquirente reconocerá el activo de indemnización a la fecha de la adquisición, medido a su valor razonable de su fecha de adquisición. En un activo de indemnización medido a valor razonable, los efectos de la incertidumbre respecto a los flujos de efectivo futuros debidos a consideraciones de cobrabilidad están incluidos en la medida del valor razonable y no es necesaria una corrección de valor por separado (el párrafo B41 proporciona guías de aplicación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En algunas circunstancias, la indemnización puede estar relacionada con un activo o con un pasivo que es una excepción a los principios de reconocimiento o medición. Por ejemplo, una indemnización puede estar relacionada con un pasivo contingente que no se reconoce a la fecha de la adquisición porque su valor razonable a esa fecha no puede medirse con fiabilidad. De forma alternativa, una indemnización puede estar relacionada con un activo o un pasivo (por ejemplo, uno que proceda de un beneficio a empleados) que se mida sobre una base distinta al valor razonable en la fecha de la adquisición. En estas circunstancias, el activo de indemnización deberá reconocerse y medirse utilizando supuestos coherentes con los que se utilicen para medir la partida indemnizada, sujeto a la evaluación por la administración de la cobrabilidad del activo de indemnización y de cualquier limitación contractual sobre el importe indemnizado. El párrafo 57 proporciona guías sobre la contabilización posterior de un activo de indemnización.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Excepciones al principio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Derechos readquiridos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La adquirente medirá el valor de un derecho readquirido reconocido como un activo intangible basándose en el término contractual restante del contrato relacionado, independientemente de si los participantes del mercado considerarían renovaciones contractuales potenciales para medir el valor razonable. Los párrafos B35 y B36 proporcionan guías de aplicación al respecto.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30 La adquirente medirá un pasivo o un instrumento de patrimonio relacionado con transacciones con pagos basados en acciones de la adquirida o la sustitución de las transacciones con pagos basados en acciones de la adquirida por transacciones con pagos basados en acciones de la adquirente de acuerdo con el método establecido en la NIIF 2 </w:t>
      </w:r>
      <w:r w:rsidRPr="00401DFF">
        <w:rPr>
          <w:rFonts w:ascii="Times New Roman" w:eastAsia="Times New Roman" w:hAnsi="Times New Roman" w:cs="Times New Roman"/>
          <w:i/>
          <w:iCs/>
          <w:sz w:val="24"/>
          <w:szCs w:val="24"/>
          <w:lang w:eastAsia="es-CO"/>
        </w:rPr>
        <w:lastRenderedPageBreak/>
        <w:t>Pagos Basados en Acciones</w:t>
      </w:r>
      <w:r w:rsidRPr="00401DFF">
        <w:rPr>
          <w:rFonts w:ascii="Times New Roman" w:eastAsia="Times New Roman" w:hAnsi="Times New Roman" w:cs="Times New Roman"/>
          <w:sz w:val="24"/>
          <w:szCs w:val="24"/>
          <w:lang w:eastAsia="es-CO"/>
        </w:rPr>
        <w:t xml:space="preserve"> en la fecha de adquisición. (Esta NIIF se refiere al resultado de ese método como la “medida basada en el mercado” de la transacción con 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mantenidos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La adquirente medirá un activo no corriente adquirido (o un grupo de activos para su disposición) que se clasifique como mantenido para la venta a la fecha de la adquisición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al valor razonable menos los costos de venderlo de acuerdo con los párrafos 15 a 18 de dicha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 de la plusvalía o una ganancia por una compra en términos muy ventajosos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La adquirente reconocerá una plusvalía en la fecha de la adquisición medida como el exceso del apartado (a) sobre el (b)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Suma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contraprestación transferida medida de acuerdo con esta NIIF, que, generalmente, requiere que sea el valor razonable en la fecha de la adquisición (véase el párrafo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de cualquier participación no controladora en la adquirida medida de acuerdo con esta NIIF;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en una combinación de negocios llevada a cabo por etapas (véanse los párrafos 41 y 42), el valor razonable en la fecha de adquisición de la participación anteriormente tenida por el adquirente en el patrimonio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neto de los importes en la fecha de la adquisición de los activos identificables adquiridos y de los pasivos asumidos, medidos de acuerdo con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Puede ocurrir que en una combinación, el valor razonable en la fecha de adquisición de los instrumentos de patrimonio de la adquirida se pueda medir con mayor fiabilidad que el valor razonable en la fecha de adquisición de las participaciones en el patrimonio de la adquirente. Si es así, la adquirente determinará el importe de la plusvalía utilizando el valor razonable en la fecha de adquisición de los instrumentos de patrimonio de la adquirida en lugar del valor razonable en la fecha de adquisición de las participaciones en el patrimonio transferidas. Para determinar el importe de la plusvalía en una combinación de negocios en la que no se transfiere una contraprestación, la adquirente utilizará el valor razonable de su participación en la adquirida en la fecha de adquisición en lugar del valor razonable en la fecha de adquisición de la contraprestación transferida (párrafo 32(a)(i)). Los párrafos B46 a B49 proporcionan guías de aplicación al respecto.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Compras en términos muy ventajosos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Ocasionalmente, una adquirente realizará una compra en condiciones muy ventajosas, lo que es una combinación de negocios en la que el importe del párrafo 32(b) excede la suma de los importes especificados en el párrafo 32(a). Si ese exceso se mantiene después de aplicar los requerimientos del párrafo 36, la adquirente reconocerá la ganancia resultante en resultados a la fecha de adquisición. La ganancia se atribuirá a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Una compra en condiciones muy ventajosas puede suceder, por ejemplo, en una combinación de negocios que es una venta forzada en la que el vendedor actúa bajo coacción. Sin embargo, las excepciones sobre el reconocimiento o la medición de partidas concretas tratadas en los párrafos 22 a 31 pueden también resultar en el reconocimiento de una ganancia (o cambiar el importe de una ganancia reconocida) por una compra en condiciones muy ventajosas.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Antes de reconocer una ganancia por una compra en condiciones muy ventajosas, la adquirente reevaluará si ha identificado correctamente todos los activos adquiridos y todos los pasivos asumidos y reconocerá cualesquiera activos adicionales que sean identificados en esta revisión. La adquirente revisará entonces los procedimientos utilizados para medir los importes cuyo reconocimiento a la fecha de adquisición para todas las partidas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identificables adquiridos y los pasivos asumidos;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participación no controladora en la adquirida, si la hubiera;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una combinación de negocios realizada por etapas, la participación en el patrimonio de la adquirida previamente poseída por la adquirente;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contraprestación transferida.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objetivo de la revisión es asegurar que las mediciones reflejan adecuadamente la consideración de toda la información disponible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Contraprestación transferida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37 La contraprestación transferida en una combinación de negocios deberá medirse a su valor razonable, que deberá calcularse como la suma de los valores razonables en la fecha de adquisición de los activos transferidos por la adquirente, de los pasivos incurridos por ella con los anteriores propietarios de la adquirida y de las participaciones en el patrimonio emitidas por la adquirente. (Sin embargo, toda porción de incentivos con pagos basados en acciones de la adquirente, intercambiada por incentivos mantenidos por los empleados de la adquirida, que esté incluida en la contraprestación transferida en la combinación de negocios deberá medirse de acuerdo con el párrafo 30 y no por el valor razonable). Son ejemplos de formas potenciales de contraprestación el efectivo, otros activos, un negocio o una subsidiaria de la adquirente, </w:t>
      </w:r>
      <w:r w:rsidRPr="00401DFF">
        <w:rPr>
          <w:rFonts w:ascii="Times New Roman" w:eastAsia="Times New Roman" w:hAnsi="Times New Roman" w:cs="Times New Roman"/>
          <w:i/>
          <w:iCs/>
          <w:sz w:val="24"/>
          <w:szCs w:val="24"/>
          <w:lang w:eastAsia="es-CO"/>
        </w:rPr>
        <w:t>contraprestaciones contingentes,</w:t>
      </w:r>
      <w:r w:rsidRPr="00401DFF">
        <w:rPr>
          <w:rFonts w:ascii="Times New Roman" w:eastAsia="Times New Roman" w:hAnsi="Times New Roman" w:cs="Times New Roman"/>
          <w:sz w:val="24"/>
          <w:szCs w:val="24"/>
          <w:lang w:eastAsia="es-CO"/>
        </w:rPr>
        <w:t xml:space="preserve"> instrumentos de </w:t>
      </w:r>
      <w:r w:rsidRPr="00401DFF">
        <w:rPr>
          <w:rFonts w:ascii="Times New Roman" w:eastAsia="Times New Roman" w:hAnsi="Times New Roman" w:cs="Times New Roman"/>
          <w:sz w:val="24"/>
          <w:szCs w:val="24"/>
          <w:lang w:eastAsia="es-CO"/>
        </w:rPr>
        <w:lastRenderedPageBreak/>
        <w:t xml:space="preserve">patrimonio ordinarios o preferentes, opciones, certificados de opción para suscribir títulos </w:t>
      </w:r>
      <w:r w:rsidRPr="00401DFF">
        <w:rPr>
          <w:rFonts w:ascii="Times New Roman" w:eastAsia="Times New Roman" w:hAnsi="Times New Roman" w:cs="Times New Roman"/>
          <w:i/>
          <w:iCs/>
          <w:sz w:val="24"/>
          <w:szCs w:val="24"/>
          <w:lang w:eastAsia="es-CO"/>
        </w:rPr>
        <w:t>(warrants)</w:t>
      </w:r>
      <w:r w:rsidRPr="00401DFF">
        <w:rPr>
          <w:rFonts w:ascii="Times New Roman" w:eastAsia="Times New Roman" w:hAnsi="Times New Roman" w:cs="Times New Roman"/>
          <w:sz w:val="24"/>
          <w:szCs w:val="24"/>
          <w:lang w:eastAsia="es-CO"/>
        </w:rPr>
        <w:t xml:space="preserve"> y participaciones de miembros de </w:t>
      </w:r>
      <w:r w:rsidRPr="00401DFF">
        <w:rPr>
          <w:rFonts w:ascii="Times New Roman" w:eastAsia="Times New Roman" w:hAnsi="Times New Roman" w:cs="Times New Roman"/>
          <w:i/>
          <w:iCs/>
          <w:sz w:val="24"/>
          <w:szCs w:val="24"/>
          <w:lang w:eastAsia="es-CO"/>
        </w:rPr>
        <w:t>entidades mutualistas.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La contraprestación transferida puede incluir activos o pasivos de la adquirente que tengan un importe en libros que difiera de sus valores razonables en la fecha de adquisición (por ejemplo activos no monetarios o negocios de la adquirente). Si así fuera, la adquirente medirá nuevamente los activos transferidos o pasivos a sus valores razonables en la fecha de la adquisición y reconocerá las ganancias o pérdidas resultantes, si las hubiera, en resultados. Sin embargo, algunas veces los activos o pasivos transferidos permanecen en la entidad combinada tras la combinación de negocios (por ejemplo, porque los activos o pasivos se transfirieron a la adquirida y no a sus anteriores propietarios), y la adquirente, por ello, retiene el control sobre ellos. En esa situación, la adquirente medirá esos activos y pasivos por sus importes en libros inmediatamente antes de la fecha de adquisición y no reconocerá una ganancia o pérdida en resultados sobre activos o pasivos que controla tanto antes como después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Contraprestación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La contraprestación que la adquirente transfiere a cambio de la adquirida incluye cualquier activo o pasivo que proceda de un acuerdo de contraprestación contingente (véase el párrafo 37). La adquirente reconocerá a la fecha de adquisición el valor razonable de la contraprestación contingente como parte de la contraprestación transferida a cambio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40 La adquirente reclasificará una obligación de pagar una contraprestación contingente como pasivo o como patrimonio basándose en las definiciones de instrumentos de patrimonio y de pasivo financiero incluidas en el párrafo 11 de la NIC 32 </w:t>
      </w:r>
      <w:r w:rsidRPr="00401DFF">
        <w:rPr>
          <w:rFonts w:ascii="Times New Roman" w:eastAsia="Times New Roman" w:hAnsi="Times New Roman" w:cs="Times New Roman"/>
          <w:i/>
          <w:iCs/>
          <w:sz w:val="24"/>
          <w:szCs w:val="24"/>
          <w:lang w:eastAsia="es-CO"/>
        </w:rPr>
        <w:t>Instrumentos Financieros: Presentación</w:t>
      </w:r>
      <w:r w:rsidRPr="00401DFF">
        <w:rPr>
          <w:rFonts w:ascii="Times New Roman" w:eastAsia="Times New Roman" w:hAnsi="Times New Roman" w:cs="Times New Roman"/>
          <w:sz w:val="24"/>
          <w:szCs w:val="24"/>
          <w:lang w:eastAsia="es-CO"/>
        </w:rPr>
        <w:t>, u otras NIIF aplicables. La adquirente clasificará como un activo un derecho a la devolución de contraprestaciones previamente transferidas si se cumplen determinadas condiciones. El párrafo 58 proporciona guías sobre la contabilización posterior de contraprestaciones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Guías adicionales para la aplicación del método de la adquisición a tipos particulares de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combinación de negocios realizada por etapas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Algunas veces, una adquirente obtiene el control de una adquirida en la que tenía una participación en el patrimonio inmediatamente antes de la fecha de la adquisición. Por ejemplo, a 31 de diciembre de 20X1, la Entidad A posee un 35 por ciento de participación no controladora en la Entidad B. En esa fecha, la Entidad A compra una participación adicional del 40 por ciento en la Entidad B, lo que le da el control sobre esta entidad. Esta NIIF denomina esta transacción como una combinación de negocios realizada por etapas, a la que también se refiere algunas veces como adquisición por pasos.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 En una combinación de negocios realizada por etapas, la adquirente medirá nuevamente su participación previamente tenida en el patrimonio de la adquirida por su valor razonable </w:t>
      </w:r>
      <w:r w:rsidRPr="00401DFF">
        <w:rPr>
          <w:rFonts w:ascii="Times New Roman" w:eastAsia="Times New Roman" w:hAnsi="Times New Roman" w:cs="Times New Roman"/>
          <w:sz w:val="24"/>
          <w:szCs w:val="24"/>
          <w:lang w:eastAsia="es-CO"/>
        </w:rPr>
        <w:lastRenderedPageBreak/>
        <w:t>en la fecha de adquisición y reconocerá la ganancia o pérdida resultante, si la hubiera, en el resultado del periodo o en otro resultado integral, según proceda. En periodos anteriores sobre los que se informa, la adquirente pudo haber reconocido en otro resultado integral los cambios en el valor de su participación en el patrimonio de la adquirida. Si así fuera, el importe que fue reconocido en otro resultado integral deberá reconocerse sobre la misma base que se requeriría si la adquirente hubiera dispuesto directamente de la anterior participación mantenida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Una combinación de negocios realizada sin la transferencia de la contraprestación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Algunas veces, una adquirente obtiene el control de una adquirida sin la transferencia de una contraprestación. Para contabilizar estas combinaciones de negocios se aplica el método de la adquisición. Estas circunstancias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adquirida recompra un número suficiente de sus propias acciones de modo que una inversora existente (la adquirente) obtiene 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caducidad de derechos de veto minoritarios que anteriormente impedían a la adquirente controlar una adquirida en la que la primera tenía la mayoría de los 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adquirente y la adquirida acuerdan combinar sus negocios solo mediante un contrato. La adquirente no transfiere ninguna contraprestación a cambio del control de una adquirida y no mantiene participaciones en el patrimonio en la adquirida, ni en la fecha de adquisición ni con anterioridad. Ejemplos de combinaciones de negocios realizadas solo mediante un contrato incluyen la unión de dos negocios en un acuerdo de cotización en conjunto o la formación de una sociedad anónima con doble cotización en bolsa.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En una combinación de negocios realizada solo mediante un contrato, la adquirente atribuirá a los propietarios de la adquirida el importe de los activos netos de ésta última reconocido de acuerdo con esta NIIF. En otras palabras, las participaciones en el patrimonio de la adquirida tenidas por otras partes distintas de la adquirente son una participación no controladora en los estados financieros de la adquirente posteriores a la adquisición, incluso si el resultado es que todas las participaciones en el patrimonio de la adquirida se atribuyen a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Periodo de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45 Si la contabilización inicial de una combinación de negocios está incompleta al final del periodo contable en el que la combinación ocurre, la adquirente informará en sus estados financieros de los importes provisionales de las partidas cuya contabilización está incompleta. Durante el periodo de medición, la adquirente ajustará retroactivamente los importes provisionales reconocidos a la fecha de la adquisición para reflejar la nueva información obtenida sobre hechos y circunstancias que existan en la fecha de la adquisición y que, si hubieran sido conocidas, habrían afectado a la medición de los importes reconocidos en esa fecha. Durante el periodo de medición la adquirente también reconocerá activos o pasivos adicionales si obtiene nueva </w:t>
      </w:r>
      <w:r w:rsidRPr="00401DFF">
        <w:rPr>
          <w:rFonts w:ascii="Times New Roman" w:eastAsia="Times New Roman" w:hAnsi="Times New Roman" w:cs="Times New Roman"/>
          <w:b/>
          <w:bCs/>
          <w:sz w:val="24"/>
          <w:szCs w:val="24"/>
          <w:lang w:eastAsia="es-CO"/>
        </w:rPr>
        <w:lastRenderedPageBreak/>
        <w:t>información sobre hechos y circunstancias que existían en la fecha de la adquisición y que, si hubieran sido conocidos, habrían resultado en el reconocimiento de esos activos y pasivos a esa fecha. El periodo de medición terminará tan pronto como la adquirente reciba la información que estuviera buscando sobre hechos y circunstancias que existían en la fecha de la adquisición o concluya que no se puede obtener más información. Sin embargo, el periodo de medición no excederá de un año a partir de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46 El periodo de medición es aquél tras la fecha de adquisición durante el cual la adquirente puede ajustar los importes provisionales reconocidos en una combinación de negocios. El periodo de medición proporciona a la adquirente un plazo razonable para obtener la información necesaria para identificar y medir, en la fecha de la adquisición y con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identificables adquiridos, los pasivos asumidos y cualquier participación no controladora en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contraprestación transferida a la adquirida (o el otro importe utilizado para medir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 una combinación de negocios realizada en etapas, la participación en el patrimonio de la adquirida anteriormente tenida por la adquirente;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plusvalía resultante o la ganancia por una compra realizada en condiciones muy ventajosas.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La adquirente considerará todos los factores pertinentes para determinar si la información obtenida tras la fecha de la adquisición debería resultar en un ajuste en los importes provisionales reconocidos o si esa información procede de sucesos ocurridos después de la fecha de la adquisición. Los factores pertinentes incluyen la fecha en que se obtuvo la información adicional y si la adquirente puede identificar una razón para un cambio en los importes provisionales. La información que se obtiene poco después de la fecha de la adquisición tiene mayor probabilidad de reflejar circunstancias existentes en la fecha de la adquisición que la obtenida varios meses después. Por ejemplo, es probable que la venta de un activo a un tercero poco después de la fecha de la adquisición por un importe que difiere significativamente de su valor razonable provisional medido para esa fecha indique un error en el importe provisional, a menos que pueda identificarse un suceso entre un momento y el otro que haya cambiado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48 La adquirente reconocerá un incremento (disminución) en el importe provisional reconocido para un activo identificable (pasivo) por medio de una disminución (incremento) en la plusvalía. Sin embargo, la nueva información obtenida durante el periodo de medición puede dar lugar, algunas veces, a un ajuste del importe provisional de más de un activo o pasivo. Por ejemplo, la adquirente puede haber asumido un pasivo para pagar daños relacionados con un accidente en una de las instalaciones de la adquirida, total o parcialmente cubierta por la póliza de seguros de responsabilidad de la adquirida. Si la adquirente obtiene nueva información durante el periodo de medición sobre el valor </w:t>
      </w:r>
      <w:r w:rsidRPr="00401DFF">
        <w:rPr>
          <w:rFonts w:ascii="Times New Roman" w:eastAsia="Times New Roman" w:hAnsi="Times New Roman" w:cs="Times New Roman"/>
          <w:sz w:val="24"/>
          <w:szCs w:val="24"/>
          <w:lang w:eastAsia="es-CO"/>
        </w:rPr>
        <w:lastRenderedPageBreak/>
        <w:t>razonable en la fecha de adquisición de ese pasivo, el ajuste de la plusvalía que proceda de un cambio en el importe provisional reconocido para el pasivo sería compensado (en todo o en parte) por el ajuste que corresponda de la plusvalía que proceda de un cambio en el importe provisional reconocido por el derecho por cobrar de la aseguradora por la reclamación.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Durante el periodo de medición, la adquirente reconocerá ajustes del importe provisional como si la contabilización de la combinación de negocios hubiera sido completada en la fecha de la adquisición. Así, la adquirente revisará en la medida en que sea necesario, la información comparativa presentada en los estados financieros de periodos anteriores, lo que incluye la realización de cambios en la depreciación, amortización u otros con efectos sobre el resultado reconocidos para completar la contabilización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50 Tras el periodo de medición, la adquirente sólo revisará la contabilidad de una combinación de negocios para corregir un error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lo que es parte de la transacción de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La adquirente y la adquirida pueden tener una relación preexistente u otro acuerdo antes de las negociaciones para el comienzo de la combinación de negocios, o pueden llevar a cabo un acuerdo durante las negociaciones que esté separado de la combinación de negocios. En cualquiera de las dos situaciones, la adquirente identificará todos los importes que no formen parte de lo que la adquirente y la adquirida (o sus anteriores propietarios) intercambian en la combinación de negocios, es decir importes que no son parte del intercambio por la adquirida. La adquirente sólo reconocerá como parte de la aplicación del método de la adquisición la contraprestación transferida por la adquirida y los activos adquiridos y pasivos asumidos en el intercambio por la adquirida. Las transacciones separadas deberán contabilizarse de acuerdo con las NIIF que correspondan.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52 Es probable que una transacción realizada por la adquirente o en nombre de ella o principalmente en beneficio de está o de la entidad combinada, y no fundamentalmente en beneficio de la adquirida (o sus anteriores propietarios) antes de la combinación, sea una transacción separada. Los siguientes son ejemplos de transacciones separadas a las que no se les debe aplicar el método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transacción que, de hecho, cancela relaciones preexistentes entre la adquirente y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transacción que remunera a los empleados o a los anteriores propietarios de la adquirida por servicios futuros;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transacción que reembolsa a la adquirida o a sus anteriores propietarios por el pago de los costos de la adquirente relacionados con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Los párrafos B50 a B62 proporcionan guías de aplicación al respecto.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relacionados con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Son costos relacionados con la adquisición aquellos en que incurre la adquirente para llevar a cabo una combinación de negocios. Estos costos incluyen los honorarios de búsqueda; asesoramiento, o de consultoría de asesoramiento, jurídicos, contables, de valoración y otros; costos generales de administración, incluyendo los de mantener un departamento interno de adquisiciones; y costos de registro y emisión de títulos de deuda y de patrimonio. La adquirente contabilizará los costos relacionados con la adquisición como gastos en los periodos en que los costos se hayan incurrido y los servicios se hayan recibido, con una excepción. Los costos de emisión de deuda o títulos de patrimonio deberán reconocerse de acuerdo con las NIC 32 y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y contabilización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 En general, una adquirente medirá y contabilizará posteriormente los activos adquiridos, los pasivos asumidos o incurridos y los instrumentos de patrimonio emitidos en una combinación de negocios de acuerdo con otras NIIF aplicables a esas partidas, dependiendo de su naturaleza. Sin embargo, esta NIIF proporciona guías sobre la medición y contabilización de los siguientes activos adquiridos, pasivos asumidos o incurridos e instrumentos de patrimonio emitidos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derechos readquiridos;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pasivos contingentes reconocidos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activos de indemnización;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contraprestación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párrafo B63 proporciona guías de aplicación al respecto.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Derechos readquiridos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55 Un derecho readquirido reconocido como un activo intangible deberá amortizarse a lo largo del periodo de vigencia del contrato restante en el que se concedió el derecho. Una adquirente que posteriormente venda a un tercero un derecho readquirido, incluirá el importe en libros del activo intangible al determinar la ganancia o pérdida de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Tras el reconocimiento inicial y hasta que el pasivo se liquide, cancele o expire, la adquirente medirá un pasivo contingente reconocido en una combinación de negocios al mayor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el importe que se reconocería de acuerdo con la NIC 37;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el importe reconocido inicialmente menos, en su caso, la amortización acumulada reconocida de acuerdo con la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Este requerimiento no se aplicará a contratos contabilizados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de indemnización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 Al final de cada periodo posterior sobre el que se informe, la adquirente medirá un activo de indemnización que fue reconocido en la fecha de adquisición sobre la misma base que el pasivo o activo indemnizado, sujeto a cualesquiera limitaciones contractuales sobre su importe y, para un activo de indemnización que no se mida posteriormente por su valor razonable, a la evaluación de la administración sobre su cobrabilidad. La adquirente dará de baja en cuentas el activo de indemnización únicamente cuando lo cobre, lo venda o pierda de cualquier otra forma el derecho sobre él.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Contraprestación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Algunos cambios en el valor razonable de una contraprestación contingente que la adquirente reconozca después de la fecha de la adquisición pueden resultar de información adicional que la adquirente obtenga después de esa fecha sobre hechos y circunstancias que existían en la fecha de la adquisición. Estos cambios son ajustes del periodo de medición de acuerdo con los párrafos 45 a 49. Sin embargo, los cambios que procedan de sucesos ocurridos tras la fecha de la adquisición, tales como cumplir un objetivo de ganancias, alcanzar un precio por acción determinado o alcanzar un hito en un proyecto de investigación y desarrollo, no son ajustes del periodo de medición. La adquirente contabilizará los cambios en el valor razonable de una contraprestación contingente que no sean ajustes del periodo de medición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contraprestaciones contingentes clasificadas como patrimonio no deberán medirse nuevamente y su liquidación posterior deberá contabilizarse dentro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contraprestación contingente clasificada como un activo o un pasivo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Sea un instrumento financiero que se encuentre dentro del alcance de la NIIF 9 o NIC 39, deberán medirse por su valor razonable, con cualquier ganancia o pérdida resultante reconocida en el resultado del periodo o en otro resultado integral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No esté dentro del alcance de la NIIF 9, se contabilizarán de acuerdo con la NIC 37 u otras NIIF, según proceda.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59 La adquirente revelará información que permita que los usuarios de sus estados financieros evalúen la naturaleza y efectos financieros de una combinación de negocios que haya efectuado, ya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durante el periodo corriente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después del final del periodo contable pero antes de que los estados financieros hayan sido autorizados para su emisión.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Para cumplir con el objetivo del párrafo 59, la adquirente revelará la información especificada en los párrafos B64 a B66.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61 La adquirente revelará información que permita que los usuarios de sus estados financieros evalúen los efectos financieros de los ajustes reconocidos en el periodo corriente sobre el que se informa que estén relacionados con las combinaciones de negocios que tuvieron lugar en el mismo o en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62 Para cumplir con el objetivo del párrafo 61, la adquirente revelará la información especificada en el párrafo B67.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63 Si la información a revelar específicamente requerida por esta y otras NIIF no cumple los objetivos establecidos en los párrafos 59 a 61, la adquirente revelará cualquier información adicional que sea necesaria para cumplir esos objetivos.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Esta NIIF deberá aplicarse prospectivamente a las combinaciones de negocios cuya fecha de adquisición sea a partir del comienzo del primer periodo anual sobre el que se informe que se inicie a partir del 1 de julio de 2009. Se permite su aplicación anticipada. Sin embargo, esta NIIF deberá aplicarse únicamente al comienzo de un periodo anual sobre el que se informe que comience a partir del 30 de junio de 2007. Si una entidad aplica esta NIIF antes del 1 de julio de 2009, revelará este hecho y aplicará al mismo tiempo la NIC 27 (modificada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64B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modificó los párrafos 19, 30 y B56 y añadió los párrafos B62A y B62B. Una entidad aplicará esas modificaciones a periodos anuales que comiencen a partir del 1 de julio de 2010. Se permite su aplicación anticipada. Si una entidad aplicase las modificaciones en un periodo que comience con anterioridad, revelará este hecho. La aplicación debe ser prospectiva a partir de la fecha en que la entidad aplicó por primera vez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64C Los párrafos 65A a 65E se añadieron mediante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esas modificaciones a periodos anuales que comiencen a partir del 1 de julio de 2010. Se permite su aplicación anticipada. Si una entidad aplicase las modificaciones en un periodo que comience con anterioridad, revelará este hecho. Las modificaciones se aplicarán a los saldos de contraprestaciones contingentes que surjan de combinaciones de negocios con una fecha de adquisición anterior a la aplicación de esta NIIF, tal como se emitió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64D La NIIF 9 emitida en octubre de 2010, modificó los párrafos 16, 42, 53, 56 y 58(b) y eliminó el párrafo 64A.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64E La NIIF 10 emitida en mayo de 2011, modificó los párrafos 7, B13, B63(e) y el Apéndice A. Una entidad aplicará esas modificaciones cuando aplique la 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64F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modificó los párrafos 20, 29, 33, 47, la definición de valor razonable del Apéndice A y los párrafos B22, B40, B43 a B46, B49 y B64.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Los activos y pasivos que surgieron de combinaciones de negocios cuya fecha de adquisición fue anterior a la aplicación de esta NIIF no deberán ajustarse por la aplicación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65A Los saldos de contraprestaciones contingentes que surgen de combinaciones de negocios cuyas fechas de adquisición precedían la fecha en que una entidad aplicó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por primera vez esta NIIF tal como se emitió en 2008 no deberán ajustarse en la primera aplicación de esta NIIF. Los párrafos 65B a 65E deberán aplicarse en la contabilización posterior de esos saldos. Los párrafos 65B a 65E no se aplicarán a la contabilización de saldos de contraprestaciones contingentes que surjan de combinaciones de negocios con fechas de adquisición a partir de la fecha en que la entidad aplicó por primera vez esta NIIF tal como se emitió en 2008. En los párrafos 65B a 65E combinación de negocios se refiere exclusivamente a combinaciones de negocios cuya fecha de adquisición precedía a la aplicación de esta NIIF tal como se emitió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65B Si un acuerdo de combinación de negocios prevé un ajuste al costo de la combinación que depende de hechos futuros, la adquirente incluirá el importe de ese ajuste en el costo de la combinación en la fecha de la adquisición si el ajuste es probable y puede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65C Un acuerdo de combinación de negocios puede permitir ajustes al costo de la combinación que dependen de uno o más hechos futuros. El ajuste puede, por ejemplo, depender de un nivel específico de beneficio que se mantenga u obtenga en periodos futuros, o en que se mantenga el precio de mercado de los instrumentos emitidos. Es posible habitualmente estimar el importe de cualquiera de estos ajustes en el momento de la </w:t>
      </w:r>
      <w:r w:rsidRPr="00401DFF">
        <w:rPr>
          <w:rFonts w:ascii="Times New Roman" w:eastAsia="Times New Roman" w:hAnsi="Times New Roman" w:cs="Times New Roman"/>
          <w:sz w:val="24"/>
          <w:szCs w:val="24"/>
          <w:lang w:eastAsia="es-CO"/>
        </w:rPr>
        <w:lastRenderedPageBreak/>
        <w:t>contabilización inicial de la combinación sin deteriorar la fiabilidad de la información, incluso en presencia de cierta incertidumbre. Si los hechos futuros no tienen lugar o la estimación necesita revisarse, el costo de la combinación de negocios se ajustará en consecuencia.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65D Sin embargo, cuando un acuerdo de combinación de negocios prevé un ajuste, ese ajuste no se incluirá en el costo de la combinación en el momento de la contabilización inicial de la combinación si no es probable o no puede medirse con fiabilidad. Si ese ajuste posteriormente pasa a ser probable y puede medirse con fiabilidad, la contraprestación adicional se tratará como un ajuste al costo de la combinación.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65E En algunas circunstancias, se puede requerir que la adquirente realice un pago posterior al vendedor como compensación por una reducción en el valor de los activos cedidos, instrumentos de patrimonio emitidos o pasivos incurridos o asumidos por la adquirente a cambio del control de la adquirida. Este es el caso, por ejemplo, cuando la adquirente garantiza el precio de mercado de instrumentos de patrimonio o deuda emitidos como parte del costo de la combinación de negocios y se le requiere que emita instrumentos de patrimonio o deuda adicionales para restablecer el costo originalmente determinado. En estos casos, no se reconoce incremento alguno en el costo de la combinación de negocios. En el caso de instrumentos de patrimonio, el valor razonable del pago adicional se compensa mediante una reducción igual en el valor atribuido a los instrumentos inicialmente emitidos. En el caso de instrumentos de deuda, el pago adicional se considera una reducción en la prima o un incremento en el descuento sobre la emisión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 Una entidad, tal como una entidad mutualista, que no haya aplicado todavía la NIIF 3 y tenga una o más combinaciones de negocios que fueron contabilizadas utilizando el también conocido con anterioridad como método de la adquisición, aplicará las disposiciones transitorias de los párrafos B68 y B69.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67 Para combinaciones de negocios cuya fecha de adquisición sea anterior a la aplicación de esta NIIF, la adquirente aplicará prospectivamente el requerimiento del párrafo 68 de la NIC 12, modificada por esta NIIF. Es decir, la adquirente no ajustará la contabilidad de combinaciones de negocios anteriores por cambios previamente reconocidos en los activos por impuestos diferidos reconocidos. Sin embargo, a partir de la fecha en que esta NIIF se aplique, la adquirente reconocerá, como un ajuste en el resultado (o, si la NIC 12 lo requiere, fuera del resultado), los cambios en los activos por impuestos diferidos.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NIIF 3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68 Esta NIIF deroga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(emitida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026"/>
        <w:gridCol w:w="5902"/>
      </w:tblGrid>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adquirida (acquiree)</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negocio o negocios cuyo control obtiene la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en una </w:t>
            </w:r>
            <w:r w:rsidRPr="00401DFF">
              <w:rPr>
                <w:rFonts w:ascii="Times New Roman" w:eastAsia="Times New Roman" w:hAnsi="Times New Roman" w:cs="Times New Roman"/>
                <w:b/>
                <w:bCs/>
                <w:sz w:val="24"/>
                <w:szCs w:val="24"/>
                <w:lang w:eastAsia="es-CO"/>
              </w:rPr>
              <w:t>combinación de negocios.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 intangible (intangible asset)</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activo </w:t>
            </w:r>
            <w:r w:rsidRPr="00401DFF">
              <w:rPr>
                <w:rFonts w:ascii="Times New Roman" w:eastAsia="Times New Roman" w:hAnsi="Times New Roman" w:cs="Times New Roman"/>
                <w:b/>
                <w:bCs/>
                <w:sz w:val="24"/>
                <w:szCs w:val="24"/>
                <w:lang w:eastAsia="es-CO"/>
              </w:rPr>
              <w:t>identificable,</w:t>
            </w:r>
            <w:r w:rsidRPr="00401DFF">
              <w:rPr>
                <w:rFonts w:ascii="Times New Roman" w:eastAsia="Times New Roman" w:hAnsi="Times New Roman" w:cs="Times New Roman"/>
                <w:sz w:val="24"/>
                <w:szCs w:val="24"/>
                <w:lang w:eastAsia="es-CO"/>
              </w:rPr>
              <w:t xml:space="preserve"> de carácter no monetario y sin sustancia física.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adquirente (acquirer)</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entidad que obtiene el control de la </w:t>
            </w:r>
            <w:r w:rsidRPr="00401DFF">
              <w:rPr>
                <w:rFonts w:ascii="Times New Roman" w:eastAsia="Times New Roman" w:hAnsi="Times New Roman" w:cs="Times New Roman"/>
                <w:b/>
                <w:bCs/>
                <w:sz w:val="24"/>
                <w:szCs w:val="24"/>
                <w:lang w:eastAsia="es-CO"/>
              </w:rPr>
              <w:t>adquirida.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combinación de negocios (business combination)</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transacción u otro suceso en el que una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obtiene el control de uno o más </w:t>
            </w:r>
            <w:r w:rsidRPr="00401DFF">
              <w:rPr>
                <w:rFonts w:ascii="Times New Roman" w:eastAsia="Times New Roman" w:hAnsi="Times New Roman" w:cs="Times New Roman"/>
                <w:b/>
                <w:bCs/>
                <w:sz w:val="24"/>
                <w:szCs w:val="24"/>
                <w:lang w:eastAsia="es-CO"/>
              </w:rPr>
              <w:t>negocios.</w:t>
            </w:r>
            <w:r w:rsidRPr="00401DFF">
              <w:rPr>
                <w:rFonts w:ascii="Times New Roman" w:eastAsia="Times New Roman" w:hAnsi="Times New Roman" w:cs="Times New Roman"/>
                <w:sz w:val="24"/>
                <w:szCs w:val="24"/>
                <w:lang w:eastAsia="es-CO"/>
              </w:rPr>
              <w:t xml:space="preserve"> Las transacciones se denominan algunas veces “verdaderas fusiones” o “fusiones entre iguales” también son </w:t>
            </w:r>
            <w:r w:rsidRPr="00401DFF">
              <w:rPr>
                <w:rFonts w:ascii="Times New Roman" w:eastAsia="Times New Roman" w:hAnsi="Times New Roman" w:cs="Times New Roman"/>
                <w:b/>
                <w:bCs/>
                <w:sz w:val="24"/>
                <w:szCs w:val="24"/>
                <w:lang w:eastAsia="es-CO"/>
              </w:rPr>
              <w:t>combinaciones de negocios</w:t>
            </w:r>
            <w:r w:rsidRPr="00401DFF">
              <w:rPr>
                <w:rFonts w:ascii="Times New Roman" w:eastAsia="Times New Roman" w:hAnsi="Times New Roman" w:cs="Times New Roman"/>
                <w:sz w:val="24"/>
                <w:szCs w:val="24"/>
                <w:lang w:eastAsia="es-CO"/>
              </w:rPr>
              <w:t>en el sentido en que se utiliza el término en esta NIIF.</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contraprestación contingente (contingent consideration)</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Generalmente, una obligación de la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de transferir activos adicionales o </w:t>
            </w:r>
            <w:r w:rsidRPr="00401DFF">
              <w:rPr>
                <w:rFonts w:ascii="Times New Roman" w:eastAsia="Times New Roman" w:hAnsi="Times New Roman" w:cs="Times New Roman"/>
                <w:b/>
                <w:bCs/>
                <w:sz w:val="24"/>
                <w:szCs w:val="24"/>
                <w:lang w:eastAsia="es-CO"/>
              </w:rPr>
              <w:t>instrumentos de patrimonio</w:t>
            </w:r>
            <w:r w:rsidRPr="00401DFF">
              <w:rPr>
                <w:rFonts w:ascii="Times New Roman" w:eastAsia="Times New Roman" w:hAnsi="Times New Roman" w:cs="Times New Roman"/>
                <w:sz w:val="24"/>
                <w:szCs w:val="24"/>
                <w:lang w:eastAsia="es-CO"/>
              </w:rPr>
              <w:t xml:space="preserve"> a los anteriores propietarios de una </w:t>
            </w:r>
            <w:r w:rsidRPr="00401DFF">
              <w:rPr>
                <w:rFonts w:ascii="Times New Roman" w:eastAsia="Times New Roman" w:hAnsi="Times New Roman" w:cs="Times New Roman"/>
                <w:b/>
                <w:bCs/>
                <w:sz w:val="24"/>
                <w:szCs w:val="24"/>
                <w:lang w:eastAsia="es-CO"/>
              </w:rPr>
              <w:t>adquirida</w:t>
            </w:r>
            <w:r w:rsidRPr="00401DFF">
              <w:rPr>
                <w:rFonts w:ascii="Times New Roman" w:eastAsia="Times New Roman" w:hAnsi="Times New Roman" w:cs="Times New Roman"/>
                <w:sz w:val="24"/>
                <w:szCs w:val="24"/>
                <w:lang w:eastAsia="es-CO"/>
              </w:rPr>
              <w:t xml:space="preserve"> como parte de un intercambio para el </w:t>
            </w:r>
            <w:r w:rsidRPr="00401DFF">
              <w:rPr>
                <w:rFonts w:ascii="Times New Roman" w:eastAsia="Times New Roman" w:hAnsi="Times New Roman" w:cs="Times New Roman"/>
                <w:b/>
                <w:bCs/>
                <w:sz w:val="24"/>
                <w:szCs w:val="24"/>
                <w:lang w:eastAsia="es-CO"/>
              </w:rPr>
              <w:t>control</w:t>
            </w:r>
            <w:r w:rsidRPr="00401DFF">
              <w:rPr>
                <w:rFonts w:ascii="Times New Roman" w:eastAsia="Times New Roman" w:hAnsi="Times New Roman" w:cs="Times New Roman"/>
                <w:sz w:val="24"/>
                <w:szCs w:val="24"/>
                <w:lang w:eastAsia="es-CO"/>
              </w:rPr>
              <w:t xml:space="preserve"> de ésta si ocurren determinados sucesos futuros o se cumplen ciertas condiciones. Sin embargo, la contraprestación contingente también puede dar a la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el derecho a recuperar contraprestaciones previamente transferidas si se cumplen determinadas condiciones.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 mutualista (mutual entity)</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entidad, distinta de las que son propiedad del inversor, que proporciona directamente a sus </w:t>
            </w:r>
            <w:r w:rsidRPr="00401DFF">
              <w:rPr>
                <w:rFonts w:ascii="Times New Roman" w:eastAsia="Times New Roman" w:hAnsi="Times New Roman" w:cs="Times New Roman"/>
                <w:b/>
                <w:bCs/>
                <w:sz w:val="24"/>
                <w:szCs w:val="24"/>
                <w:lang w:eastAsia="es-CO"/>
              </w:rPr>
              <w:t>propietarios,</w:t>
            </w:r>
            <w:r w:rsidRPr="00401DFF">
              <w:rPr>
                <w:rFonts w:ascii="Times New Roman" w:eastAsia="Times New Roman" w:hAnsi="Times New Roman" w:cs="Times New Roman"/>
                <w:sz w:val="24"/>
                <w:szCs w:val="24"/>
                <w:lang w:eastAsia="es-CO"/>
              </w:rPr>
              <w:t xml:space="preserve"> miembros o partícipes, dividendos, costos más bajos u otros beneficios económicos. Por ejemplo, una compañía de seguros de carácter mutualista, cooperativa de crédito y una entidad cooperativa son todas ellas entidades de carácter mutualista.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adquisición (acquisition date)</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Fecha en la que la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obtiene el control sobre la </w:t>
            </w:r>
            <w:r w:rsidRPr="00401DFF">
              <w:rPr>
                <w:rFonts w:ascii="Times New Roman" w:eastAsia="Times New Roman" w:hAnsi="Times New Roman" w:cs="Times New Roman"/>
                <w:b/>
                <w:bCs/>
                <w:sz w:val="24"/>
                <w:szCs w:val="24"/>
                <w:lang w:eastAsia="es-CO"/>
              </w:rPr>
              <w:t>adquirida.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identificable (identifiable)</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activo es </w:t>
            </w:r>
            <w:r w:rsidRPr="00401DFF">
              <w:rPr>
                <w:rFonts w:ascii="Times New Roman" w:eastAsia="Times New Roman" w:hAnsi="Times New Roman" w:cs="Times New Roman"/>
                <w:i/>
                <w:iCs/>
                <w:sz w:val="24"/>
                <w:szCs w:val="24"/>
                <w:lang w:eastAsia="es-CO"/>
              </w:rPr>
              <w:t>identificable</w:t>
            </w:r>
            <w:r w:rsidRPr="00401DFF">
              <w:rPr>
                <w:rFonts w:ascii="Times New Roman" w:eastAsia="Times New Roman" w:hAnsi="Times New Roman" w:cs="Times New Roman"/>
                <w:sz w:val="24"/>
                <w:szCs w:val="24"/>
                <w:lang w:eastAsia="es-CO"/>
              </w:rPr>
              <w:t xml:space="preserve"> si:</w:t>
            </w:r>
            <w:r w:rsidRPr="00401DFF">
              <w:rPr>
                <w:rFonts w:ascii="Times New Roman" w:eastAsia="Times New Roman" w:hAnsi="Times New Roman" w:cs="Times New Roman"/>
                <w:sz w:val="24"/>
                <w:szCs w:val="24"/>
                <w:lang w:eastAsia="es-CO"/>
              </w:rPr>
              <w:br/>
              <w:t>(a) es separable, es decir, es susceptible de ser separado o dividido de la entidad y vendido, transferido, entregado en explotación, arrendado o intercambiado, fuere individualmente o junto con un contrato relacionado, un activo identificable o un pasivo, independientemente de si la entidad se proponga ejercer estas opciones; o</w:t>
            </w:r>
            <w:r w:rsidRPr="00401DFF">
              <w:rPr>
                <w:rFonts w:ascii="Times New Roman" w:eastAsia="Times New Roman" w:hAnsi="Times New Roman" w:cs="Times New Roman"/>
                <w:sz w:val="24"/>
                <w:szCs w:val="24"/>
                <w:lang w:eastAsia="es-CO"/>
              </w:rPr>
              <w:br/>
              <w:t>(b) surge de derechos contractuales o de otros derechos de tipo legal, con independencia de que esos derechos sean transferibles o separables de la entidad o de otros derechos y obligaciones.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Negocio </w:t>
            </w:r>
            <w:r w:rsidRPr="00401DFF">
              <w:rPr>
                <w:rFonts w:ascii="Times New Roman" w:eastAsia="Times New Roman" w:hAnsi="Times New Roman" w:cs="Times New Roman"/>
                <w:b/>
                <w:bCs/>
                <w:i/>
                <w:iCs/>
                <w:sz w:val="24"/>
                <w:szCs w:val="24"/>
                <w:lang w:eastAsia="es-CO"/>
              </w:rPr>
              <w:t>(business)</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conjunto integrado de actividades y activos susceptibles de ser dirigidos y gestionados con el propósito de proporcionar una rentabilidad en forma de dividendos, menores costos u otros beneficios económicos directamente </w:t>
            </w:r>
            <w:r w:rsidRPr="00401DFF">
              <w:rPr>
                <w:rFonts w:ascii="Times New Roman" w:eastAsia="Times New Roman" w:hAnsi="Times New Roman" w:cs="Times New Roman"/>
                <w:sz w:val="24"/>
                <w:szCs w:val="24"/>
                <w:lang w:eastAsia="es-CO"/>
              </w:rPr>
              <w:lastRenderedPageBreak/>
              <w:t>a los inversores u otros propietarios, miembros o partícipes.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participación no controladora (non-controlling interest)</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patrimonio de una subsidiaria no atribuible, directa o indirectamente, a la controladora.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el patrimonio (equity interests)</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efectos de esta NIIF </w:t>
            </w:r>
            <w:r w:rsidRPr="00401DFF">
              <w:rPr>
                <w:rFonts w:ascii="Times New Roman" w:eastAsia="Times New Roman" w:hAnsi="Times New Roman" w:cs="Times New Roman"/>
                <w:i/>
                <w:iCs/>
                <w:sz w:val="24"/>
                <w:szCs w:val="24"/>
                <w:lang w:eastAsia="es-CO"/>
              </w:rPr>
              <w:t xml:space="preserve">participaciones en el patrimonio </w:t>
            </w:r>
            <w:r w:rsidRPr="00401DFF">
              <w:rPr>
                <w:rFonts w:ascii="Times New Roman" w:eastAsia="Times New Roman" w:hAnsi="Times New Roman" w:cs="Times New Roman"/>
                <w:sz w:val="24"/>
                <w:szCs w:val="24"/>
                <w:lang w:eastAsia="es-CO"/>
              </w:rPr>
              <w:t xml:space="preserve">se utiliza en sentido amplio para referirse a las participaciones en la propiedad de entidades que pertenecen a los inversores y propietarios, participaciones de partícipes o miembros de </w:t>
            </w:r>
            <w:r w:rsidRPr="00401DFF">
              <w:rPr>
                <w:rFonts w:ascii="Times New Roman" w:eastAsia="Times New Roman" w:hAnsi="Times New Roman" w:cs="Times New Roman"/>
                <w:b/>
                <w:bCs/>
                <w:sz w:val="24"/>
                <w:szCs w:val="24"/>
                <w:lang w:eastAsia="es-CO"/>
              </w:rPr>
              <w:t>entidades mutualistas.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plusvalía (goodwill)</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activo que representa los beneficios económicos futuros que surgen de otros activos adquiridos en una </w:t>
            </w:r>
            <w:r w:rsidRPr="00401DFF">
              <w:rPr>
                <w:rFonts w:ascii="Times New Roman" w:eastAsia="Times New Roman" w:hAnsi="Times New Roman" w:cs="Times New Roman"/>
                <w:b/>
                <w:bCs/>
                <w:sz w:val="24"/>
                <w:szCs w:val="24"/>
                <w:lang w:eastAsia="es-CO"/>
              </w:rPr>
              <w:t>combinación de negocios</w:t>
            </w:r>
            <w:r w:rsidRPr="00401DFF">
              <w:rPr>
                <w:rFonts w:ascii="Times New Roman" w:eastAsia="Times New Roman" w:hAnsi="Times New Roman" w:cs="Times New Roman"/>
                <w:sz w:val="24"/>
                <w:szCs w:val="24"/>
                <w:lang w:eastAsia="es-CO"/>
              </w:rPr>
              <w:t xml:space="preserve"> que no están identificados individualmente ni reconocidos de forma separada.</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propietarios (owners)</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efectos de esta NIIF </w:t>
            </w:r>
            <w:r w:rsidRPr="00401DFF">
              <w:rPr>
                <w:rFonts w:ascii="Times New Roman" w:eastAsia="Times New Roman" w:hAnsi="Times New Roman" w:cs="Times New Roman"/>
                <w:i/>
                <w:iCs/>
                <w:sz w:val="24"/>
                <w:szCs w:val="24"/>
                <w:lang w:eastAsia="es-CO"/>
              </w:rPr>
              <w:t>propietarios</w:t>
            </w:r>
            <w:r w:rsidRPr="00401DFF">
              <w:rPr>
                <w:rFonts w:ascii="Times New Roman" w:eastAsia="Times New Roman" w:hAnsi="Times New Roman" w:cs="Times New Roman"/>
                <w:sz w:val="24"/>
                <w:szCs w:val="24"/>
                <w:lang w:eastAsia="es-CO"/>
              </w:rPr>
              <w:t xml:space="preserve"> se utiliza en sentido amplio para referirse a los poseedores de </w:t>
            </w:r>
            <w:r w:rsidRPr="00401DFF">
              <w:rPr>
                <w:rFonts w:ascii="Times New Roman" w:eastAsia="Times New Roman" w:hAnsi="Times New Roman" w:cs="Times New Roman"/>
                <w:b/>
                <w:bCs/>
                <w:sz w:val="24"/>
                <w:szCs w:val="24"/>
                <w:lang w:eastAsia="es-CO"/>
              </w:rPr>
              <w:t>participaciones en el patrimonio</w:t>
            </w:r>
            <w:r w:rsidRPr="00401DFF">
              <w:rPr>
                <w:rFonts w:ascii="Times New Roman" w:eastAsia="Times New Roman" w:hAnsi="Times New Roman" w:cs="Times New Roman"/>
                <w:sz w:val="24"/>
                <w:szCs w:val="24"/>
                <w:lang w:eastAsia="es-CO"/>
              </w:rPr>
              <w:t xml:space="preserve"> de las entidades que pertenecen a inversores y a los propietarios, partícipes o miembros de </w:t>
            </w:r>
            <w:r w:rsidRPr="00401DFF">
              <w:rPr>
                <w:rFonts w:ascii="Times New Roman" w:eastAsia="Times New Roman" w:hAnsi="Times New Roman" w:cs="Times New Roman"/>
                <w:b/>
                <w:bCs/>
                <w:sz w:val="24"/>
                <w:szCs w:val="24"/>
                <w:lang w:eastAsia="es-CO"/>
              </w:rPr>
              <w:t>entidades mutualistas.</w:t>
            </w:r>
          </w:p>
        </w:tc>
      </w:tr>
      <w:tr w:rsidR="00401DFF" w:rsidRPr="00401DFF" w:rsidTr="00401DFF">
        <w:trPr>
          <w:tblCellSpacing w:w="15" w:type="dxa"/>
          <w:jc w:val="center"/>
        </w:trPr>
        <w:tc>
          <w:tcPr>
            <w:tcW w:w="30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60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Valor razonable</w:t>
            </w:r>
            <w:r w:rsidRPr="00401DFF">
              <w:rPr>
                <w:rFonts w:ascii="Times New Roman" w:eastAsia="Times New Roman" w:hAnsi="Times New Roman" w:cs="Times New Roman"/>
                <w:sz w:val="24"/>
                <w:szCs w:val="24"/>
                <w:lang w:eastAsia="es-CO"/>
              </w:rPr>
              <w:t xml:space="preserve"> es el precio que se recibiría por vender un activo o que se pagaría por transferir un pasivo en una transacción ordenada entre participantes de mercado en la fecha de la medición. (Véase la NIIF 13).</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Combinaciones de negocios de entidades bajo control común [aplicación del párrafo 2(c)]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Esta NIIF no se aplica a combinaciones de negocios de entidades o negocios bajo control común. Una combinación de negocios entre entidades o negocios bajo control común es una combinación de negocios en la que todas las entidades o negocios que se combinan están controlados, en última instancia, por una misma parte o partes, tanto antes como después de la combinación de negocios, y ese control no es transitorio.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 Deberá considerarse que un grupo de personas físicas controlan una entidad cuando, como resultado de acuerdos contractuales, tienen colectivamente el poder para dirigir sus políticas financieras y de operación, con el fin de obtener beneficios de sus actividades. Por ello, una combinación de negocios está fuera del alcance de esta NIIF cuando el mismo grupo de personas físicas tiene, como consecuencia de acuerdos contractuales, el poder colectivo de última instancia de dirigir las políticas financieras y de operación de cada una </w:t>
      </w:r>
      <w:r w:rsidRPr="00401DFF">
        <w:rPr>
          <w:rFonts w:ascii="Times New Roman" w:eastAsia="Times New Roman" w:hAnsi="Times New Roman" w:cs="Times New Roman"/>
          <w:sz w:val="24"/>
          <w:szCs w:val="24"/>
          <w:lang w:eastAsia="es-CO"/>
        </w:rPr>
        <w:lastRenderedPageBreak/>
        <w:t>de las entidades que se combinan, de forma que obtiene beneficios de sus actividades, y dicho poder colectivo de última instancia no sea transitorio.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Una entidad puede estar controlada por una persona física, o por un grupo de personas físicas que actúen conjuntamente bajo un acuerdo contractual, y esa persona o grupo de personas pueden no estar sujetos a los requerimientos de información financiera de las NIIF. Por ello, para considerar que una combinación de negocios involucra a entidades bajo control común, no es necesario que las entidades que se combinan se incluyan dentro de los mismos estados financieros consolidados procedentes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La proporción de participaciones no controladoras en cada una de las entidades que se combinan, antes y después de la combinación de negocios, no es relevante para determinar si la misma involucra a entidades bajo control común. De forma similar, el hecho de que alguna de las entidades que se combinan sea una subsidiaria excluida de los estados financieros consolidados, no será relevante para determinar si la combinación involucra a entidades bajo control común.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una combinación de negocios (aplicación del párrafo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Esta NIIF define una combinación de negocios como una transacción u otro suceso en el que una adquirente obtiene el control de uno o más negocios. Una adquirente puede obtener el control de una adquirida mediante una variedad de formas,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transfiriendo efectivo, equivalentes al efectivo u otros activos (incluyendo activos netos que constituyen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incurriendo en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emitiendo participaciones en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proporcionando más de un tipo de contraprestación;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sin transferir contraprestación, incluyendo la de solo mediante un contrato (véase el párrafo 43).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Una combinación de negocios puede estructurarse de diferentes formas por motivos legales, fiscales o de otro tipo, lo que incluye pero no se limita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uno o más negocios se convierten en subsidiarias de una adquirente o los activos netos de uno o más negocios se fusionan legalmente en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entidad que se combina transfiere sus activos netos, o sus propietarios transfieren sus participaciones en el patrimonio, a otra entidad que se combina o a sus propietarios;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todas las entidades que se combinan transfieren sus activos netos, o los propietarios de esas entidades transfieren sus participaciones en el patrimonio, a una nueva entidad </w:t>
      </w:r>
      <w:r w:rsidRPr="00401DFF">
        <w:rPr>
          <w:rFonts w:ascii="Times New Roman" w:eastAsia="Times New Roman" w:hAnsi="Times New Roman" w:cs="Times New Roman"/>
          <w:sz w:val="24"/>
          <w:szCs w:val="24"/>
          <w:lang w:eastAsia="es-CO"/>
        </w:rPr>
        <w:lastRenderedPageBreak/>
        <w:t>constituida (en ocasiones conocida como una combinación por absorción o por puesta en conjunto)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grupo de anteriores propietarios de una de las entidades que se combinan obtiene el control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Definición de un negocio (aplicación del párrafo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Un negocio consiste en insumos y procesos aplicados a estos insumos que tienen la capacidad de crear productos. Aunque los negocios generalmente tienen productos, no se requiere que éstos sean un conjunto integrado para cumplir con las condiciones para ser considerados como un negocio. Los tres elementos de un negocio se definen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b/>
          <w:bCs/>
          <w:sz w:val="24"/>
          <w:szCs w:val="24"/>
          <w:lang w:eastAsia="es-CO"/>
        </w:rPr>
        <w:t>Insumo:</w:t>
      </w:r>
      <w:r w:rsidRPr="00401DFF">
        <w:rPr>
          <w:rFonts w:ascii="Times New Roman" w:eastAsia="Times New Roman" w:hAnsi="Times New Roman" w:cs="Times New Roman"/>
          <w:sz w:val="24"/>
          <w:szCs w:val="24"/>
          <w:lang w:eastAsia="es-CO"/>
        </w:rPr>
        <w:t xml:space="preserve"> todo recurso económico que elabora, o tiene la capacidad de elaborar, productos si se les aplica uno o más procesos. Algunos ejemplos incluyen activos no corrientes (incluyendo activos intangibles o derechos a utilizar activos no corrientes), propiedad intelectual, la capacidad de acceder a materiales o derechos necesarios y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b/>
          <w:bCs/>
          <w:sz w:val="24"/>
          <w:szCs w:val="24"/>
          <w:lang w:eastAsia="es-CO"/>
        </w:rPr>
        <w:t>Proceso:</w:t>
      </w:r>
      <w:r w:rsidRPr="00401DFF">
        <w:rPr>
          <w:rFonts w:ascii="Times New Roman" w:eastAsia="Times New Roman" w:hAnsi="Times New Roman" w:cs="Times New Roman"/>
          <w:sz w:val="24"/>
          <w:szCs w:val="24"/>
          <w:lang w:eastAsia="es-CO"/>
        </w:rPr>
        <w:t xml:space="preserve"> todo sistema, norma, protocolo, convención o regla que aplicado a un insumo o insumos, elabora o tiene la capacidad de elaborar productos. Son ejemplos los procesos de gestión estratégicos, de operación y de gestión de recursos. Estos procesos habitualmente están documentados, pero una plantilla de trabajadores organizada que tenga la necesaria formación y experiencia, siguiendo reglas y convenciones, puede proporcionar los procesos necesarios susceptibles de aplicarse a los insumos para elaborar productos. (Habitualmente, contabilidad, facturación, nóminas y otros sistemas administrativos no son procesos utilizados para elaborar productos).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b/>
          <w:bCs/>
          <w:sz w:val="24"/>
          <w:szCs w:val="24"/>
          <w:lang w:eastAsia="es-CO"/>
        </w:rPr>
        <w:t>Producto:</w:t>
      </w:r>
      <w:r w:rsidRPr="00401DFF">
        <w:rPr>
          <w:rFonts w:ascii="Times New Roman" w:eastAsia="Times New Roman" w:hAnsi="Times New Roman" w:cs="Times New Roman"/>
          <w:sz w:val="24"/>
          <w:szCs w:val="24"/>
          <w:lang w:eastAsia="es-CO"/>
        </w:rPr>
        <w:t xml:space="preserve"> el resultado de insumos y procesos aplicados a éstos que proporcionan o tienen la capacidad de proporcionar una rentabilidad en forma de dividendos, menores costos u otros beneficios económicos directamente a los inversores u otros propietarios, miembros o partícipes.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 Para poder ser dirigido y gestionado, a los efectos definidos, un conjunto integrado de actividades y activos requiere dos elementos esenciales —insumos y procesos aplicados a éstos, que juntos se utilizan o utilizarán en la elaboración de productos. Sin embargo, un negocio no necesita incluir todos los insumos y procesos que el vendedor utiliza en las operaciones de ese negocio si los participantes en el mercado tienen la capacidad de adquirir el negocio y continuar elaborando productos, por ejemplo mediante la integración del negocio con sus propios insumos y procesos.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B9 La naturaleza de los elementos de un negocio varía según sectores industriales y según la estructura de las operaciones (actividades) de una entidad, incluyendo la etapa de desarrollo de la entidad. Los negocios establecidos tienen a menudo numerosos tipos distintos de insumos, procesos y productos, mientras que los negocios nuevos tienen a </w:t>
      </w:r>
      <w:r w:rsidRPr="00401DFF">
        <w:rPr>
          <w:rFonts w:ascii="Times New Roman" w:eastAsia="Times New Roman" w:hAnsi="Times New Roman" w:cs="Times New Roman"/>
          <w:sz w:val="24"/>
          <w:szCs w:val="24"/>
          <w:lang w:eastAsia="es-CO"/>
        </w:rPr>
        <w:lastRenderedPageBreak/>
        <w:t>menudo pocos insumos y procesos y en ocasiones solo un producto. Casi todos los negocios también tienen pasivos, pero un negocio no necesita tener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Es posible que un conjunto integrado de actividades y activos en la etapa de desarrollo no tenga productos. Si así fuera, la adquirente debería considerar otros elementos para determinar si el conjunto es un negocio. Esos factores incluyen pero no se limitan a si el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ha comenzado las actividades principales planeadas;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tiene empleados, propiedad intelectual y otros insumos y procesos que pudieran aplicarse a dichos insumos;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busca un plan para elaborar productos;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será capaz de acceder a clientes que comprarán los productos.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 todos estos factores necesitan estar presentes en la etapa de desarrollo como un conjunto integrado concreto de actividades y activos para cumplir las condiciones para ser considerado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La determinación de si un conjunto concreto de activos y actividades es un negocio, debe basarse en si el conjunto integrado es susceptible de ser dirigido y gestionado como un negocio por un participante en el mercado. Así, para evaluar si un conjunto concreto es un negocio, no es importante si el vendedor opera el conjunto como un negocio o si la adquirente pretende operar el conjunto como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En ausencia de evidencia en contrario, deberá suponerse que un conjunto concreto de activos y actividades en los que hay una plusvalía es un negocio. Sin embargo, un negocio no necesita tener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la adquirente (aplicación de los párrafos 6 y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B13 Para identificar la adquirente —la entidad que obtiene el </w:t>
      </w:r>
      <w:r w:rsidRPr="00401DFF">
        <w:rPr>
          <w:rFonts w:ascii="Times New Roman" w:eastAsia="Times New Roman" w:hAnsi="Times New Roman" w:cs="Times New Roman"/>
          <w:i/>
          <w:iCs/>
          <w:sz w:val="24"/>
          <w:szCs w:val="24"/>
          <w:lang w:eastAsia="es-CO"/>
        </w:rPr>
        <w:t>control</w:t>
      </w:r>
      <w:r w:rsidRPr="00401DFF">
        <w:rPr>
          <w:rFonts w:ascii="Times New Roman" w:eastAsia="Times New Roman" w:hAnsi="Times New Roman" w:cs="Times New Roman"/>
          <w:sz w:val="24"/>
          <w:szCs w:val="24"/>
          <w:lang w:eastAsia="es-CO"/>
        </w:rPr>
        <w:t xml:space="preserve"> de la adquirida— deberán utilizarse las guías de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Si ha ocurrido una combinación de negocios pero la aplicación de las guías de la NIIF 10 no indica claramente cuál de las entidades que se combinan es la adquirente, para llevar a cabo esa determinación deberán considerarse los factores incluidos en los párrafos B14 a B18.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En una combinación de negocios efectuada principalmente mediante la transferencia de efectivo u otros activos o incurriendo en pasivos, la adquirente será generalmente la entidad que transfiere el efectivo u otros activos o incurre en los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B15 En una combinación de negocios efectuada principalmente por intercambio de participaciones en el patrimonio, la adquirente será generalmente la entidad que emite sus instrumentos de patrimonio. Sin embargo, en algunas combinaciones de negocios, </w:t>
      </w:r>
      <w:r w:rsidRPr="00401DFF">
        <w:rPr>
          <w:rFonts w:ascii="Times New Roman" w:eastAsia="Times New Roman" w:hAnsi="Times New Roman" w:cs="Times New Roman"/>
          <w:sz w:val="24"/>
          <w:szCs w:val="24"/>
          <w:lang w:eastAsia="es-CO"/>
        </w:rPr>
        <w:lastRenderedPageBreak/>
        <w:t>comúnmente denominadas “adquisiciones inversas” la entidad emisora es la adquirida. Los párrafos B19 a B27 proporcionan guías sobre la contabilización de adquisiciones inversas. Para identificar la adquirente en una combinación de negocios efectuada por intercambio de participaciones en el patrimonio, deberán considerarse también otros factores pertinentes y circunstancias,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los derechos de voto relativos en la entidad combinada tras la combinación de negocios</w:t>
      </w:r>
      <w:r w:rsidRPr="00401DFF">
        <w:rPr>
          <w:rFonts w:ascii="Times New Roman" w:eastAsia="Times New Roman" w:hAnsi="Times New Roman" w:cs="Times New Roman"/>
          <w:sz w:val="24"/>
          <w:szCs w:val="24"/>
          <w:lang w:eastAsia="es-CO"/>
        </w:rPr>
        <w:t>—La adquirente es generalmente la entidad que se combina, cuyos propietarios como grupo retienen o reciben la mayor porción de derechos de voto en la entidad combinada. Para determinar qué grupo de propietarios mantiene o recibe la mayor porción de derechos de voto, una entidad considerará la existencia de acuerdos de voto especiales o inusuales y opciones, certificados de opción para suscribir títulos (</w:t>
      </w:r>
      <w:r w:rsidRPr="00401DFF">
        <w:rPr>
          <w:rFonts w:ascii="Times New Roman" w:eastAsia="Times New Roman" w:hAnsi="Times New Roman" w:cs="Times New Roman"/>
          <w:i/>
          <w:iCs/>
          <w:sz w:val="24"/>
          <w:szCs w:val="24"/>
          <w:lang w:eastAsia="es-CO"/>
        </w:rPr>
        <w:t>warrants)</w:t>
      </w:r>
      <w:r w:rsidRPr="00401DFF">
        <w:rPr>
          <w:rFonts w:ascii="Times New Roman" w:eastAsia="Times New Roman" w:hAnsi="Times New Roman" w:cs="Times New Roman"/>
          <w:sz w:val="24"/>
          <w:szCs w:val="24"/>
          <w:lang w:eastAsia="es-CO"/>
        </w:rPr>
        <w:t xml:space="preserve"> o instrumentos convertibles.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la existencia de una gran minoría de participaciones con voto en la entidad combinada, si otro propietario o grupo organizado de propietarios no tiene una participación de voto significativa</w:t>
      </w:r>
      <w:r w:rsidRPr="00401DFF">
        <w:rPr>
          <w:rFonts w:ascii="Times New Roman" w:eastAsia="Times New Roman" w:hAnsi="Times New Roman" w:cs="Times New Roman"/>
          <w:sz w:val="24"/>
          <w:szCs w:val="24"/>
          <w:lang w:eastAsia="es-CO"/>
        </w:rPr>
        <w:t>—La adquirente es generalmente la entidad que se combina cuyo propietario único o grupo organizado de propietarios mantiene la mayor participación minoritaria de voto en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la composición del órgano de gobierno de la entidad combinada</w:t>
      </w:r>
      <w:r w:rsidRPr="00401DFF">
        <w:rPr>
          <w:rFonts w:ascii="Times New Roman" w:eastAsia="Times New Roman" w:hAnsi="Times New Roman" w:cs="Times New Roman"/>
          <w:sz w:val="24"/>
          <w:szCs w:val="24"/>
          <w:lang w:eastAsia="es-CO"/>
        </w:rPr>
        <w:t>—La adquirente es generalmente la entidad que se combina cuyos propietarios tienen la capacidad de elegir o nombrar o cesar a la mayoría de los miembros del órgano de gobierno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la composición de la alta dirección de la entidad combinada</w:t>
      </w:r>
      <w:r w:rsidRPr="00401DFF">
        <w:rPr>
          <w:rFonts w:ascii="Times New Roman" w:eastAsia="Times New Roman" w:hAnsi="Times New Roman" w:cs="Times New Roman"/>
          <w:sz w:val="24"/>
          <w:szCs w:val="24"/>
          <w:lang w:eastAsia="es-CO"/>
        </w:rPr>
        <w:t>—La adquirente es generalmente la entidad que se combina, cuya (anterior) dirección domina la dirección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las condiciones del intercambio en las participaciones en el patrimonio</w:t>
      </w:r>
      <w:r w:rsidRPr="00401DFF">
        <w:rPr>
          <w:rFonts w:ascii="Times New Roman" w:eastAsia="Times New Roman" w:hAnsi="Times New Roman" w:cs="Times New Roman"/>
          <w:sz w:val="24"/>
          <w:szCs w:val="24"/>
          <w:lang w:eastAsia="es-CO"/>
        </w:rPr>
        <w:t>—La adquirente es generalmente la entidad que se combina que paga una prima sobre el valor razonable de las participaciones en el patrimonio anterior a la combinación de la otra u otras entidades que se combinan.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La adquirente es generalmente la entidad que se combina cuyo tamaño relativo (medido en, por ejemplo en forma de activos, ingresos de actividades ordinarias o beneficios) es significativamente mayor que el de la otra u otras entidades que se combinan.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En una combinación de negocios que implica a más de dos entidades, la determinación de la adquirente incluirá la consideración, entre otras cosas, de cuál de las entidades que se combinan inició la combinación, así como el tamaño relativo de las entidades que se combinan.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B18 Una nueva entidad constituida para efectuar una combinación de negocios no es necesariamente la adquirente. Cuando se constituya una nueva entidad para emitir participaciones en el patrimonio para llevar a cabo una combinación de negocios, deberá identificarse como la adquirente a una de las entidades que se combinan que existiera antes </w:t>
      </w:r>
      <w:r w:rsidRPr="00401DFF">
        <w:rPr>
          <w:rFonts w:ascii="Times New Roman" w:eastAsia="Times New Roman" w:hAnsi="Times New Roman" w:cs="Times New Roman"/>
          <w:sz w:val="24"/>
          <w:szCs w:val="24"/>
          <w:lang w:eastAsia="es-CO"/>
        </w:rPr>
        <w:lastRenderedPageBreak/>
        <w:t>de la combinación, aplicando las guías de los párrafos B13 a B17. Por el contrario, la adquirente puede ser una nueva entidad que transfiera efectivo u otros activos o incurra en pasivos como contraprestación.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Adquisiciones inversas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B19 Una adquisición inversa tiene lugar cuando la entidad que emite títulos (la adquirente legal) se identifica como la adquirida a efectos contables sobre la base de las guías de los párrafos B13 a B18. La entidad cuyas participaciones en el patrimonio se adquieren (la adquirida legal) debe ser la adquirente para que la transacción se considere una adquisición inversa a efectos contables. Por ejemplo, las adquisiciones inversas se producen en ocasiones cuando una entidad que no cotiza quiere cotizar pero no quiere registrar sus acciones de capital. Para conseguirlo, la entidad que no cotiza acordará con una entidad que cotiza la adquisición de sus participaciones en el patrimonio a cambio de las participaciones en el patrimonio de la entidad que cotiza. En este ejemplo, la entidad que cotiza en la </w:t>
      </w:r>
      <w:r w:rsidRPr="00401DFF">
        <w:rPr>
          <w:rFonts w:ascii="Times New Roman" w:eastAsia="Times New Roman" w:hAnsi="Times New Roman" w:cs="Times New Roman"/>
          <w:b/>
          <w:bCs/>
          <w:sz w:val="24"/>
          <w:szCs w:val="24"/>
          <w:lang w:eastAsia="es-CO"/>
        </w:rPr>
        <w:t>adquirente legal</w:t>
      </w:r>
      <w:r w:rsidRPr="00401DFF">
        <w:rPr>
          <w:rFonts w:ascii="Times New Roman" w:eastAsia="Times New Roman" w:hAnsi="Times New Roman" w:cs="Times New Roman"/>
          <w:sz w:val="24"/>
          <w:szCs w:val="24"/>
          <w:lang w:eastAsia="es-CO"/>
        </w:rPr>
        <w:t xml:space="preserve"> porque emite sus participaciones en el patrimonio, y la entidad que no cotiza es la </w:t>
      </w:r>
      <w:r w:rsidRPr="00401DFF">
        <w:rPr>
          <w:rFonts w:ascii="Times New Roman" w:eastAsia="Times New Roman" w:hAnsi="Times New Roman" w:cs="Times New Roman"/>
          <w:b/>
          <w:bCs/>
          <w:sz w:val="24"/>
          <w:szCs w:val="24"/>
          <w:lang w:eastAsia="es-CO"/>
        </w:rPr>
        <w:t>adquirida legal</w:t>
      </w:r>
      <w:r w:rsidRPr="00401DFF">
        <w:rPr>
          <w:rFonts w:ascii="Times New Roman" w:eastAsia="Times New Roman" w:hAnsi="Times New Roman" w:cs="Times New Roman"/>
          <w:sz w:val="24"/>
          <w:szCs w:val="24"/>
          <w:lang w:eastAsia="es-CO"/>
        </w:rPr>
        <w:t>porque se adquieren sus participaciones en el patrimonio. Sin embargo, la aplicación de las guías de los párrafos B13 a B18 da lugar a identificar: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 la entidad que cotiza como la </w:t>
      </w:r>
      <w:r w:rsidRPr="00401DFF">
        <w:rPr>
          <w:rFonts w:ascii="Times New Roman" w:eastAsia="Times New Roman" w:hAnsi="Times New Roman" w:cs="Times New Roman"/>
          <w:b/>
          <w:bCs/>
          <w:sz w:val="24"/>
          <w:szCs w:val="24"/>
          <w:lang w:eastAsia="es-CO"/>
        </w:rPr>
        <w:t>adquirida</w:t>
      </w:r>
      <w:r w:rsidRPr="00401DFF">
        <w:rPr>
          <w:rFonts w:ascii="Times New Roman" w:eastAsia="Times New Roman" w:hAnsi="Times New Roman" w:cs="Times New Roman"/>
          <w:sz w:val="24"/>
          <w:szCs w:val="24"/>
          <w:lang w:eastAsia="es-CO"/>
        </w:rPr>
        <w:t xml:space="preserve"> a efectos contables (la adquirida contable);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 la entidad que no cotiza como la </w:t>
      </w:r>
      <w:r w:rsidRPr="00401DFF">
        <w:rPr>
          <w:rFonts w:ascii="Times New Roman" w:eastAsia="Times New Roman" w:hAnsi="Times New Roman" w:cs="Times New Roman"/>
          <w:b/>
          <w:bCs/>
          <w:sz w:val="24"/>
          <w:szCs w:val="24"/>
          <w:lang w:eastAsia="es-CO"/>
        </w:rPr>
        <w:t>adquirente</w:t>
      </w:r>
      <w:r w:rsidRPr="00401DFF">
        <w:rPr>
          <w:rFonts w:ascii="Times New Roman" w:eastAsia="Times New Roman" w:hAnsi="Times New Roman" w:cs="Times New Roman"/>
          <w:sz w:val="24"/>
          <w:szCs w:val="24"/>
          <w:lang w:eastAsia="es-CO"/>
        </w:rPr>
        <w:t xml:space="preserve"> a efectos contables (la adquirente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adquirida contable debe cumplir la definición de un negocio para que la transacción se contabilice como una adquisición inversa y se apliquen todos los principios de reconocimiento y medición de esta NIIF, incluyendo el requerimiento de reconocer una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la contraprestación transferida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En una adquisición inversa, es usual que la adquirente a efectos contables no otorgue contraprestaciones a la adquirida. En su lugar, la adquirida a efectos contables generalmente emite sus acciones de capital para los propietarios de la adquirente a efectos contables. Por consiguiente, el valor razonable en la fecha de la adquisición de la contraprestación transferida por la adquirente a efectos contables por su participación en la adquirida a efectos contables se basa en el número de participaciones en el patrimonio que la subsidiaria legal habría tenido que emitir para dar a los propietarios de la controladora legal el mismo porcentaje de instrumentos de patrimonio en la entidad combinada que resulte de la adquisición inversa. El valor razonable del número de participaciones en el patrimonio calculado de esa forma puede utilizarse como valor razonable de la contraprestación transferida a cambio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Elaboración y presentación de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B21 Los estados financieros consolidados elaborados después de una adquisición inversa se emitirán bajo el nombre de la controladora legal (la adquirida a efectos contables), pero se describirán en las notas como una continuación de los estados financieros de la subsidiaria legal (la adquirente a efectos contables), con un ajuste que se realizará retroactivamente en el capital legal de la adquirente a efectos contables refleje el capital legal de la adquirida a efectos contables. Ese ajuste se requiere para reflejar el capital de la controladora legal (la adquirida a efectos contables). También se ajustará retroactivamente la información comparativa presentada en esos estados financieros consolidados para reflejar el capital legal de la controladora legal (la adquirida a efectos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Dado que los estados financieros consolidados representan la continuación de los estados financieros de la subsidiaria legal excepto por su estructura de capital, los estados financieros consolidados reflejarán: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y pasivos de la subsidiaria legal (la adquirente a efectos contables) reconocidos y medidos a su valor en libros anterior a la combinación.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y pasivos de la controladora legal (la adquirida a efectos contables) se reconocerán y medirán de acuerdo con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Las ganancias acumuladas y otros saldos de patrimonio de la subsidiaria legal (la adquirente a efectos contables) </w:t>
      </w:r>
      <w:r w:rsidRPr="00401DFF">
        <w:rPr>
          <w:rFonts w:ascii="Times New Roman" w:eastAsia="Times New Roman" w:hAnsi="Times New Roman" w:cs="Times New Roman"/>
          <w:b/>
          <w:bCs/>
          <w:sz w:val="24"/>
          <w:szCs w:val="24"/>
          <w:lang w:eastAsia="es-CO"/>
        </w:rPr>
        <w:t>antes</w:t>
      </w:r>
      <w:r w:rsidRPr="00401DFF">
        <w:rPr>
          <w:rFonts w:ascii="Times New Roman" w:eastAsia="Times New Roman" w:hAnsi="Times New Roman" w:cs="Times New Roman"/>
          <w:sz w:val="24"/>
          <w:szCs w:val="24"/>
          <w:lang w:eastAsia="es-CO"/>
        </w:rPr>
        <w:t xml:space="preserve">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reconocido como participaciones en el patrimonio emitidas en los estados financieros consolidados, determinado sumando a las participaciones en el patrimonio emitidas de la subsidiaria legal (la adquirente a efectos contables) en circulación inmediatamente antes de la combinación de negocios a valor razonable de la controladora legal (la adquirida a efectos contables). Sin embargo, la estructura de patrimonio (es decir el número y tipo de participaciones en el patrimonio emitidas) refleja la estructura de patrimonio de la controladora legal (la adquirida a efectos contables), incluyendo las participaciones en el patrimonio que la controladora legal emitió a efectos de la combinación. Por consiguiente, la estructura del patrimonio de la subsidiaria legal (la adquirente a efectos contables) se reexpresará utilizando el ratio de intercambio establecido en el acuerdo de adquisición para reflejar el número de acciones de la controladora legal (la adquirida a efectos contables) emitido en la adquisición inversa.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parte proporcional de la participación no controladora del importe en libros anterior a la combinación de las ganancias acumuladas de la subsidiaria legal (la adquirente a efectos contables) y otras participaciones en el patrimonio, tal como se discute en los párrafos B23 y B24.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no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B23 En una adquisición inversa, algunos de los propietarios de la adquirida legal (la que se contabiliza como adquirente a efectos contables) pueden no intercambiar sus participaciones en el patrimonio por los de la controladora legal (la adquirida a efectos contables). Estos propietarios se tratan como participaciones no controladoras en los </w:t>
      </w:r>
      <w:r w:rsidRPr="00401DFF">
        <w:rPr>
          <w:rFonts w:ascii="Times New Roman" w:eastAsia="Times New Roman" w:hAnsi="Times New Roman" w:cs="Times New Roman"/>
          <w:sz w:val="24"/>
          <w:szCs w:val="24"/>
          <w:lang w:eastAsia="es-CO"/>
        </w:rPr>
        <w:lastRenderedPageBreak/>
        <w:t>estados financieros consolidados posteriores a la adquisición inversa. Esto es así porque los propietarios de la adquirida legal que no intercambien sus participaciones en el patrimonio por los de la adquirente legal tienen únicamente participación en los resultados y activos netos de la adquirida legal —pero no en los resultados y activos netos de la entidad combinada. Por el contrario, aún cuando la adquirente legal sea la adquirida a efectos contables, los propietarios de la adquirente legal tienen una participación en los resultados y activos netos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Los activos y pasivos de la adquirida legal se medirán y reconocerán en los estados financieros consolidados por sus importes en libros anteriores a la combinación [véase el párrafo B22(a)]. Por ello, en una adquisición inversa la participación no controladora refleja la participación proporcional de los accionistas no controladores en los importes en libros anteriores a la combinación de los activos netos de la adquirida legal, incluso cuando las participaciones no controladoras en otras adquisiciones se midan a sus valores razonables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por 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Como se ha señalado en el párrafo B22(d), la estructura del patrimonio de los estados financieros consolidados elaborados después de una adquisición inversa, reflejará la estructura del patrimonio de la adquirente legal (adquirida a efectos contables), incluyendo las participaciones en el patrimonio emitidos por la adquirente legal para efectuar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Para calcular el promedio ponderado de acciones ordinarias en circulación (el denominador del cálculo de las ganancias por acción) durante el periodo en que haya ocurrido la adquisición inversa: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número de acciones ordinarias en circulación desde el comienzo de ese periodo hasta la fecha de la adquisición deberá calcularse sobre la base del promedio ponderado de las acciones ordinarias en circulación de la adquirida legal (adquirente a efectos contables) durante el periodo multiplicado por el ratio de intercambio establecido en el acuerdo de fusión;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número de acciones ordinarias en circulación desde la fecha de adquisición hasta el final de dicho periodo deberá ser el número real de acciones ordinarias que la adquirente legal (adquirida a efectos contables) haya tenido en circulación durante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La ganancia por acción básica para cada ejercicio comparativo previo a la fecha de la adquisición presentada en los estados consolidados posteriores a una adquisición inversa deberá calcularse dividiendo: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resultado de la adquirida legal atribuible a los accionistas ordinarios en cada uno de esos periodos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promedio ponderado histórico del número de acciones ordinarias en circulación de la adquirida legal multiplicado por el ratio de intercambio establecido en el acuerdo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activos particulares adquiridos y de pasivos asumidos (aplicación de los párrafos 10 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Arrendamientos operativos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La adquirente no reconocerá activos o pasivos relacionados con un arrendamiento operativo en el que la adquirida sea la arrendataria, excepto por lo requerido en los párrafos B29 y B30.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B29 La adquirente determinará si las condiciones de cada arrendamiento operativo en el que la adquirida es la arrendataria son favorables o desfavorables. La adquirente reconocerá un activo intangible si las condiciones de un arrendamiento operativo son favorables con relación a las de mercado y un pasivo si lo son desfavorables. El párrafo B42 proporciona guías sobre la medición del valor razonable en la fecha de la adquisición de activos sujetos a arrendamientos operativos en el que la adquirida es 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B30 Un activo intangible identificable puede asociarse con un arrendamiento operativo, que puede ponerse de manifiesto mediante el deseo de partícipes en el mercado por pagar un precio por el arrendamiento aún en condiciones de mercado. Por ejemplo, un arrendamiento de puertas de embarque en un aeropuerto o un espacio para la venta al por menor en un área comercial importante puede proporcionar acceso a un mercado o a otros beneficios económicos futuros que cumplen las condiciones de un activo intangible identificable, por ejemplo como una relación de cliente. En esa situación la adquirente reconocerá el activo (o los activos) intangible(s) asociado(s) de acuerdo con el párrafo B31.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La adquirente reconocerá, de forma separada a la plusvalía, los activos intangibles identificables adquiridos en una combinación de negocios. Un activo intangible es identificable si cumple el criterio de separabilidad o bien el de legalidad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Un activo intangible que cumple el criterio de legalidad contractual es identificable incluso si el activo no es transferible o separable de la adquirida o de otros derechos y obligaciones.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Una adquirida arrienda una instalación de producción bajo un arrendamiento operativo que tiene condiciones que son favorables con respecto a las de mercado. Las condiciones del arrendamiento prohíben explícitamente transferirlo (mediante venta o subarriendo). El importe por el que las condiciones del arrendamiento son favorables comparadas con las de las transacciones de mercado para partidas iguales o similares es un activo intangible que cumple el criterio de legalidad contractual para el reconocimiento separado de la plusvalía, </w:t>
      </w:r>
      <w:r w:rsidRPr="00401DFF">
        <w:rPr>
          <w:rFonts w:ascii="Times New Roman" w:eastAsia="Times New Roman" w:hAnsi="Times New Roman" w:cs="Times New Roman"/>
          <w:sz w:val="24"/>
          <w:szCs w:val="24"/>
          <w:lang w:eastAsia="es-CO"/>
        </w:rPr>
        <w:lastRenderedPageBreak/>
        <w:t>aún cuando la adquirente no pueda vender o transferir de otra forma el contrato de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adquirida posee y opera una planta de energía nuclear. La licencia para operar esa planta de energía es un activo intangible que cumple el criterio de legalidad contractual para el reconocimiento separado de la plusvalía, incluso si la adquirente no puede vender dicha licencia o transferirla separadamente de la planta de energía adquirida. Una adquirente puede reconocer el valor razonable de la licencia de operación y el valor razonable de la planta de energía como un solo activo para propósitos de información financiera si las vidas útiles de estos activos son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adquirida posee una patente de tecnología. Ella ha dado en explotación esa patente a terceros para su uso exclusivo fuera del mercado nacional, recibiendo a cambio un porcentaje especificado de los ingresos futuros de actividades ordinarias en el extranjero. Tanto la patente de tecnología como el acuerdo de explotación relacionado cumplen el criterio de legalidad contractual para el reconocimiento separado de la plusvalía incluso si no fuera factible la venta o intercambio por separado de la patente y el acuerdo de explotación relacionado.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El criterio de separabilidad significa que un activo intangible adquirido es susceptible de ser separado o escindido de la adquirida y vendido, transferido, dado en explotación, arrendado o intercambiado, ya sea individualmente o junto con el contrato, activo identificable o pasivo con los que guarde relación. Un activo intangible que la adquirente sea capaz de vender, dar en explotación o de intercambiar de cualquier otra forma por otra cosa de valor, cumple el criterio de separabilidad incluso si la adquirente no se propone venderlo, darlo en explotación o intercambiarlo de otra forma. Un activo intangible adquirido cumple el criterio de separabilidad si existe evidencia de transacciones de intercambio para ese tipo de activo o de un activo de carácter similar, incluso si estas transacciones son infrecuentes e independientemente de si la adquirente está involucrada o no en ellas. Por ejemplo, las listas de clientes y subscriptores se dan frecuentemente en explotación y de esta forma cumplen el criterio de separabilidad. Incluso si una adquirida cree que su lista de clientes tiene características diferentes de otras, el hecho de que las listas de clientes sean frecuentemente dadas en explotación significa generalmente que la lista de clientes adquirida cumple el criterio de separabilidad. Sin embargo, una lista de clientes adquirida en una combinación de negocios podría no cumplir el criterio de separabilidad si las condiciones de confidencialidad u otros acuerdos prohibieran a una entidad la venta de información sobre sus clientes, su arrendamiento o su intercambio de otra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Un activo intangible que no es individualmente separable de la adquirida o entidad combinada cumple el criterio de separabilidad si es separable junto con un contrato, activo identificable o pasivo con el que guarde relación.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Participantes en el mercado intercambian pasivos avalados con depósitos y activos intangibles relacionados del depositante en transacciones de intercambio observables. Por ello, la adquirente debería reconocer el activo intangible relacionado del depositante de forma separada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Una adquirida posee una marca comercial registrada y documentada, pero el producto de marca registrada suele producirse por medios técnicos no patentados. Para transferir la propiedad de una marca registrada, también se requiere que el propietario transfiera todo lo necesario para que el nuevo propietario elabore un producto o servicio imposible de distinguir del elaborado por el anterior. Dado que los medios técnicos no patentados deben separarse de la adquirida o entidad combinada y vendidos si se vende la marca registrada relacionada, se cumple el criterio de separabilidad.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Derechos readquiridos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Como parte de una combinación de negocios, una adquirente puede readquirir un derecho que tenía previamente concedido a una adquirida para utilizar uno o más activos reconocidos o no reconocidos de la adquirida. Ejemplos de tales derechos incluyen un derecho a usar la marca de la adquirente en régimen de contrato de franquicia o un derecho a usar la tecnología de la adquirente en régimen de acuerdo de licencia de la tecnología. Un derecho readquirido es un activo intangible identificable que la adquirente reconoce separadamente de la plusvalía. El párrafo 29 proporciona guías sobre la medición de un derecho readquirido y el párrafo 55 proporciona guías sobre la contabilización posterior de un derecho readquirido.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B36 La adquirente reconocerá una ganancia o pérdida de cancelación siempre que las condiciones del contrato que dan lugar a un derecho de readquisición sean favorables o desfavorables con relación a las condiciones de transacciones corrientes de mercado para la misma partida u otras similares. El párrafo B52 proporciona guías para la medición de esa ganancia o pérdida de cancelación.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Plantilla laboral organizada y otras partidas que no son identificables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La adquirente incluirá en la plusvalía el valor de un activo intangible adquirido que no es identificable en la fecha de la adquisición. Por ejemplo, una adquirente puede atribuir valor a la existencia de una plantilla laboral organizada, que es un grupo de empleados existente que permite que la adquirente continúe la operación de un negocio adquirido desde la fecha de adquisición. Una plantilla laboral organizada no representa el capital intelectual de la plantilla entrenada —conocimiento y la experiencia (a menudo especializados) que los empleados de una adquirida aportan a sus trabajos. Dado que la plantilla organizada no es un activo identificable a reconocerse de forma separada de la plusvalía cualquier valor atribuido se incluirá en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B38 La adquirente también incluirá en la plusvalía todo valor atribuido a las partidas que no cumplan las condiciones necesarias para su consideración como activos en la fecha de la adquisición. Por ejemplo, la adquirente puede atribuir valor a contratos potenciales que la adquirida esté negociando con nuevos clientes potenciales en la fecha de la adquisición. Puesto que esos contratos potenciales no son en sí mismos activos en la fecha de la adquisición, la adquirente no los reconocerá de forma separada de la plusvalía. La adquirente no debería reclasificar posteriormente el valor de esos contratos de la plusvalía por sucesos que ocurran tras la fecha de la adquisición. Sin embargo, la adquirente debería evaluar los hechos y circunstancias que rodean a los sucesos que tengan lugar poco después </w:t>
      </w:r>
      <w:r w:rsidRPr="00401DFF">
        <w:rPr>
          <w:rFonts w:ascii="Times New Roman" w:eastAsia="Times New Roman" w:hAnsi="Times New Roman" w:cs="Times New Roman"/>
          <w:sz w:val="24"/>
          <w:szCs w:val="24"/>
          <w:lang w:eastAsia="es-CO"/>
        </w:rPr>
        <w:lastRenderedPageBreak/>
        <w:t>de la adquisición para determinar si un activo intangible reconocible por separado existía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B39 Tras el reconocimiento inicial, una adquirente contabilizará los activos intangibles adquiridos en una combinación de negocios de acuerdo lo dispuesto en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Sin embargo, como se describe en el párrafo 3 de la NIC 38, la contabilidad de algunos activos intangibles adquiridos tras el reconocimiento inicial se prescribe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B40 El criterio de identificabilidad determina si un activo intangible se reconocerá de forma separada de la plusvalía. Sin embargo, el criterio ni proporciona guías sobre la medición del valor razonable de un activo intangible ni restringe los supuestos utilizados para medir el valor razonable de un activo intangible. Por ejemplo, la adquirente tendría en cuenta los supuestos que los participantes del mercado utilizarían al fijar el precio del activo intangible al medir el valor razonable, tales como expectativas de renovaciones de contratos futuros. No es necesario que las renovaciones en sí mismas cumplan los criterios de identificabilidad. (Sin embargo, véase el párrafo 29, que establece una excepción al principio de medición del valor razonable para los derechos readquiridos reconocidos en una combinación de negocios) Los párrafos 36 y 37 de la NIC 38 proporcionan guías para determinar si los activos intangibles deben combinarse en una sola unidad de cuenta con otros activos tangibles o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valor razonable de activos identificables particulares y participaciones no controladoras en una adquirida (aplicación de los párrafos 18 y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con flujos de efectivo inciertos (correcciones valorativas)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 La adquirente no reconocerá por separado una corrección valorativa en la fecha de la adquisición para activos adquiridos en una combinación de negocios que se midan por sus valores razonables en esa fecha porque los efectos de la incertidumbre sobre los flujos de efectivo futuros están incluidos en la medida del valor razonable. Por ejemplo, debido a que esta NIIF requiere que la adquirente mida las cuentas por cobrar adquiridas, incluyendo los préstamos, por su valor razonable en la fecha de la adquisición, la adquirente no reconocerá una corrección valorativa por separado para los flujos de efectivo contractuales que en esa fecha se estimen incobrables.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sujetos a arrendamientos operativos en los que la adquirida es el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B42 Al medir el valor razonable en la fecha de la adquisición de un activo tal como un edificio o una patente que está sujeta a un arrendamiento operativo en el que la adquirida es el arrendador, la adquirente tendrá en cuenta las condiciones del arrendamiento. En otras palabras, la adquirente no reconocerá por separado un activo o un pasivo si las condiciones de un arrendamiento operativo son favorables o desfavorables al compararlas con las condiciones del mercado tal como requiere el párrafo B29 para los arrendamientos en los que la adquirida es la arrendataria.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Activos que la adquirente pretende no utilizar o utilizar en un modo diferente al de otros participantes del mercado utilizarían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 Para proteger su posición competitiva, o por otras razones, la adquirente puede pretender no utilizar de forma activa un activo no financiero adquirido o puede pretender no utilizar el activo de acuerdo con su máximo y mejor uso. Por ejemplo, ese puede ser el caso de un activo intangible de investigación y desarrollo adquirido que la adquirente prevé utilizar de forma defensiva para impedir a otros utilizarlo. No obstante, la adquirente medirá el valor razonable del activo no financiero suponiendo su máximo y mejor uso por los participantes del mercado de acuerdo con la premisa de valoración adecuada, tanto inicialmente, como al medir el valor razonable menos los costos de disposición para pruebas de deterioro de valor posteriores.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no controladora en una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 Esta NIIF permite que la adquirente mida una participación no controladora en una adquirida por su valor razonable en la fecha de la adquisición. Algunas veces una adquirente estará en condiciones de medir el valor razonable en la fecha de la adquisición de una participación no controladora sobre la base de un precio cotizado en un mercado activo para las acciones (es decir, las no poseídas por la adquirente). En otras situaciones, sin embargo, no estará disponible un precio cotizado de mercado activo para las acciones. En estas situaciones, la adquirente debería medir el valor razonable de la participación no controladora utilizando otras técnicas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B45 Los valores razonables de la participación de la adquirente en la adquirida pueden ser diferentes de los de la participación no controladora medidos con relación a cada acción. Probablemente, la principal diferencia sea la inclusión de una prima por control en el valor razonable por acción de la participación de la adquirente en la adquirida o, por el contrario, la introducción de un descuento por la falta de control (también denominado como descuento de participación no controladora) en el valor razonable por acción de la participación no controladora si los participantes del mercado tuvieran en cuenta esta prima o descuento al fijar el precio de la participación no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la plusvalía o de una ganancia procedente de una compra en condiciones muy ventajosas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valor razonable en la fecha de la adquisición de la participación de la adquirente en la adquirida utilizando técnicas de valoración (aplicación del párrafo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B46 Para medir la plusvalía o una ganancia por una compra en condiciones muy ventajosas (véanse los párrafos 32 a 34) en una combinación de negocios llevada a cabo sin la transferencia de una contraprestación, la adquirente debe sustituir el valor razonable en la fecha de la adquisición de su participación en la adquirida por el valor razonable en la fecha de la adquisición de la contraprestación transferida.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Consideraciones especiales en la aplicación del método de la adquisición a combinaciones de entidades mutualistas (aplicación del párrafo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B47 Cuando se combinan dos entidades mutualistas, el valor razonable del patrimonio o de las participaciones de los miembros en la adquirida (o el valor razonable de ésta) pueden ser medibles de forma más fiable que el valor razonable de las participaciones de los miembros transferidas por la adquirente. En esa situación, el párrafo 33 requiere que la adquirente determine el importe de la plusvalía utilizando el valor razonable en la fecha de adquisición de la participación en el patrimonio de la adquirida en lugar del valor razonable en la fecha de adquisición de la participación en el patrimonio de la adquirente transferida como contraprestación. Además, en una combinación de negocios de entidades mutualistas la adquirente reconocerá los activos netos de la adquirida como un aumento directo del capital o patrimonio en su estado de situación financiera, no como un aumento en las ganancias acumuladas, lo que es coherente con la forma en que otros tipos de entidades aplican el método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B48 Aunque las entidades mutualistas son similares en muchos aspectos a otros negocios, tienen características distintas que surgen principalmente de que sus miembros son clientes y propietarios. Los miembros de entidades mutualistas generalmente esperan recibir beneficios de su pertenencia a la entidad, a menudo en forma de tarifas reducidas pagadas por bienes y servicios o de retornos La parte de retornos distribuida a cada miembro se basa a menudo en el importe de negocio que el miembro llevó a cabo con la entidad mutualista durante el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B49 Una medición del valor razonable de una entidad mutualista debería incluir el supuesto de lo que los participantes en el mercado harían sobre los beneficios de los miembros futuros, así como cualesquiera otros supuestos pertinentes que los participantes en el mercado pudieran hacer sobre la entidad mutualista. Por ejemplo, para medir el valor razonable de una entidad mutualista puede utilizarse una técnica de valor presente. Los flujos de efectivo utilizados como datos de entrada para el modelo deben basarse en los flujos de efectivo esperados de la entidad mutualista, que probablemente serán los que reflejen rebajas para beneficio del miembro, tales como el cobro de tarifas reducidas por bienes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Determinación de lo que forma parte de la transacción de combinación de negocios (aplicación de los párrafos 51 y 52)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B50 Para determinar si una transacción es parte del intercambio por la adquirida o es una transacción separada de la combinación de negocios, la adquirente debería considerar los siguientes factores, que no son ni mutuamente excluyentes ni individualmente concluyentes: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b/>
          <w:bCs/>
          <w:sz w:val="24"/>
          <w:szCs w:val="24"/>
          <w:lang w:eastAsia="es-CO"/>
        </w:rPr>
        <w:t>Las razones de la transacción</w:t>
      </w:r>
      <w:r w:rsidRPr="00401DFF">
        <w:rPr>
          <w:rFonts w:ascii="Times New Roman" w:eastAsia="Times New Roman" w:hAnsi="Times New Roman" w:cs="Times New Roman"/>
          <w:sz w:val="24"/>
          <w:szCs w:val="24"/>
          <w:lang w:eastAsia="es-CO"/>
        </w:rPr>
        <w:t xml:space="preserve">—La comprensión de las razones por las que las partes de la combinación (la adquirente y la adquirida y sus propietarios, —directores y administradores— y sus agentes) llevan a cabo una transacción en particular o un acuerdo puede suministrar una visión profunda acerca de si la transacción es parte de la contraprestación transferida y de los activos adquiridos o pasivos asumidos. Por ejemplo, si </w:t>
      </w:r>
      <w:r w:rsidRPr="00401DFF">
        <w:rPr>
          <w:rFonts w:ascii="Times New Roman" w:eastAsia="Times New Roman" w:hAnsi="Times New Roman" w:cs="Times New Roman"/>
          <w:sz w:val="24"/>
          <w:szCs w:val="24"/>
          <w:lang w:eastAsia="es-CO"/>
        </w:rPr>
        <w:lastRenderedPageBreak/>
        <w:t>una transacción se acuerda fundamentalmente en beneficio de la adquirente o de la entidad combinada y no principalmente en beneficio de la adquirida o sus anteriores propietarios antes de la combinación, es poco probable que esa parte del precio de la transacción pagado (y todos los activos o pasivos que guardan relación) sea parte del intercambio por la adquirida. Por consiguiente, la adquirente contabilizaría esa parte de forma separada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b/>
          <w:bCs/>
          <w:sz w:val="24"/>
          <w:szCs w:val="24"/>
          <w:lang w:eastAsia="es-CO"/>
        </w:rPr>
        <w:t>Quién inició la transacción</w:t>
      </w:r>
      <w:r w:rsidRPr="00401DFF">
        <w:rPr>
          <w:rFonts w:ascii="Times New Roman" w:eastAsia="Times New Roman" w:hAnsi="Times New Roman" w:cs="Times New Roman"/>
          <w:sz w:val="24"/>
          <w:szCs w:val="24"/>
          <w:lang w:eastAsia="es-CO"/>
        </w:rPr>
        <w:t>—Comprender quién inició la transacción puede también suministrar una visión profunda acerca de si es parte del intercambio por la adquirida. Por ejemplo, una transacción u otro suceso iniciado por la adquiriente puede haber sido efectuado con el propósito de proporcionar beneficios económicos futuros a la adquirente o a la entidad combinada con poco o ningún beneficio para la adquirida o sus anteriores propietarios antes de la combinación. Por otro lado, es menos probable que una transacción o un acuerdo iniciado por la adquirida o sus anteriores propietarios sea en beneficio de la adquirente o de la entidad combinada y más probable que sea parte de la transacción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b/>
          <w:bCs/>
          <w:sz w:val="24"/>
          <w:szCs w:val="24"/>
          <w:lang w:eastAsia="es-CO"/>
        </w:rPr>
        <w:t>El calendario de la transacción</w:t>
      </w:r>
      <w:r w:rsidRPr="00401DFF">
        <w:rPr>
          <w:rFonts w:ascii="Times New Roman" w:eastAsia="Times New Roman" w:hAnsi="Times New Roman" w:cs="Times New Roman"/>
          <w:sz w:val="24"/>
          <w:szCs w:val="24"/>
          <w:lang w:eastAsia="es-CO"/>
        </w:rPr>
        <w:t>—También el calendario de la transacción puede suministrar una visión profunda acerca de si es parte del intercambio por la adquirida. Por ejemplo, una transacción entre la adquirente y la adquirida que tiene lugar durante las negociaciones de las condiciones de una combinación de negocios puede haber sido llevada a cabo en el marco de la combinación de negocios para proporcionar beneficios a la adquirente o a la entidad combinada. Si así fuera, es probable que la adquirida o sus anteriores propietarios antes de la combinación de negocios reciban un escaso beneficio, o ninguno, procedente de la transacción excepto los que reciban como parte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Cancelación efectiva de una relación preexistente entre la adquirente y la adquirida en una combinación de negocios [aplicación del párrafo 52(a)]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 La adquirente y la adquirida pueden tener una relación que existía antes de que considerasen la combinación de negocios, a la que se hace aquí referencia como una “relación preexistente”. Una relación preexistente entre la adquirente y la adquirida puede ser contractual (por ejemplo, vendedor y cliente o cedente y cesionario de una licencia de explotación) o no contractual (por ejemplo, demandante y demandado).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 Si la combinación de negocios en vigor cancela una relación preexistente, la adquirente reconocerá una ganancia o una pérdida medida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una relación no contractual preexistente (como un pleito),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una relación contractual preexistente, la menor de (i) y (ii):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El importe por el que el contrato sea favorable o desfavorable desde la perspectiva de la adquirente si se compara con las condiciones para transacciones de mercado corrientes de partidas iguales o similares. (Un contrato desfavorable es aquél que lo es en términos de </w:t>
      </w:r>
      <w:r w:rsidRPr="00401DFF">
        <w:rPr>
          <w:rFonts w:ascii="Times New Roman" w:eastAsia="Times New Roman" w:hAnsi="Times New Roman" w:cs="Times New Roman"/>
          <w:sz w:val="24"/>
          <w:szCs w:val="24"/>
          <w:lang w:eastAsia="es-CO"/>
        </w:rPr>
        <w:lastRenderedPageBreak/>
        <w:t>condiciones de mercado corrientes. Los costos inevitables de cumplir con las obligaciones comprometidas, son mayores que los beneficios que se esperan recibir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de cualquier cláusula de cancelación señalada en el contrato de la que pueda disponer la otra parte a quién el contrato le es desfavorable.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(ii) es menor que (i), la diferencia se incluirá como parte de la contabilización de la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importe de la ganancia o pérdida reconocida puede depender en parte de si la adquirente ha reconocido previamente un activo relacionado o pasivo, y la ganancia o pérdida registrada por tanto puede diferir del importe calculado a partir de la aplicación de los requerimientos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B53 Una relación preexistente puede ser un contrato que la adquirente reconoce como un derecho readquirido. Si el contrato incluye condiciones que son favorables o desfavorables si se comparan con precios de transacciones de mercado corriente para partidas iguales o similares, la adquirente reconocerá, de forma separada de la combinación de negocios, una ganancia o pérdida por la cancelación efectiva del contrato medida de acuerdo con el párrafo B52.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de pagos contingentes a empleados o a accionistas que venden [aplicación del párrafo 52(b)]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 Que los acuerdos por pagos contingentes a empleados o a accionistas que venden sean contraprestaciones contingentes en la combinación de negocios o transacciones separadas, dependerá de la naturaleza de los acuerdos. La comprensión de las razones por las que el acuerdo de adquisición incluye una cláusula por pagos contingentes, quién inició el acuerdo y cuándo éste fue efectuado, puede ser útil para evaluar la naturaleza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B55 Cuando no esté claro si un acuerdo sobre pagos a empleados o a accionistas que venden es parte del intercambio por la adquirida o es una transacción separada de la combinación de negocios, la adquirente debería considerar los siguientes indicadores: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Empleo que continúa</w:t>
      </w:r>
      <w:r w:rsidRPr="00401DFF">
        <w:rPr>
          <w:rFonts w:ascii="Times New Roman" w:eastAsia="Times New Roman" w:hAnsi="Times New Roman" w:cs="Times New Roman"/>
          <w:sz w:val="24"/>
          <w:szCs w:val="24"/>
          <w:lang w:eastAsia="es-CO"/>
        </w:rPr>
        <w:t>—Las condiciones del empleo que continúa por parte de accionistas que venden que pasan a ser empleados clave puede ser un indicador de la esencia de una contraprestación contingente. Las condiciones relevantes del empleo que continúa pueden incluirse en un acuerdo con los empleados, en acuerdos de adquisición o en algún otro documento. Un acuerdo de contraprestación contingente en el que se pierde automáticamente el derecho a los pagos si se cesa en el empleo es una remuneración por servicios posterior a la combinación. Los acuerdos en los que los pagos contingentes no se ven afectados por la terminación del empleo pueden indicar que los pagos contingentes son contraprestaciones adicionales y no remuneraciones.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 </w:t>
      </w:r>
      <w:r w:rsidRPr="00401DFF">
        <w:rPr>
          <w:rFonts w:ascii="Times New Roman" w:eastAsia="Times New Roman" w:hAnsi="Times New Roman" w:cs="Times New Roman"/>
          <w:i/>
          <w:iCs/>
          <w:sz w:val="24"/>
          <w:szCs w:val="24"/>
          <w:lang w:eastAsia="es-CO"/>
        </w:rPr>
        <w:t>Duración del empleo que continúa</w:t>
      </w:r>
      <w:r w:rsidRPr="00401DFF">
        <w:rPr>
          <w:rFonts w:ascii="Times New Roman" w:eastAsia="Times New Roman" w:hAnsi="Times New Roman" w:cs="Times New Roman"/>
          <w:sz w:val="24"/>
          <w:szCs w:val="24"/>
          <w:lang w:eastAsia="es-CO"/>
        </w:rPr>
        <w:t>—El hecho de que el periodo de empleo requerido coincida con el periodo del pago contingente o sea mayor que éste, puede indicar que los pagos contingentes son en esencia remuneraciones.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Nivel de remuneración</w:t>
      </w:r>
      <w:r w:rsidRPr="00401DFF">
        <w:rPr>
          <w:rFonts w:ascii="Times New Roman" w:eastAsia="Times New Roman" w:hAnsi="Times New Roman" w:cs="Times New Roman"/>
          <w:sz w:val="24"/>
          <w:szCs w:val="24"/>
          <w:lang w:eastAsia="es-CO"/>
        </w:rPr>
        <w:t>—Situaciones en las que la remuneración del empleado, distinta de los pagos contingentes, se encuentra a un nivel razonable en comparación con la de otros empleados clave de la entidad combinada pueden indicar que los pagos contingentes son una contraprestación adicional y no una remuneración.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Pagos incrementales a los empleados</w:t>
      </w:r>
      <w:r w:rsidRPr="00401DFF">
        <w:rPr>
          <w:rFonts w:ascii="Times New Roman" w:eastAsia="Times New Roman" w:hAnsi="Times New Roman" w:cs="Times New Roman"/>
          <w:sz w:val="24"/>
          <w:szCs w:val="24"/>
          <w:lang w:eastAsia="es-CO"/>
        </w:rPr>
        <w:t>—El hecho de que los accionistas que venden y no pasan a ser empleados reciban pagos contingentes por acción más bajos que los accionistas que venden y pasan a ser empleados de la entidad combinada, puede indicar que el importe en que se incrementan los pagos contingentes a los accionistas que venden y pasan a ser empleados es remuneración.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Número de acciones poseídas</w:t>
      </w:r>
      <w:r w:rsidRPr="00401DFF">
        <w:rPr>
          <w:rFonts w:ascii="Times New Roman" w:eastAsia="Times New Roman" w:hAnsi="Times New Roman" w:cs="Times New Roman"/>
          <w:sz w:val="24"/>
          <w:szCs w:val="24"/>
          <w:lang w:eastAsia="es-CO"/>
        </w:rPr>
        <w:t>—El número relativo de acciones poseídas por los accionistas que venden y permanecen como empleados clave puede ser un indicador de que en esencia se trata de un acuerdo de contraprestación contingente. Por ejemplo, si los accionistas que venden que poseen sustancialmente todas las acciones de la adquirida continúan como empleados clave, ese hecho puede indicar que el acuerdo es, en esencia, un acuerdo de participación en las ganancias que pretende proporcionar una remuneración por servicios posteriores a la combinación. De forma alternativa, si los accionistas que venden y continúan como empleados clave poseían solo un número pequeño de acciones de la adquirida y todos los accionistas que venden reciben el mismo importe por acción de contraprestación contingente, ese hecho puede indicar que los pagos contingentes son contraprestaciones adicionales. También deben considerarse las participaciones en la propiedad anteriores a la adquisición mantenidas por las partes que guardan relación con los accionistas que venden y continúan como empleados clave, tales como miembros de la familia.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w:t>
      </w:r>
      <w:r w:rsidRPr="00401DFF">
        <w:rPr>
          <w:rFonts w:ascii="Times New Roman" w:eastAsia="Times New Roman" w:hAnsi="Times New Roman" w:cs="Times New Roman"/>
          <w:i/>
          <w:iCs/>
          <w:sz w:val="24"/>
          <w:szCs w:val="24"/>
          <w:lang w:eastAsia="es-CO"/>
        </w:rPr>
        <w:t>Conexión con la valoración</w:t>
      </w:r>
      <w:r w:rsidRPr="00401DFF">
        <w:rPr>
          <w:rFonts w:ascii="Times New Roman" w:eastAsia="Times New Roman" w:hAnsi="Times New Roman" w:cs="Times New Roman"/>
          <w:sz w:val="24"/>
          <w:szCs w:val="24"/>
          <w:lang w:eastAsia="es-CO"/>
        </w:rPr>
        <w:t>—Si la contraprestación inicial transferida en la fecha de la adquisición se basa en el extremo inferior de un rango establecido en la valoración de la adquirida y la fórmula contingente está relacionada con ese método de valoración, ese hecho puede sugerir que los pagos contingentes son contraprestaciones adicionales. De forma alternativa, si la fórmula de pago contingente es coherente con acuerdos anteriores de participación en beneficios, ese hecho puede sugerir que en esencia el acuerdo es proporcionar una remuneración.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w:t>
      </w:r>
      <w:r w:rsidRPr="00401DFF">
        <w:rPr>
          <w:rFonts w:ascii="Times New Roman" w:eastAsia="Times New Roman" w:hAnsi="Times New Roman" w:cs="Times New Roman"/>
          <w:i/>
          <w:iCs/>
          <w:sz w:val="24"/>
          <w:szCs w:val="24"/>
          <w:lang w:eastAsia="es-CO"/>
        </w:rPr>
        <w:t>Fórmula para determinar la contraprestación</w:t>
      </w:r>
      <w:r w:rsidRPr="00401DFF">
        <w:rPr>
          <w:rFonts w:ascii="Times New Roman" w:eastAsia="Times New Roman" w:hAnsi="Times New Roman" w:cs="Times New Roman"/>
          <w:sz w:val="24"/>
          <w:szCs w:val="24"/>
          <w:lang w:eastAsia="es-CO"/>
        </w:rPr>
        <w:t>—La fórmula utilizada para determinar el pago contingente puede ser útil para evaluar la esencia del acuerdo. Por ejemplo, el hecho de que un pago contingente se determine sobre la base de un múltiplo de ganancias puede sugerir que la obligación es una contraprestación contingente en la combinación de negocios y que la fórmula trata de establecer o de verificar el valor razonable de la adquirida. Por el contrario, un pago contingente que es un porcentaje especificado de las ganancias puede sugerir que la obligación hacia los empleados es un acuerdo de participación en los beneficios para remunerar a los empleados por servicios prestados.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(h) </w:t>
      </w:r>
      <w:r w:rsidRPr="00401DFF">
        <w:rPr>
          <w:rFonts w:ascii="Times New Roman" w:eastAsia="Times New Roman" w:hAnsi="Times New Roman" w:cs="Times New Roman"/>
          <w:i/>
          <w:iCs/>
          <w:sz w:val="24"/>
          <w:szCs w:val="24"/>
          <w:lang w:eastAsia="es-CO"/>
        </w:rPr>
        <w:t>Otros acuerdos y temas</w:t>
      </w:r>
      <w:r w:rsidRPr="00401DFF">
        <w:rPr>
          <w:rFonts w:ascii="Times New Roman" w:eastAsia="Times New Roman" w:hAnsi="Times New Roman" w:cs="Times New Roman"/>
          <w:sz w:val="24"/>
          <w:szCs w:val="24"/>
          <w:lang w:eastAsia="es-CO"/>
        </w:rPr>
        <w:t>—Las condiciones de otros acuerdos con accionistas que venden (tal como acuerdos de no competencia, contratos pendientes de ejecución, contratos de consultoría y acuerdos de arrendamiento de inmuebles) y el tratamiento de los impuestos a las ganancias de pagos contingentes, pueden indicar que éstos son atribuibles a algo distinto de la contraprestación por la adquirida. Por ejemplo, en conexión con la adquisición, la adquirente puede llevar a cabo un acuerdo de arrendamiento de un inmueble con un accionista que vende y es significativo. Si los pagos especificados en el contrato de arrendamiento están significativamente por debajo del mercado, alguno o todos de los pagos contingentes del arrendador (el accionista que vende) requeridos por un acuerdo separado de pagos contingentes pueden ser, en esencia, pagos por el uso del inmueble arrendado que la adquirente debería reconocer de forma separada en sus estados financieros posteriores a la combinación. Por el contrario, si el contrato de arrendamiento especifica pagos que son coherentes con las condiciones de mercado para el inmueble arrendado, el acuerdo de pagos contingentes al accionista que vende puede ser, en la combinación de negocios, una contraprestación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Incentivos con pagos basados en acciones de la adquirente intercambiados por incentivos poseídos por empleados de la adquirida [aplicación del párrafo 52(b)]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B56 Una adquirente puede intercambiar sus incentivos con pagos basados en acciones</w:t>
      </w:r>
      <w:hyperlink r:id="rId82" w:anchor="bf150ef855ae3124bbea5d2205a3d47a923nf9" w:tgtFrame="_self" w:history="1">
        <w:r w:rsidRPr="00401DFF">
          <w:rPr>
            <w:rFonts w:ascii="Times New Roman" w:eastAsia="Times New Roman" w:hAnsi="Times New Roman" w:cs="Times New Roman"/>
            <w:color w:val="0000FF"/>
            <w:sz w:val="20"/>
            <w:szCs w:val="20"/>
            <w:u w:val="single"/>
            <w:vertAlign w:val="superscript"/>
            <w:lang w:eastAsia="es-CO"/>
          </w:rPr>
          <w:t>(78)</w:t>
        </w:r>
      </w:hyperlink>
      <w:r w:rsidRPr="00401DFF">
        <w:rPr>
          <w:rFonts w:ascii="Times New Roman" w:eastAsia="Times New Roman" w:hAnsi="Times New Roman" w:cs="Times New Roman"/>
          <w:sz w:val="24"/>
          <w:szCs w:val="24"/>
          <w:lang w:eastAsia="es-CO"/>
        </w:rPr>
        <w:t xml:space="preserve"> (incentivos sustitutivos) por incentivos poseídos por los empleados de la adquirida. Los intercambios de opciones sobre acciones u otros incentivos con pagos basados en acciones juntamente con una combinación de negocios se contabilizan como modificaciones de los incentivos con pagos basados en acciones de acuerdo con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Si la adquirente sustituye los incentivos de la adquirida, el total o una parte de la medición basada en el mercado de los incentivos sustitutivos de la adquirente deberá incluirse en la medición de la contraprestación transferida en la combinación de negocios. Los párrafos B57 a B62 proporcionan guías sobre cómo asignar la medición basada en el mercado. Sin embargo, en situaciones, en las que los incentivos de la adquirida expirarían como consecuencia de una combinación de negocios y si la adquirente sustituye esos incentivos cuando no esté obligada de hacerlo, la totalidad de la medición basada en el mercado de los incentivos sustitutivos deberá reconocerse como costo de remuneración en los estados financieros posteriores a la combinación de acuerdo con la NIIF 2. Es decir, ninguna medición basada en el mercado de esos incentivos deberá incluirse en la medición de la contraprestación transferida en la combinación de negocios. La adquirente está obligada a sustituir los incentivos de la adquirida si ésta o sus empleados tienen la capacidad de hacer cumplir la sustitución. Por ejemplo, a efectos de aplicar esta guía, la adquirente está obligada a sustituir los incentivos de la adquirida si la sustitución se requiere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condiciones del acuerdo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condiciones de los incentivos de la adquirida;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leyes o regulaciones aplicables.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B57 Para determinar la parte de un incentivo sustitutivo que es parte de la contraprestación transferida por la adquirida y la porción que es remuneración por un servicio posterior a la combinación, la adquirente medirá los incentivos sustitutivos concedidos por la adquirente y los incentivos de la adquirida en la fecha de la adquisición de acuerdo con la NIIF 2. La parte de la medición (basada en el mercado) del incentivo sustitutivo que sea parte de la contraprestación transferida a cambio de la adquirida igualará la parte del incentivo de la adquirida que es atribuible a un servicio anterior a la combinación.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B58 La parte del incentivo sustitutivo atribuible a un servicio anterior a la combinación es la medición (basada en el mercado) del incentivo de la adquirida multiplicado por la ratio de la parte del periodo de consolidación (irrevocabilidad) de la concesión completado con respecto al periodo mayor entre el de consolidación (irrevocabilidad) de la concesión total y el de consolidación (irrevocabilidad) de la concesión original del incentivo de la adquirida. El periodo de consolidación (irrevocabilidad) de la concesión es el periodo durante el cual deben satisfacerse todas las condiciones de consolidación (irrevocabilidad) de la concesión especificadas. Las condiciones de la irrevocabilidad (consolidación) de la concesión se definen en la NIIF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B59 La parte de un incentivo sustitutivo no irrevocable atribuible a servicios posteriores a la combinación, y por ello reconocido como un costo de remuneración en los estados financieros posteriores a la combinación, es igual a la medición total (basada en el mercado) del incentivo sustitutivo menos el importe atribuido al servicio anterior a la combinación. Por ello, la adquirente atribuirá cualquier exceso de la medición (basada en el mercado) del incentivo sustitutivo sobre la medición (basada en el mercado) del incentivo de la adquirida por un servicio posterior a la combinación y reconocerá ese exceso como costo de remuneración en los estados financieros posteriores a la combinación. Cuando se requiera un servicio posterior a la combinación, la adquirente atribuirá una parte del incentivo sustitutivo a un servicio posterior a la combinación, independientemente de que los empleados hayan prestado todo el servicio que sus incentivos de la adquirida requerían para consolidarlas antes de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B60 Tanto la parte de un incentivo sustitutivo no irrevocable atribuible a un servicio anterior a la combinación como la atribuible al servicio posterior a la combinación, reflejará la mejor estimación disponible del número de incentivos sustitutivas que se espere consolidar. Por ejemplo, si la medición (basada en el mercado) de la parte del incentivo sustitutivo atribuido a un servicio anterior a la combinación es de 100 u.m. y la adquirente espera que se consolide solo el 95 por ciento del incentivo, el importe incluido en la contraprestación transferida en la combinación de negocios será de 95 u.m. Los cambios en el número estimado de incentivos sustitutivos que se espere consolidar se reflejarán en el costo de remuneración para los periodos en los que tengan lugar los cambios o faltas de cumplimiento y no como ajustes a la contraprestación transferida en la combinación de negocios. De forma similar, los efectos de otros sucesos, tales como las modificaciones o el resultado último de los incentivos con condiciones de rendimiento, que tengan lugar después de la fecha de la adquisición se contabilizarán de acuerdo con la NIIF 2 para determinar el costo de la remuneración para el periodo en el que el suceso tenga lugar.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B61 Se aplicarán los mismos requerimientos para determinar la parte de un incentivo sustitutivo atribuible a un servicio anterior y posterior a la combinación independientemente de si un incentivo sustitutivo se clasifica como un pasivo o como un instrumento de patrimonio de acuerdo con las disposiciones de la NIIF 2. Todos los cambios en la medida basada en el mercado de los incentivos clasificados como pasivos después de la fecha de la adquisición y los efectos del impuesto sobre las ganancias relacionados se reconocerán en los estados financieros posteriores a la combinación de la adquirente en el periodo o periodos en los que los cambios ocurran.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B62 Los efectos de los incentivos sustitutivos con pagos basados en acciones sobre el impuesto a las ganancias deberán reconocerse de acuerdo con las disposiciones de la NIC 12 </w:t>
      </w:r>
      <w:r w:rsidRPr="00401DFF">
        <w:rPr>
          <w:rFonts w:ascii="Times New Roman" w:eastAsia="Times New Roman" w:hAnsi="Times New Roman" w:cs="Times New Roman"/>
          <w:i/>
          <w:iCs/>
          <w:sz w:val="24"/>
          <w:szCs w:val="24"/>
          <w:lang w:eastAsia="es-CO"/>
        </w:rPr>
        <w:t>Impuesto a las Ganancias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Transacciones con pagos basados en acciones liquidadas mediante instrumentos de patrimonio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B62A La adquirida puede tener pendientes transacciones con pagos basados en acciones que la adquirente no intercambia por sus transacciones con pagos basados en acciones. Si están consolidados (son irrevocables), esas transacciones con pagos basados en acciones de la adquirida son parte de la participación no controladora en la adquirida y se determinan por su medición basada en el mercado. Si no son irrevocables (no están consolidados), se determinan por su medición basada en el mercado como si la fecha de adquisición fuera la fecha de la concesión de acuerdo con los párrafos 19 y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B62B La medición basada en el mercado de transacciones con pagos basados en acciones no consolidados (no son irrevocables) se asignará a la participación no controladora sobre la base de la ratio de la porción del periodo para la consolidación (irrevocabilidad) de la concesión completado y el mayor entre el periodo para la consolidación (irrevocabilidad) de la concesión total o el periodo para la consolidación (irrevocabilidad) de la concesión original de la transacción con pagos basados en acciones. El saldo se asignará a servicios posteriores a la combinación.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Otras NIIF que proporcionan guías sobre la medición y la contabilización posterior (aplicación del párrafo 54)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B63 Los ejemplos de otras NIIF que proporcionan guías sobre la medición y contabilización posterior de activos adquiridos y de pasivos asumidos o incurridos en una combinación de negocios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 NIC 38 prescribe la contabilización de activos intangibles identificables adquiridos en una combinación de negocios. La adquirente medirá la plusvalía por el importe reconocido en la fecha de la adquisición menos cualquier pérdida por deterioro de valor acumulada. La NIC 36 </w:t>
      </w:r>
      <w:r w:rsidRPr="00401DFF">
        <w:rPr>
          <w:rFonts w:ascii="Times New Roman" w:eastAsia="Times New Roman" w:hAnsi="Times New Roman" w:cs="Times New Roman"/>
          <w:i/>
          <w:iCs/>
          <w:sz w:val="24"/>
          <w:szCs w:val="24"/>
          <w:lang w:eastAsia="es-CO"/>
        </w:rPr>
        <w:t xml:space="preserve">Deterioro de Valor de los Activos </w:t>
      </w:r>
      <w:r w:rsidRPr="00401DFF">
        <w:rPr>
          <w:rFonts w:ascii="Times New Roman" w:eastAsia="Times New Roman" w:hAnsi="Times New Roman" w:cs="Times New Roman"/>
          <w:sz w:val="24"/>
          <w:szCs w:val="24"/>
          <w:lang w:eastAsia="es-CO"/>
        </w:rPr>
        <w:t>prescribe la contabilización de pérdidas por deterioro de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xml:space="preserve"> proporciona guías sobre la contabilización posterior de un contrato de seguro adquirido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La NIC 12 prescribe la contabilización posterior de activos por impuestos diferidos (incluyendo los no reconocidos) y de pasivos adquiridos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NIIF 2 proporciona guías sobre la medición y contabilización posterior de la parte de incentivos con pagos basados en acciones sustitutivos emitidos por una adquirente y atribuible a servicios futuros de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NIIF 10 proporciona guías sobre la contabilización de los cambios en la participación de una controladora en una subsidiaria después de la obtención del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(aplicación de los párrafos 59 a 61)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B64 Para cumplir el objetivo del párrafo 59, la adquirente revelará la siguiente información para cada combinación de negocios que ocurra durante el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nombre y una descripción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fecha de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porcentaje de participaciones en el patrimonio con derecho a voto adquirido.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razones principales para la combinación de negocios y una descripción de la forma en que la adquirente obtuvo el control de la adquirida.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descripción cualitativa de los factores que constituyen la plusvalía reconocida, tales como sinergias esperadas de las operaciones combinadas de la adquirida y la adquirente, activos intangibles que no cumplen las condiciones para su reconocimiento por separado u otros factores.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El valor razonable en la fecha de adquisición del total de la contraprestación transferida y el valor razonable en la fecha de adquisición de cada clase principal de contraprestación, tales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otros activos tangibles o intangibles, incluyendo un negocio o una subsidiaria de la adquirente;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pasivos incurridos, por ejemplo, un pasivo por contraprestación contingente;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participaciones en el patrimonio de la adquirente, incluyendo el número de instrumentos o participaciones emitidas o a emitir y el método de medición del valor razonable de esos instrumentos o participaciones.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Para los acuerdos por contraprestaciones contingentes y los activos de indemnización: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el importe reconocido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una descripción de los acuerdos y la base para determinar el importe del pago;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una estimación del rango de resultados (sin descontar) o, si éste no puede estimarse, la revelación de esa circunstancia y de las razones por las que no puede estimarse. Si el importe máximo del pago es ilimitado, la adquirente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Para las cuentas por cobrar adquiridas: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valor razonable de las cuentas por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importes contractuales brutos por cobrar;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mejor estimación en la fecha de la adquisición de los flujos de efectivos contractuales que no se espera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información a revelar deberá proporcionarse por clase principal de cuenta por cobrar, tales como, préstamos, arrendamientos financieros directos y cualquier otra clase de cuentas por cobrar.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importes reconocidos a partir de la fecha de la adquisición para cada clase principal de activos adquiridos y pasivos asumidos.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(j) Para cada pasivo contingente reconocido de acuerdo con el párrafo 23, la información requerida en el párrafo 85 de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Cuando un pasivo contingente no se reconozca porque su valor razonable no puede medirse con fiabilidad, la adquirente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información requerida por el párrafo 86 de la NIC 37;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razones por las que el pasivo no puede medirse con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(k) El importe total de la plusvalía que se espera que sea deducible para propósitos fiscales.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 Para las transacciones que se reconozcan de forma separada de la adquisición de activos y de la asunción de pasivos en la combinación de negocios de acuerdo con el párrafo 51: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descripción de cada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forma en que la adquirente contabilizó cada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importe reconocido para cada transacción y la partida de los estados financieros en que se reconoce cada importe;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(iv) cuando la transacción sea la liquidación efectiva de una relación preexistente, el método utilizado para determinar el importe de dicha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 La información sobre transacciones reconocidas requeridas por (l) incluirá el importe de los costos relacionados con la adquisición y, de forma separada, el importe de esos costos reconocidos como un gasto y la partida o partidas del estado del resultado integral en el que se reconocen esos gastos. También deberá revelarse el importe de cualquier costo de emisión no reconocido como un gasto y la forma en que fueron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 En una compra en condiciones muy ventajosas (véanse los párrafos 34 a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importe de cualquier ganancia reconocida de acuerdo con el párrafo 34 y la partida del estado del resultado integral en el que se la ha reconocido;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una descripción de las razones por las que la transacción ocasionó una ganancia.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 Para cada combinación de negocios en las que la adquirente mantenga menos del 100 por cien de las participaciones en el patrimonio de la adquirida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importe de la participación no controladora en la adquirida reconocido en la fecha de la adquisición y la base de medición aplicada a ese importe;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para cada participación no controladora en una adquirida medida a valor razonable, las técnicas de valoración y datos de entrada significativos utilizados para medir ese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 En una combinación de negocios realizada por etapas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valor razonable en la fecha de la adquisición de las participaciones en el patrimonio en la adquirida mantenidas por la adquirente inmediatamente antes de la fecha de la adquisición;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de cualquier ganancia o pérdida reconocida procedente de la nueva medición a valor razonable de la participación en el patrimonio de la adquirida mantenida por la adquirente antes de la combinación de negocios (véase el párrafo 42) y la partida del estado del resultado integral en la que está reconocida esa ganancia o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importes de ingresos de actividades ordinarias y resultados de la adquirida desde la fecha de la adquisición incluidos en el estado consolidado del resultado integral para 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 el ingreso de actividades ordinarias y el resultado de la entidad combinada para el periodo corriente sobre el que se informa, como si la fecha de adquisición para todas las </w:t>
      </w:r>
      <w:r w:rsidRPr="00401DFF">
        <w:rPr>
          <w:rFonts w:ascii="Times New Roman" w:eastAsia="Times New Roman" w:hAnsi="Times New Roman" w:cs="Times New Roman"/>
          <w:sz w:val="24"/>
          <w:szCs w:val="24"/>
          <w:lang w:eastAsia="es-CO"/>
        </w:rPr>
        <w:lastRenderedPageBreak/>
        <w:t>combinaciones de negocios que tuvieron lugar durante el año se hubieran producido al comienzo del periodo anual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Cuando la revelación de cualquiera de las informaciones requeridas por este subpárrafo sea impracticable, la adquirente revelará ese hecho y explicará por qué la revelación es impracticable. Esta NIIF utiliza el término “impracticable” con el mismo significado que en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B65 Para las combinaciones de negocios ocurridas durante el periodo contable que individualmente no sean significativas pero que en conjunto lo sean, la adquirente revelará la información requerida en el párrafo B64(e) a (q) de forma agregada.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B66 Cuando la fecha de adquisición de una combinación de negocios sea posterior al final del periodo contable pero anterior a la autorización para emisión de los estados financieros, la adquirente revelará la información requerida por el párrafo B64, a menos que la contabilización inicial de la combinación de negocios esté incompleta en el momento en que los estados financieros se autoricen para su emisión. En esa situación, la adquirente describirá qué información a revelar no puede facilitarse y las razones por las que no es posible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B67 Para cumplir el objetivo del párrafo 61, la adquirente revelará la siguiente información para cada combinación de negocios significativa o para las combinaciones de negocios individualmente poco importantes que consideradas conjuntamente tengan importancia relativa: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la contabilización inicial de una combinación de negocios esté incompleta (véase el párrafo 45) para activos, pasivos, participaciones no controladoras o partidas de contraprestación concretos y, por consiguiente, los importes reconocidos en los estados financieros de la combinación de negocios hayan sido determinados solo provisionalmente: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razones por las que la contabilización inicial de la combinación de negocios está incompleta;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activos, pasivos, participaciones en el patrimonio o partidas de contraprestación cuya contabilización inicial esté incompleta;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naturaleza y el importe de todos los ajustes del periodo de medición reconocidos durante el periodo contable de acuerdo con el párrafo 49.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cada periodo contable posterior a la fecha de la adquisición hasta que la entidad cobre, venda o pierda de cualquier otra forma el derecho a un activo de contraprestación contingente, o hasta que la entidad liquide un pasivo de contraprestación contingente o se cancele el pasivo o expire: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cualquier cambio en los importes reconocidos, incluyendo cualquier diferencia que surja en la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cualquier cambio en el rango de resultados (no descontados) y las razones de esos cambios;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técnicas de valoración y los insumos del modelo claves utilizados para medir la contraprestación contingente.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los pasivos contingentes reconocidos en una combinación de negocios, la adquirente revelará la información requerida en los párrafos 84 y 85 de la NIC 37 para cada clase de provisión.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conciliación entre los valores en libros de la plusvalía al principio y al final del periodo, mostrando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importe bruto y las pérdidas por deterioro de valor acumuladas al principio del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 La plusvalía adicional reconocida durante el periodo contable, con excepción de la plusvalía incluida en un grupo de activos para su disposición que, en el momento de la adquisición, cumpla los criterios para ser clasificado como mantenido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Los ajustes que procedan del reconocimiento posterior de activos por impuestos diferidos durante el periodo contable, de acuerdo con el párrafo 67.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La plusvalía incluida en un grupo de activos para su disposición clasificado como mantenido para la venta, de acuerdo con la NIIF 5, y la plusvalía dada de baja durante el periodo contable sin que hubiera sido incluida previamente en un grupo de activos para su disposición clasificado como mantenido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Las pérdidas por deterioro de valor reconocidas durante el periodo contable, de acuerdo con la NIC 36. (Ésta requiere, adicionalmente, la revelación de información sobre el importe recuperable y el deterioro de valor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Las diferencias de cambio netas que surjan durante el periodo contable, de acuerdo con la NIC 21</w:t>
      </w:r>
      <w:r w:rsidRPr="00401DFF">
        <w:rPr>
          <w:rFonts w:ascii="Times New Roman" w:eastAsia="Times New Roman" w:hAnsi="Times New Roman" w:cs="Times New Roman"/>
          <w:i/>
          <w:iCs/>
          <w:sz w:val="24"/>
          <w:szCs w:val="24"/>
          <w:lang w:eastAsia="es-CO"/>
        </w:rPr>
        <w:t xml:space="preserve"> Efectos de las Variaciones en las Tasas de Cambio de la Moneda Extranjera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Cualesquiera otros cambios en el importe en libros durante el periodo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(viii) El importe bruto y las pérdidas por deterioro del valor acumuladas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y una explicación sobre cualquier ganancia o pérdida reconocida en el periodo corriente sobre el que se informa,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guarde relación con los activos identificables adquiridos o con los pasivos asumidos en una combinación de negocios que haya sido efectuada en el periodo corriente sobre el que se informa o en uno anterior;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sea de tal magnitud, naturaleza o repercusión que su revelación sea relevante para la comprensión de los estados financieros de la entidad combinada.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 para combinaciones de negocios que involucren únicamente a entidades mutualistas o para las realizadas solo mediante un contrato (aplicación del párrafo 66)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B68 El párrafo 64 dispone que esta NIIF se aplicará prospectivamente a las combinaciones de negocios en las que la fecha de adquisición sea a partir del comienzo del primer periodo anual sobre el que se informe que comience a partir del 1 de julio de 2009. Se permite su aplicación anticipada. Sin embargo, una entidad aplicará esta NIIF solo al comienzo de un periodo anual sobre el que se informe que comience a partir del 30 de junio de 2007. Si una entidad aplica esta NIIF antes de su fecha efectiva, revelará este hecho y aplicará la NIC 27 (modificada en 2008) al mismo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B69 El requerimiento de aplicar esta NIIF prospectivamente tiene el siguiente efecto sobre una combinación de negocios que comprenda únicamente entidades mutualistas o que haya sido realizada solo mediante un contrato si la fecha de adquisición de esa combinación de negocios es anterior de la aplicación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Clasificación</w:t>
      </w:r>
      <w:r w:rsidRPr="00401DFF">
        <w:rPr>
          <w:rFonts w:ascii="Times New Roman" w:eastAsia="Times New Roman" w:hAnsi="Times New Roman" w:cs="Times New Roman"/>
          <w:sz w:val="24"/>
          <w:szCs w:val="24"/>
          <w:lang w:eastAsia="es-CO"/>
        </w:rPr>
        <w:t>—Una entidad continuará clasificando la combinación de negocios anterior de acuerdo con las políticas contables anteriores de la entidad para estas combinaciones.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Plusvalía anteriormente reconocida</w:t>
      </w:r>
      <w:r w:rsidRPr="00401DFF">
        <w:rPr>
          <w:rFonts w:ascii="Times New Roman" w:eastAsia="Times New Roman" w:hAnsi="Times New Roman" w:cs="Times New Roman"/>
          <w:sz w:val="24"/>
          <w:szCs w:val="24"/>
          <w:lang w:eastAsia="es-CO"/>
        </w:rPr>
        <w:t>—Al comienzo del primer periodo anual en el que se aplique esta NIIF, el importe en libros de la plusvalía que surja de la combinación de negocios anterior será su importe en libros en esa fecha de acuerdo con las políticas contables anteriores de la entidad. Para determinar ese importe, la entidad eliminará el importe en libros de toda amortización acumulada de esa plusvalía y la correspondiente disminución en ésta. No deberá realizarse ningún otro ajuste al importe en libros de la plusvalía.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Plusvalía anteriormente reconocida como una reducción del patrimonio</w:t>
      </w:r>
      <w:r w:rsidRPr="00401DFF">
        <w:rPr>
          <w:rFonts w:ascii="Times New Roman" w:eastAsia="Times New Roman" w:hAnsi="Times New Roman" w:cs="Times New Roman"/>
          <w:sz w:val="24"/>
          <w:szCs w:val="24"/>
          <w:lang w:eastAsia="es-CO"/>
        </w:rPr>
        <w:t>—Las políticas contables anteriores de la entidad pueden dar lugar a una plusvalía que surja de la combinación de negocios anterior siendo reconocida como una reducción del patrimonio. En esa situación, la entidad no reconocerá esa plusvalía como un activo al comienzo del primer periodo anual en el que se aplique esta NIIF. Además, la entidad no reconocerá en resultados parte alguna de esa plusvalía si dispone del negocio con el que está relacionada esa plusvalía (o de parte de él) o cuando una unidad generadora de efectivo con la que esa plusvalía esté relacionada pase a tener un deterioro de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Contabilización posterior de la plusvalía</w:t>
      </w:r>
      <w:r w:rsidRPr="00401DFF">
        <w:rPr>
          <w:rFonts w:ascii="Times New Roman" w:eastAsia="Times New Roman" w:hAnsi="Times New Roman" w:cs="Times New Roman"/>
          <w:sz w:val="24"/>
          <w:szCs w:val="24"/>
          <w:lang w:eastAsia="es-CO"/>
        </w:rPr>
        <w:t xml:space="preserve">—Desde el comienzo del primer periodo anual en el que se aplique esta NIIF, una entidad dejará de amortizar la plusvalía que surja de la </w:t>
      </w:r>
      <w:r w:rsidRPr="00401DFF">
        <w:rPr>
          <w:rFonts w:ascii="Times New Roman" w:eastAsia="Times New Roman" w:hAnsi="Times New Roman" w:cs="Times New Roman"/>
          <w:sz w:val="24"/>
          <w:szCs w:val="24"/>
          <w:lang w:eastAsia="es-CO"/>
        </w:rPr>
        <w:lastRenderedPageBreak/>
        <w:t>combinación de negocios anterior y realizará la prueba de su deterioro de valor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Plusvalía negativa anteriormente reconocida</w:t>
      </w:r>
      <w:r w:rsidRPr="00401DFF">
        <w:rPr>
          <w:rFonts w:ascii="Times New Roman" w:eastAsia="Times New Roman" w:hAnsi="Times New Roman" w:cs="Times New Roman"/>
          <w:sz w:val="24"/>
          <w:szCs w:val="24"/>
          <w:lang w:eastAsia="es-CO"/>
        </w:rPr>
        <w:t>—Una entidad que contabilizó la combinación de negocios anterior aplicando el también conocido anteriormente como el método de la adquisición puede haber reconocido un crédito diferido por un exceso en su participación en el valor razonable neto de los activos identificables de la adquirida y pasivos sobre el costo de esa participación (algunas veces llamada plusvalía negativa). Si así fuese, la entidad dará de baja en cuentas el importe en libros de ese crédito diferido al comienzo del primer periodo anual en el que se aplique esta NIIF con un ajuste correspondiente en el saldo de apertura de las ganancias acumuladas en esa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(77) El </w:t>
      </w:r>
      <w:r w:rsidRPr="00401DFF">
        <w:rPr>
          <w:rFonts w:ascii="Times New Roman" w:eastAsia="Times New Roman" w:hAnsi="Times New Roman" w:cs="Times New Roman"/>
          <w:i/>
          <w:iCs/>
          <w:sz w:val="24"/>
          <w:szCs w:val="24"/>
          <w:lang w:eastAsia="es-CO"/>
        </w:rPr>
        <w:t>Marco Conceptual para la Preparación y Presentación de los Estados Financieros</w:t>
      </w:r>
      <w:r w:rsidRPr="00401DFF">
        <w:rPr>
          <w:rFonts w:ascii="Times New Roman" w:eastAsia="Times New Roman" w:hAnsi="Times New Roman" w:cs="Times New Roman"/>
          <w:sz w:val="24"/>
          <w:szCs w:val="24"/>
          <w:lang w:eastAsia="es-CO"/>
        </w:rPr>
        <w:t xml:space="preserve"> del IASC se adoptó por el IASB en 2001. En septiembre de 2010 el IASB sustituyó 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En los párrafos B56 a B62 el término “incentivos con pagos basados en acciones” se refiere a transacciones con pagos basados en acciones consolidadas (irrevocables) o no consolidadas (no son irrevocables).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El objetivo de esta NIIF consiste en especificar la información financiera que debe ofrecer, sobre los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xml:space="preserve"> la entidad emisora de dichos contratos (que en esta NIIF se denomina </w:t>
      </w:r>
      <w:r w:rsidRPr="00401DFF">
        <w:rPr>
          <w:rFonts w:ascii="Times New Roman" w:eastAsia="Times New Roman" w:hAnsi="Times New Roman" w:cs="Times New Roman"/>
          <w:i/>
          <w:iCs/>
          <w:sz w:val="24"/>
          <w:szCs w:val="24"/>
          <w:lang w:eastAsia="es-CO"/>
        </w:rPr>
        <w:t>aseguradora),</w:t>
      </w:r>
      <w:r w:rsidRPr="00401DFF">
        <w:rPr>
          <w:rFonts w:ascii="Times New Roman" w:eastAsia="Times New Roman" w:hAnsi="Times New Roman" w:cs="Times New Roman"/>
          <w:sz w:val="24"/>
          <w:szCs w:val="24"/>
          <w:lang w:eastAsia="es-CO"/>
        </w:rPr>
        <w:t xml:space="preserve"> hasta que el Consejo complete la segunda fase de su proyecto sobre contratos de seguro. En particular, esta NIIF requiere: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Realizar un conjunto de mejoras limitadas en la contabilización de los contratos de seguro por parte de las aseguradoras.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Revelar información que identifique y explique los importes de los contratos de seguro en los estados financieros de la aseguradora, y que ayude a los usuarios de dichos estados a comprender el importe, calendario e incertidumbre de los flujos de efectivo futuros procedentes de dichos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Una entidad aplicará esta NIIF a 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Contratos de seguro (incluyendo también los </w:t>
      </w:r>
      <w:r w:rsidRPr="00401DFF">
        <w:rPr>
          <w:rFonts w:ascii="Times New Roman" w:eastAsia="Times New Roman" w:hAnsi="Times New Roman" w:cs="Times New Roman"/>
          <w:i/>
          <w:iCs/>
          <w:sz w:val="24"/>
          <w:szCs w:val="24"/>
          <w:lang w:eastAsia="es-CO"/>
        </w:rPr>
        <w:t>contratos de reaseguro)</w:t>
      </w:r>
      <w:r w:rsidRPr="00401DFF">
        <w:rPr>
          <w:rFonts w:ascii="Times New Roman" w:eastAsia="Times New Roman" w:hAnsi="Times New Roman" w:cs="Times New Roman"/>
          <w:sz w:val="24"/>
          <w:szCs w:val="24"/>
          <w:lang w:eastAsia="es-CO"/>
        </w:rPr>
        <w:t xml:space="preserve"> que emita y a los contratos de reaseguro de los que sea tenedora.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 Instrumentos financieros que emita con un </w:t>
      </w:r>
      <w:r w:rsidRPr="00401DFF">
        <w:rPr>
          <w:rFonts w:ascii="Times New Roman" w:eastAsia="Times New Roman" w:hAnsi="Times New Roman" w:cs="Times New Roman"/>
          <w:i/>
          <w:iCs/>
          <w:sz w:val="24"/>
          <w:szCs w:val="24"/>
          <w:lang w:eastAsia="es-CO"/>
        </w:rPr>
        <w:t>componente de participación discrecional</w:t>
      </w:r>
      <w:r w:rsidRPr="00401DFF">
        <w:rPr>
          <w:rFonts w:ascii="Times New Roman" w:eastAsia="Times New Roman" w:hAnsi="Times New Roman" w:cs="Times New Roman"/>
          <w:sz w:val="24"/>
          <w:szCs w:val="24"/>
          <w:lang w:eastAsia="es-CO"/>
        </w:rPr>
        <w:t xml:space="preserve"> (véase el párrafo 35). La NIIF 7 </w:t>
      </w:r>
      <w:r w:rsidRPr="00401DFF">
        <w:rPr>
          <w:rFonts w:ascii="Times New Roman" w:eastAsia="Times New Roman" w:hAnsi="Times New Roman" w:cs="Times New Roman"/>
          <w:i/>
          <w:iCs/>
          <w:sz w:val="24"/>
          <w:szCs w:val="24"/>
          <w:lang w:eastAsia="es-CO"/>
        </w:rPr>
        <w:t>Instrumentos Financieros: Información a Revelar</w:t>
      </w:r>
      <w:r w:rsidRPr="00401DFF">
        <w:rPr>
          <w:rFonts w:ascii="Times New Roman" w:eastAsia="Times New Roman" w:hAnsi="Times New Roman" w:cs="Times New Roman"/>
          <w:sz w:val="24"/>
          <w:szCs w:val="24"/>
          <w:lang w:eastAsia="es-CO"/>
        </w:rPr>
        <w:t xml:space="preserve"> requiere revelar información sobre los instrumentos financieros, incluyendo los instrumentos financieros que contengan esta característica.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NIIF no aborda otros aspectos contables de las aseguradoras, tales como la contabilización de los activos financieros que sean propiedad de entidades aseguradoras y de los pasivos financieros emitidos por aseguradoras (véanse la NIC 32 </w:t>
      </w:r>
      <w:r w:rsidRPr="00401DFF">
        <w:rPr>
          <w:rFonts w:ascii="Times New Roman" w:eastAsia="Times New Roman" w:hAnsi="Times New Roman" w:cs="Times New Roman"/>
          <w:i/>
          <w:iCs/>
          <w:sz w:val="24"/>
          <w:szCs w:val="24"/>
          <w:lang w:eastAsia="es-CO"/>
        </w:rPr>
        <w:t>Instrumentos Financieros: Presentación,</w:t>
      </w:r>
      <w:r w:rsidRPr="00401DFF">
        <w:rPr>
          <w:rFonts w:ascii="Times New Roman" w:eastAsia="Times New Roman" w:hAnsi="Times New Roman" w:cs="Times New Roman"/>
          <w:sz w:val="24"/>
          <w:szCs w:val="24"/>
          <w:lang w:eastAsia="es-CO"/>
        </w:rPr>
        <w:t xml:space="preserv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la NIIF 7 y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salvo por lo establecido en las disposiciones transitorias del párrafo 45.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Una entidad no aplicará esta NIIF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Las garantías de productos emitidas directamente por el fabricante, el mayorista o el minorista (véase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xml:space="preserve"> y la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activos y los pasivos de los empleadores que se deriven de los planes de beneficios definidos (véanse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y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xml:space="preserve"> ni a las obligaciones de beneficios por retiro presentadas que proceden de los planes de beneficios definidos (véase la NIC 26 </w:t>
      </w:r>
      <w:r w:rsidRPr="00401DFF">
        <w:rPr>
          <w:rFonts w:ascii="Times New Roman" w:eastAsia="Times New Roman" w:hAnsi="Times New Roman" w:cs="Times New Roman"/>
          <w:i/>
          <w:iCs/>
          <w:sz w:val="24"/>
          <w:szCs w:val="24"/>
          <w:lang w:eastAsia="es-CO"/>
        </w:rPr>
        <w:t>Contabilización e Información Financiera sobre Planes de Prestaciones por Retiro).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derechos contractuales y las obligaciones contractuales de tipo contingente, que dependan del uso futuro, o del derecho al uso, de una partida no financiera (por ejemplo de algunas cuotas por licencia, regalías, cuotas contingentes en arrendamientos y otras partidas similares), así como el valor residual garantizado para el arrendatario que se incluye en un contrato de arrendamiento financiero (véanse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 xml:space="preserve">Ingresos de Actividades Ordinarias </w:t>
      </w:r>
      <w:r w:rsidRPr="00401DFF">
        <w:rPr>
          <w:rFonts w:ascii="Times New Roman" w:eastAsia="Times New Roman" w:hAnsi="Times New Roman" w:cs="Times New Roman"/>
          <w:sz w:val="24"/>
          <w:szCs w:val="24"/>
          <w:lang w:eastAsia="es-CO"/>
        </w:rPr>
        <w:t>y la NIC 38</w:t>
      </w:r>
      <w:r w:rsidRPr="00401DFF">
        <w:rPr>
          <w:rFonts w:ascii="Times New Roman" w:eastAsia="Times New Roman" w:hAnsi="Times New Roman" w:cs="Times New Roman"/>
          <w:i/>
          <w:iCs/>
          <w:sz w:val="24"/>
          <w:szCs w:val="24"/>
          <w:lang w:eastAsia="es-CO"/>
        </w:rPr>
        <w:t xml:space="preserve">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contratos de garantía financiera, a menos que el emisor haya manifestado previa y explícitamente que considera a tales contratos como de seguro y que ha utilizado la contabilidad aplicable a los contratos de seguro, en cuyo caso el emisor podrá optar entre aplicar la NIC 32, la NIIF 7 y la NIIF 9 o esta NIIF a dichos contratos de garantía financiera. El emisor podrá efectuar la elección contrato por contrato, pero la elección que haga para cada contrato será irrevocable.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La contraprestación contingente, a pagar o cobrar en una combinación de negocios (véase la NIIF 3 </w:t>
      </w:r>
      <w:r w:rsidRPr="00401DFF">
        <w:rPr>
          <w:rFonts w:ascii="Times New Roman" w:eastAsia="Times New Roman" w:hAnsi="Times New Roman" w:cs="Times New Roman"/>
          <w:i/>
          <w:iCs/>
          <w:sz w:val="24"/>
          <w:szCs w:val="24"/>
          <w:lang w:eastAsia="es-CO"/>
        </w:rPr>
        <w:t>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Los </w:t>
      </w:r>
      <w:r w:rsidRPr="00401DFF">
        <w:rPr>
          <w:rFonts w:ascii="Times New Roman" w:eastAsia="Times New Roman" w:hAnsi="Times New Roman" w:cs="Times New Roman"/>
          <w:i/>
          <w:iCs/>
          <w:sz w:val="24"/>
          <w:szCs w:val="24"/>
          <w:lang w:eastAsia="es-CO"/>
        </w:rPr>
        <w:t>contratos de seguro directo</w:t>
      </w:r>
      <w:r w:rsidRPr="00401DFF">
        <w:rPr>
          <w:rFonts w:ascii="Times New Roman" w:eastAsia="Times New Roman" w:hAnsi="Times New Roman" w:cs="Times New Roman"/>
          <w:sz w:val="24"/>
          <w:szCs w:val="24"/>
          <w:lang w:eastAsia="es-CO"/>
        </w:rPr>
        <w:t xml:space="preserve"> que la entidad tiene (los contratos de seguro directo donde la entidad es la </w:t>
      </w:r>
      <w:r w:rsidRPr="00401DFF">
        <w:rPr>
          <w:rFonts w:ascii="Times New Roman" w:eastAsia="Times New Roman" w:hAnsi="Times New Roman" w:cs="Times New Roman"/>
          <w:i/>
          <w:iCs/>
          <w:sz w:val="24"/>
          <w:szCs w:val="24"/>
          <w:lang w:eastAsia="es-CO"/>
        </w:rPr>
        <w:t>tenedora del seguro).</w:t>
      </w:r>
      <w:r w:rsidRPr="00401DFF">
        <w:rPr>
          <w:rFonts w:ascii="Times New Roman" w:eastAsia="Times New Roman" w:hAnsi="Times New Roman" w:cs="Times New Roman"/>
          <w:sz w:val="24"/>
          <w:szCs w:val="24"/>
          <w:lang w:eastAsia="es-CO"/>
        </w:rPr>
        <w:t xml:space="preserve"> No obstante, el </w:t>
      </w:r>
      <w:r w:rsidRPr="00401DFF">
        <w:rPr>
          <w:rFonts w:ascii="Times New Roman" w:eastAsia="Times New Roman" w:hAnsi="Times New Roman" w:cs="Times New Roman"/>
          <w:i/>
          <w:iCs/>
          <w:sz w:val="24"/>
          <w:szCs w:val="24"/>
          <w:lang w:eastAsia="es-CO"/>
        </w:rPr>
        <w:t xml:space="preserve">cedente </w:t>
      </w:r>
      <w:r w:rsidRPr="00401DFF">
        <w:rPr>
          <w:rFonts w:ascii="Times New Roman" w:eastAsia="Times New Roman" w:hAnsi="Times New Roman" w:cs="Times New Roman"/>
          <w:sz w:val="24"/>
          <w:szCs w:val="24"/>
          <w:lang w:eastAsia="es-CO"/>
        </w:rPr>
        <w:t>aplicará esta NIIF a los contratos de reaseguro de los que sea tenedor.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 Para facilitar las referencias, esta NIIF denomina aseguradora a toda entidad que emita un contrato de seguro, con independencia de que dicha entidad se considere aseguradora a efectos legales o de supervisión.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Un contrato de reaseguro es un tipo de contrato de seguro. De acuerdo con ello, todas las referencias que se hacen a los contratos de seguro, en esta NIIF, son aplicables también a los contratos de reaseguro.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La NIIF 9 requiere que una entidad separe algunos derivados implícitos de sus contratos anfitriones, los mida por su </w:t>
      </w:r>
      <w:r w:rsidRPr="00401DFF">
        <w:rPr>
          <w:rFonts w:ascii="Times New Roman" w:eastAsia="Times New Roman" w:hAnsi="Times New Roman" w:cs="Times New Roman"/>
          <w:i/>
          <w:iCs/>
          <w:sz w:val="24"/>
          <w:szCs w:val="24"/>
          <w:lang w:eastAsia="es-CO"/>
        </w:rPr>
        <w:t>valor razonable,</w:t>
      </w:r>
      <w:r w:rsidRPr="00401DFF">
        <w:rPr>
          <w:rFonts w:ascii="Times New Roman" w:eastAsia="Times New Roman" w:hAnsi="Times New Roman" w:cs="Times New Roman"/>
          <w:sz w:val="24"/>
          <w:szCs w:val="24"/>
          <w:lang w:eastAsia="es-CO"/>
        </w:rPr>
        <w:t xml:space="preserve"> e incluya los cambios en su valor razonable en el resultado del periodo. La NIIF 9 será también aplicable a los derivados implícitos en un contrato de seguro, a menos que el derivado implícito sea en sí mismo un contrato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Como excepción al requerimiento establecido en la NIIF 9, la aseguradora no precisará separar, ni medir por su valor razonable, la opción que el tenedor del seguro tenga para rescatar el contrato de seguro por una cantidad fija (o por un importe basado en una cantidad fija más una tasa de interés), incluso aunque el precio de ejercicio sea diferente del importe en libros del </w:t>
      </w:r>
      <w:r w:rsidRPr="00401DFF">
        <w:rPr>
          <w:rFonts w:ascii="Times New Roman" w:eastAsia="Times New Roman" w:hAnsi="Times New Roman" w:cs="Times New Roman"/>
          <w:i/>
          <w:iCs/>
          <w:sz w:val="24"/>
          <w:szCs w:val="24"/>
          <w:lang w:eastAsia="es-CO"/>
        </w:rPr>
        <w:t>pasivo por contratos de seguro</w:t>
      </w:r>
      <w:r w:rsidRPr="00401DFF">
        <w:rPr>
          <w:rFonts w:ascii="Times New Roman" w:eastAsia="Times New Roman" w:hAnsi="Times New Roman" w:cs="Times New Roman"/>
          <w:sz w:val="24"/>
          <w:szCs w:val="24"/>
          <w:lang w:eastAsia="es-CO"/>
        </w:rPr>
        <w:t xml:space="preserve"> del contrato anfitrión. No obstante, el requerimiento de la NIIF 9 será de aplicación a una opción de venta o a una opción para rescatar en efectivo, que estén implícitas en un contrato de seguro, siempre que el valor de rescate varíe en función del cambio en una variable financiera (como un precio o índice de precios de acciones o materias primas cotizadas), o del cambio en una variable no financiera que no sea específico para una de las partes del contrato. Además, esos requerimientos también se aplicarán si la posibilidad del tenedor de ejercitar la opción de venta, o la opción para rescatar en efectivo, se activa cuando ocurre un cambio en esa variable (por ejemplo, una opción de venta que puede ejercitarse si un determinado índice bursátil alcanza un valor prefijado).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El párrafo 8 será igualmente de aplicación a las opciones para rescatar un instrumento financiero que contenga un componente de participación discrecional.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Disociación de los componentes de depósito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Algunos contratos de seguro contienen tanto un componente de seguro como un </w:t>
      </w:r>
      <w:r w:rsidRPr="00401DFF">
        <w:rPr>
          <w:rFonts w:ascii="Times New Roman" w:eastAsia="Times New Roman" w:hAnsi="Times New Roman" w:cs="Times New Roman"/>
          <w:i/>
          <w:iCs/>
          <w:sz w:val="24"/>
          <w:szCs w:val="24"/>
          <w:lang w:eastAsia="es-CO"/>
        </w:rPr>
        <w:t>componente de depósito</w:t>
      </w:r>
      <w:r w:rsidRPr="00401DFF">
        <w:rPr>
          <w:rFonts w:ascii="Times New Roman" w:eastAsia="Times New Roman" w:hAnsi="Times New Roman" w:cs="Times New Roman"/>
          <w:sz w:val="24"/>
          <w:szCs w:val="24"/>
          <w:lang w:eastAsia="es-CO"/>
        </w:rPr>
        <w:t xml:space="preserve">. En algunos casos, la aseguradora estará obligada o tendrá la facultad de </w:t>
      </w:r>
      <w:r w:rsidRPr="00401DFF">
        <w:rPr>
          <w:rFonts w:ascii="Times New Roman" w:eastAsia="Times New Roman" w:hAnsi="Times New Roman" w:cs="Times New Roman"/>
          <w:i/>
          <w:iCs/>
          <w:sz w:val="24"/>
          <w:szCs w:val="24"/>
          <w:lang w:eastAsia="es-CO"/>
        </w:rPr>
        <w:t>disociar</w:t>
      </w:r>
      <w:r w:rsidRPr="00401DFF">
        <w:rPr>
          <w:rFonts w:ascii="Times New Roman" w:eastAsia="Times New Roman" w:hAnsi="Times New Roman" w:cs="Times New Roman"/>
          <w:sz w:val="24"/>
          <w:szCs w:val="24"/>
          <w:lang w:eastAsia="es-CO"/>
        </w:rPr>
        <w:t xml:space="preserve"> estos componentes: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disociación será obligatoria si se cumplen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aseguradora puede medir el componente de depósito (incluyendo las opciones de rescate implícitas) de forma separada (es decir, sin considerar el componente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Las políticas contables de la aseguradora no requieren que reconozca todos los derechos y obligaciones causados por el componente de depósito.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disociación estará permitida, pero sin ser obligatoria, si la aseguradora puede medir por separado el componente de depósito, como se indica en el apartado (a)(i) anterior, pero sus políticas contables requieren que reconozca todos los derechos y obligaciones causados por el componente de depósito, con independencia de las bases que se utilicen para medir esos derechos y obligaciones.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disociación estará prohibida si la aseguradora no puede medir por separado el componente de depósito, como se indica en el apartado (a)(i).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Se inserta a continuación un ejemplo donde las políticas contables de la aseguradora no requieren que reconozca todas las obligaciones causadas por un componente de depósito. Un cedente tiene derecho a recibir de una </w:t>
      </w:r>
      <w:r w:rsidRPr="00401DFF">
        <w:rPr>
          <w:rFonts w:ascii="Times New Roman" w:eastAsia="Times New Roman" w:hAnsi="Times New Roman" w:cs="Times New Roman"/>
          <w:i/>
          <w:iCs/>
          <w:sz w:val="24"/>
          <w:szCs w:val="24"/>
          <w:lang w:eastAsia="es-CO"/>
        </w:rPr>
        <w:t>reaseguradora</w:t>
      </w:r>
      <w:r w:rsidRPr="00401DFF">
        <w:rPr>
          <w:rFonts w:ascii="Times New Roman" w:eastAsia="Times New Roman" w:hAnsi="Times New Roman" w:cs="Times New Roman"/>
          <w:sz w:val="24"/>
          <w:szCs w:val="24"/>
          <w:lang w:eastAsia="es-CO"/>
        </w:rPr>
        <w:t xml:space="preserve"> compensación por pérdidas, pero el contrato le obliga a devolver la compensación en años futuros. Esta obligación es causada por un componente de depósito. Si las políticas contables del cedente le permitieran reconocer la compensación como un ingreso, sin reconocer la obligación resultante, la disociación será obligatoria.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Para proceder a la disociación de un contrato, la 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aplicará esta NIIF al componente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Aplicará la NIIF 9 al componente de depósito.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Exención temporal del cumplimiento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13 En los párrafos 10 a 12 de la NIC 8 </w:t>
      </w:r>
      <w:r w:rsidRPr="00401DFF">
        <w:rPr>
          <w:rFonts w:ascii="Times New Roman" w:eastAsia="Times New Roman" w:hAnsi="Times New Roman" w:cs="Times New Roman"/>
          <w:i/>
          <w:iCs/>
          <w:sz w:val="24"/>
          <w:szCs w:val="24"/>
          <w:lang w:eastAsia="es-CO"/>
        </w:rPr>
        <w:t xml:space="preserve">Políticas Contables, Cambios en las Estimaciones Contables y Errores </w:t>
      </w:r>
      <w:r w:rsidRPr="00401DFF">
        <w:rPr>
          <w:rFonts w:ascii="Times New Roman" w:eastAsia="Times New Roman" w:hAnsi="Times New Roman" w:cs="Times New Roman"/>
          <w:sz w:val="24"/>
          <w:szCs w:val="24"/>
          <w:lang w:eastAsia="es-CO"/>
        </w:rPr>
        <w:t>se especifican los criterios que la entidad utilizará para desarrollar una política contable cuando no exista ninguna NIIF que sea específicamente aplicable a una partida. No obstante, la presente NIIF exime a la aseguradora de aplicar dichos criterios en sus políticas contables relativas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contratos de seguro que emita (incluyendo tanto los costos de adquisición como los activos intangibles relacionados con ellos, tales como los que se describen en los párrafos 31 y 32);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contratos de reaseguro de los que sea tenedora.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No obstante, la presente NIIF no exime a la aseguradora de cumplir con ciertas implicaciones de los criterios establecidos en los párrafos 10 a 12 de la NIC 8. Específicamente, la 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No reconocerá como un pasivo las provisiones por reclamaciones futuras cuando estas se originen en contratos de seguro inexistentes al final del periodo sobre el que se informa (tales como las provisiones por catástrofes o de estabilización).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Llevará a cabo la </w:t>
      </w:r>
      <w:r w:rsidRPr="00401DFF">
        <w:rPr>
          <w:rFonts w:ascii="Times New Roman" w:eastAsia="Times New Roman" w:hAnsi="Times New Roman" w:cs="Times New Roman"/>
          <w:i/>
          <w:iCs/>
          <w:sz w:val="24"/>
          <w:szCs w:val="24"/>
          <w:lang w:eastAsia="es-CO"/>
        </w:rPr>
        <w:t>prueba de adecuación de los pasivos</w:t>
      </w:r>
      <w:r w:rsidRPr="00401DFF">
        <w:rPr>
          <w:rFonts w:ascii="Times New Roman" w:eastAsia="Times New Roman" w:hAnsi="Times New Roman" w:cs="Times New Roman"/>
          <w:sz w:val="24"/>
          <w:szCs w:val="24"/>
          <w:lang w:eastAsia="es-CO"/>
        </w:rPr>
        <w:t xml:space="preserve"> que se describe en los párrafos 15 a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Eliminará un pasivo por contrato de seguro (o una parte del mismo) de su estado de situación financiera cuando, y sólo cuando, se extinga —es decir, cuando la obligación especificada en el contrato sea liquidada o cancelada, o haya caducado.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No compensará: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w:t>
      </w:r>
      <w:r w:rsidRPr="00401DFF">
        <w:rPr>
          <w:rFonts w:ascii="Times New Roman" w:eastAsia="Times New Roman" w:hAnsi="Times New Roman" w:cs="Times New Roman"/>
          <w:i/>
          <w:iCs/>
          <w:sz w:val="24"/>
          <w:szCs w:val="24"/>
          <w:lang w:eastAsia="es-CO"/>
        </w:rPr>
        <w:t>activos por contratos de reaseguro</w:t>
      </w:r>
      <w:r w:rsidRPr="00401DFF">
        <w:rPr>
          <w:rFonts w:ascii="Times New Roman" w:eastAsia="Times New Roman" w:hAnsi="Times New Roman" w:cs="Times New Roman"/>
          <w:sz w:val="24"/>
          <w:szCs w:val="24"/>
          <w:lang w:eastAsia="es-CO"/>
        </w:rPr>
        <w:t xml:space="preserve"> con los pasivos por seguro conexos;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gastos o ingresos de contratos de reaseguro con los ingresos o gastos, respectivamente, de los contratos de seguro conexos.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Considerará si se han deteriorado sus activos por reaseguros (véase el párrafo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Prueba de adecuación de los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Una aseguradora evaluará, al final del periodo sobre el que se informa, la adecuación de los pasivos por seguros que haya reconocido, utilizando las estimaciones actuales de los flujos de efectivo futuros procedentes de sus contratos de seguro. Si la evaluación mostrase que el importe en libros de sus pasivos por contratos de seguro (menos los costos de adquisición diferidos y los activos intangibles conexos, tales como los que se analizan en los párrafos 31 y 32) no es adecuado, considerando los flujos de efectivo futuros estimados, el importe total de la deficiencia se reconocerá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Si la aseguradora aplica una prueba de adecuación de los pasivos que cumple los requisitos mínimos especificados, esta NIIF no impone requerimientos adicionales. Los citados requisitos mínimos serán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prueba considera las estimaciones actuales de todos los flujos de efectivo contractuales, y de los flujos de efectivo conexos, tales como los costos de tramitación de las reclamaciones, así como los flujos de efectivo que procedan de las opciones y garantías implícitas.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prueba muestra que el pasivo es inadecuado, el importe total de la diferencia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las políticas contables seguidas por la aseguradora no requiriesen la práctica de una prueba de adecuación de los pasivos que cumpla las condiciones mínimas del párrafo 16, dicha 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Determinará el importe en libros de los pasivos por seguros</w:t>
      </w:r>
      <w:hyperlink r:id="rId83" w:anchor="bf12eb79d7502634307b54339fcf23d64f8nf9" w:tgtFrame="_self" w:history="1">
        <w:r w:rsidRPr="00401DFF">
          <w:rPr>
            <w:rFonts w:ascii="Times New Roman" w:eastAsia="Times New Roman" w:hAnsi="Times New Roman" w:cs="Times New Roman"/>
            <w:color w:val="0000FF"/>
            <w:sz w:val="20"/>
            <w:szCs w:val="20"/>
            <w:u w:val="single"/>
            <w:vertAlign w:val="superscript"/>
            <w:lang w:eastAsia="es-CO"/>
          </w:rPr>
          <w:t>(79)</w:t>
        </w:r>
      </w:hyperlink>
      <w:r w:rsidRPr="00401DFF">
        <w:rPr>
          <w:rFonts w:ascii="Times New Roman" w:eastAsia="Times New Roman" w:hAnsi="Times New Roman" w:cs="Times New Roman"/>
          <w:sz w:val="24"/>
          <w:szCs w:val="24"/>
          <w:lang w:eastAsia="es-CO"/>
        </w:rPr>
        <w:t xml:space="preserve"> que sean relevantes menos el importe en libros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costos de adquisición conexos que se han diferido;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activos intangibles conexos, como por ejemplo los adquiridos en una combinación de negocios o una transferencia de cartera (véase los párrafos 31 y 32). No obstante, los activos por reaseguro conexos no se tomarán en consideración, puesto que la aseguradora los contabilizará por separado (véase el párrafo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Determinará si el importe descrito en (a) es menor que el importe en libros que se requeriría en caso de que los pasivos por contratos de seguro relevantes estuvieran dentro del alcance de la NIC 37. En caso de que así fuera, la aseguradora reconocerá la diferencia total en el resultado del periodo, y minorará el importe en libros de los costos de adquisición conexos que se han diferido o los activos intangibles conexos, o aumentará el importe en libros de los pasivos por contratos de seguro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Si la prueba de adecuación de los pasivos de la aseguradora cumpliese los requisitos mínimos del párrafo 16, se aplicará con el nivel de agregación especificado en esta prueba. Si, por el contrario, la prueba de adecuación de los pasivos no cumpliese dichos requisitos mínimos, la comparación descrita en el párrafo 17 se hará considerando el nivel de agregación de una cartera de contratos que estén sujetos, genéricamente, a riesgos similares y sean gestionados conjuntamente como una cartera única.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El importe descrito en el apartado (b) del párrafo 17 (esto es, el resultado de aplicar la NIC 37) reflejará los márgenes de inversión futuros (véanse los párrafos 27 a 29) si, y sólo si, el importe descrito en el apartado (a) del párrafo 17 también reflejase dichos márgenes.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Deterioro de activos por contratos de reaseguro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Si se ha deteriorado un activo por contrato de reaseguro cedido, el cedente reducirá su importe en libros, y reconocerá en resultados una pérdida por deterioro. Un activo por reaseguro tiene deterioro sí, y sólo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Existe evidencia objetiva, a consecuencia de un evento que haya ocurrido después del reconocimiento inicial del activo por reaseguro, de que el cedente puede no recibir todos los importes que se le adeuden en función de los términos del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ese evento tenga un efecto que se puede medir con fiabilidad sobre los importes que el cedente vaya a recibir de la entidad reaseguradora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Los párrafos 22 a 30 se aplicarán tanto a los cambios realizados por una entidad aseguradora que ya aplique las NIIF, como a los que realice una aseguradora que esté adoptando por primera vez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22 Una entidad aseguradora puede cambiar sus políticas contables para los contratos de seguro si, y sólo si, el cambio hiciese a los estados financieros más relevantes, pero no menos fiables, para las necesidades de toma de decisiones económicas de los usuarios, o bien más fiables, pero no menos relevantes para cubrir dichas necesidades. La aseguradora juzgará la relevancia y la fiabilidad según los criterios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Para justificar el cambio en sus políticas contables sobre contratos de seguro, la aseguradora mostrará que el cambio acerca más sus estados financieros a los criterios de la NIC 8, si bien el cambio no precisa cumplir con todos esos criterios. Se discuten a continuación los siguientes temas específicos: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tasas de interés actuales (párrafo 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continuidad de las prácticas existentes (párrafo 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prudencia (párrafo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márgenes de inversión futuros (párrafos 27 a 29);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contabilidad tácita (párrafo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Tasas de interés actuales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Se permite, pero no se requiere, que la aseguradora cambie sus políticas contables y recalcule los pasivos designados</w:t>
      </w:r>
      <w:hyperlink r:id="rId84" w:anchor="bf177849277eea3456b89c0e998087685canf9" w:tgtFrame="_self" w:history="1">
        <w:r w:rsidRPr="00401DFF">
          <w:rPr>
            <w:rFonts w:ascii="Times New Roman" w:eastAsia="Times New Roman" w:hAnsi="Times New Roman" w:cs="Times New Roman"/>
            <w:color w:val="0000FF"/>
            <w:sz w:val="20"/>
            <w:szCs w:val="20"/>
            <w:u w:val="single"/>
            <w:vertAlign w:val="superscript"/>
            <w:lang w:eastAsia="es-CO"/>
          </w:rPr>
          <w:t>(80)</w:t>
        </w:r>
      </w:hyperlink>
      <w:r w:rsidRPr="00401DFF">
        <w:rPr>
          <w:rFonts w:ascii="Times New Roman" w:eastAsia="Times New Roman" w:hAnsi="Times New Roman" w:cs="Times New Roman"/>
          <w:sz w:val="24"/>
          <w:szCs w:val="24"/>
          <w:lang w:eastAsia="es-CO"/>
        </w:rPr>
        <w:t xml:space="preserve"> causados por contratos de seguro, con el fin de reflejar las tasas de interés de mercado vigentes, reconociendo en resultados los cambios en dichos pasivos. En ese momento, puede también introducir políticas contables que requieran de otras estimaciones e hipótesis actuales para los pasivos designados. La elección descrita en este párrafo permite a la aseguradora cambiar sus políticas contables, para los pasivos designados, sin tener que aplicar estas políticas de forma uniforme a todos los pasivos similares, como hubiera requerido la NIC 8. Si una aseguradora designase algunos pasivos para aplicar este tratamiento opcional, continuará aplicando las tasas de interés de mercado actuales (y, si es el caso, las otras estimaciones e hipótesis actuales) de forma uniforme a dichos pasivos en todos los periodos hasta que se extingan.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Continuidad de las prácticas existentes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 aseguradora puede continuar con las prácticas que se enumeran a continuación, pero introducir de nuevo de cualquiera de ellas va en contra del párrafo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Medir los pasivos por seguro sin proceder a descontar los importes.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Medir los derechos contractuales relativos a futuras comisiones de gestión de inversiones por un importe que exceda su valor razonable, obtenido por comparación con las comisiones que actualmente cargan otros participantes en el mercado por servicios similares. Es probable que, al inicio de esos derechos contractuales, su valor razonable sea </w:t>
      </w:r>
      <w:r w:rsidRPr="00401DFF">
        <w:rPr>
          <w:rFonts w:ascii="Times New Roman" w:eastAsia="Times New Roman" w:hAnsi="Times New Roman" w:cs="Times New Roman"/>
          <w:sz w:val="24"/>
          <w:szCs w:val="24"/>
          <w:lang w:eastAsia="es-CO"/>
        </w:rPr>
        <w:lastRenderedPageBreak/>
        <w:t>igual a los costos pagados por originarlos, salvo si las futuras comisiones por gestión de inversiones y los costos conexos no están en línea con los comparables en 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Utilizar políticas contables no uniformes para los contratos de seguro (así como para los costos de adquisición diferidos y los activos intangibles conexos) de las subsidiarias, salvo lo permitido por el párrafo 24. Si esas políticas contables no fueran uniformes, la aseguradora podrá cambiarlas, siempre que del cambio no resulten políticas contables más dispersas, y se satisfagan el resto de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Prudencia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La aseguradora no necesita cambiar sus políticas contables para los contratos de seguro, con el fin de eliminar la prudencia excesiva. No obstante, si la aseguradora ya valora sus contratos de seguro con suficiente prudencia, no deberá introducir aún más prudencia.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Márgenes de inversión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 aseguradora no necesita cambiar sus políticas contables para contratos de seguro con el fin de eliminar márgenes de inversión futuros. No obstante, existe una presunción refutable de que los estados financieros de la aseguradora se volverían menos relevantes y menos fiables si se introdujese una política contable que reflejase márgenes de inversión futuros en la medición de los contratos de seguro, salvo que dichos márgenes afecten a pagos contractuales. Los dos ejemplos siguientes ilustran políticas contables que reflejan esos márgenes: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utilizar un tipo de descuento que refleje el rendimiento esperado de los activos de la aseguradora;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proyectar los rendimientos de esos activos según una tasa de rentabilidad estimada, descontando luego a un tipo diferente los rendimientos proyectados, e incluyendo el resultado en la medición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aseguradora puede obviar la presunción refutable descrita en el párrafo 27 si, y sólo si, los demás componentes de un determinado cambio en las políticas contables aumentan la relevancia y fiabilidad de sus estados financieros, en una medida suficiente como para compensar las pérdidas de relevancia y fiabilidad que supone la inclusión de los márgenes de inversión futuros. Por ejemplo, puede suponerse que las políticas contables de una aseguradora para contratos de seguro comprenden un conjunto de suposiciones excesivamente prudentes establecidas desde el comienzo, un tipo de descuento prescrito por el regulador sin referencia directa a las condiciones del mercado, y no consideran algunas opciones y garantías implícitas en los contratos. La aseguradora podría elaborar unos estados financieros más relevantes y no menos fiables cambiando a una contabilidad orientada al inversor, que sea ampliamente utilizada e implique: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estimaciones y suposiciones 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 ajuste razonable (pero no excesivamente prudente) para reflejar el riesgo y la incertidumbre;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mediciones que reflejen tanto el valor intrínseco como el valor temporal de las opciones y garantías implícitas en los contratos;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tipo de descuento de mercado actual, incluso si ese tipo de descuento refleja el rendimiento estimado de los activos de la 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En algunos procedimientos de medición, se utiliza el tipo de descuento para determinar el valor presente de un margen de ganancia futuro. Este margen de ganancia se distribuye entonces entre los diferentes periodos mediante una fórmula. En los procedimientos citados, el tipo de descuento afecta sólo indirectamente a la medición del pasivo. En particular, el empleo de un tipo de descuento que sea menos apropiado tiene un efecto limitado o nulo sobre la medición del pasivo al comienzo. No obstante, en otros procedimientos, el tipo de descuento determina de forma directa la medición del pasivo. En este último caso, debido a que la introducción de un tipo de descuento basado en los activos tiene un efecto más significativo, es muy improbable que la aseguradora pueda obviar la presunción refutable del párrafo 27.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tácita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En algunos modelos contables, las pérdidas o ganancias realizadas de los activos de la aseguradora tienen un efecto directo en la medición de todas o algunas de las siguientes partidas: (a) sus pasivos por contratos de seguro, (b) los costos de adquisición diferidos conexos y (c) los activos intangibles también conexos, según se describen estas partidas en los párrafos 31 y 32. Se permite, pero no se requiere, a la aseguradora, cambiar sus políticas contables de forma que la pérdida o ganancia reconocida pero no realizada, en los activos, afecte a dichas mediciones de la misma forma que la pérdida o ganancia realizada. El ajuste correspondiente en el pasivo por contratos de seguro (o en los costos de adquisición diferidos o en los activos intangibles) se reconocerá en otro resultado integral si, y sólo si, las ganancias o pérdidas no realizadas se reconocen en otro resultado integral. Esta práctica se denomina en ocasiones “contabilización tácita”.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Contratos de seguro adquiridos en una combinación de negocios o en una transferencia de cartera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Para cumplir con la NIIF 3, la aseguradora, en la fecha de adquisición, medirá por su valor razonable los pasivos derivados de contratos de seguro asumidos, así como los </w:t>
      </w:r>
      <w:r w:rsidRPr="00401DFF">
        <w:rPr>
          <w:rFonts w:ascii="Times New Roman" w:eastAsia="Times New Roman" w:hAnsi="Times New Roman" w:cs="Times New Roman"/>
          <w:i/>
          <w:iCs/>
          <w:sz w:val="24"/>
          <w:szCs w:val="24"/>
          <w:lang w:eastAsia="es-CO"/>
        </w:rPr>
        <w:t>activos por seguro</w:t>
      </w:r>
      <w:r w:rsidRPr="00401DFF">
        <w:rPr>
          <w:rFonts w:ascii="Times New Roman" w:eastAsia="Times New Roman" w:hAnsi="Times New Roman" w:cs="Times New Roman"/>
          <w:sz w:val="24"/>
          <w:szCs w:val="24"/>
          <w:lang w:eastAsia="es-CO"/>
        </w:rPr>
        <w:t xml:space="preserve"> que haya adquirido en la combinación de negocios. No obstante, se permite, pero no se obliga, a la aseguradora a utilizar una presentación desagregada, que separe en dos componentes al valor razonable de los contratos de seguro adquiridos: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pasivo medido de acuerdo con las políticas contables que la aseguradora utilice para los contratos de seguro que emita;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 activo intangible, que representa la diferencia entre (i) el valor razonable de los derechos adquiridos y obligaciones asumidas por contratos de seguro y (ii) el importe descrito en (a). La medición posterior de este activo será uniforme con la medición del pasivo por contratos de seguro conexo.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La aseguradora que adquiera una cartera de contratos de seguro podrá utilizar la presentación desagregada descrita en el párrafo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33 Los activos intangibles descritos en los párrafos 31 y 32 están excluidos del alcance de la NIC 36 </w:t>
      </w:r>
      <w:r w:rsidRPr="00401DFF">
        <w:rPr>
          <w:rFonts w:ascii="Times New Roman" w:eastAsia="Times New Roman" w:hAnsi="Times New Roman" w:cs="Times New Roman"/>
          <w:i/>
          <w:iCs/>
          <w:sz w:val="24"/>
          <w:szCs w:val="24"/>
          <w:lang w:eastAsia="es-CO"/>
        </w:rPr>
        <w:t xml:space="preserve">Deterioro del Valor de los Activos </w:t>
      </w:r>
      <w:r w:rsidRPr="00401DFF">
        <w:rPr>
          <w:rFonts w:ascii="Times New Roman" w:eastAsia="Times New Roman" w:hAnsi="Times New Roman" w:cs="Times New Roman"/>
          <w:sz w:val="24"/>
          <w:szCs w:val="24"/>
          <w:lang w:eastAsia="es-CO"/>
        </w:rPr>
        <w:t>y de la NIC 38. No obstante, la NIC 36 y la NIC 38 serán de aplicación a las listas de clientes y a las relaciones con los clientes que reflejen expectativas de contratos futuros, pero que no formen parte de los derechos ni de las obligaciones contractuales de seguros existentes en la fecha de la combinación de negocios o la transferencia de cartera.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 participación discrecional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 participación discrecional en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Algunos contratos de seguro contienen un componente de participación discrecional, así como un </w:t>
      </w:r>
      <w:r w:rsidRPr="00401DFF">
        <w:rPr>
          <w:rFonts w:ascii="Times New Roman" w:eastAsia="Times New Roman" w:hAnsi="Times New Roman" w:cs="Times New Roman"/>
          <w:i/>
          <w:iCs/>
          <w:sz w:val="24"/>
          <w:szCs w:val="24"/>
          <w:lang w:eastAsia="es-CO"/>
        </w:rPr>
        <w:t>componente garantizado</w:t>
      </w:r>
      <w:r w:rsidRPr="00401DFF">
        <w:rPr>
          <w:rFonts w:ascii="Times New Roman" w:eastAsia="Times New Roman" w:hAnsi="Times New Roman" w:cs="Times New Roman"/>
          <w:sz w:val="24"/>
          <w:szCs w:val="24"/>
          <w:lang w:eastAsia="es-CO"/>
        </w:rPr>
        <w:t>. El emisor de dichos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Podrá, aunque no estará obligado a, reconocer el elemento garantizado de forma separada del componente de participación discrecional. Si el emisor no los reconociera por separado, clasificará el contrato en su conjunto como un pasivo. Si el emisor los clasificase por separado, considerará el elemento garantizado como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Clasificará, si reconociese el componente de participación discrecional por separado del elemento garantizado, al mismo como un pasivo o como un componente separado del patrimonio. En esta NIIF no se especifica cómo puede determinar el emisor si dicho componente es un pasivo o forma parte del patrimonio. El emisor podrá también desagregar este componente en partidas de pasivo y patrimonio, en cuyo caso utilizará una política contable uniforme con la desagregación efectuada. El emisor no clasificará este componente dentro de una categoría intermedia que no sea ni pasivo ni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Podrá reconocer todas las primas recibidas como ingreso de actividades ordinarias, sin separar ninguna parte de las mismas que esté relacionada con el componente de patrimonio. Los cambios correspondientes en el elemento garantizado y en la parte del componente de participación discrecional clasificada como pasivo, se reconocerán en el resultado del periodo. Si la totalidad o una parte del componente de participación discrecional se clasificasen como patrimonio, una porción de los citados resultados puede atribuirse a dicho componente (de la misma forma que una parte puede atribuirse a las participaciones no controladoras). El emisor reconocerá la parte de resultados atribuible al componente de patrimonio de la participación discrecional, como una distribución de resultados, no como gasto o ingreso (véase la NIC 1 </w:t>
      </w:r>
      <w:r w:rsidRPr="00401DFF">
        <w:rPr>
          <w:rFonts w:ascii="Times New Roman" w:eastAsia="Times New Roman" w:hAnsi="Times New Roman" w:cs="Times New Roman"/>
          <w:i/>
          <w:iCs/>
          <w:sz w:val="24"/>
          <w:szCs w:val="24"/>
          <w:lang w:eastAsia="es-CO"/>
        </w:rPr>
        <w:t>Presentación de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Aplicará la NIIF 9, si el contrato contiene un derivado implícito que esté dentro del alcance de la NIIF 9, a ese derivado implícito.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Continuará aplicando, en todos los aspectos no tratados en los párrafos 14 a 20 y en los apartados (a) hasta (d) del párrafo 34, sus políticas contables actuales respecto a dichos contratos, a menos que cambie dichas políticas contables de manera que cumpla con lo establecido en los párrafos 21 a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Componentes de participación discrecional en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Los requerimientos establecidos en el párrafo 34 también se aplicarán a los instrumentos financieros que contengan un componente de participación discrecional. Además: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el emisor clasificase la totalidad del componente de participación discrecional como un pasivo, aplicará la prueba de adecuación de los pasivos, establecida en los párrafos 15 a 19, al contrato en su conjunto (esto es, tanto al elemento garantizado como al componente de participación discrecional). El emisor no necesitará determinar el importe que resultaría de aplicar la NIIF 9 al elemento garantizado.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el emisor clasificase la totalidad o una parte de este componente como una partida separada de patrimonio, el pasivo reconocido por el contrato en su conjunto no será menor que el importe que resultaría de aplicar la NIIF 9 al elemento garantizado. Este importe incluirá el valor intrínseco de una opción de rescate del contrato, pero no tendrá que incluir necesariamente su valor temporal si el párrafo 9 exime a la citada opción de ser medida por su valor razonable. El emisor no necesita revelar el importe que resultaría de aplicar la NIIF 9 al elemento garantizado, ni tampoco presentar este importe por separado. Además, el emisor no necesita determinar dicho importe si el pasivo total reconocido tiene un valor claramente mayor.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Aunque estos contratos son instrumentos financieros, el emisor puede seguir reconociendo las primas recibidas por los mismos como ingresos de actividades ordinarias, y reconocer como gastos los incrementos correspondientes del importe en libros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Aunque estos contratos son instrumentos financieros, el emisor que aplique el apartado (b) del párrafo 20 de la NIIF 7 a contratos con un componente de participación discrecional, revelará el importe total del gastos por intereses reconocido en el resultado del periodo, pero no será necesario que lo calcule aplicando el método del interés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Explicación sobre los importes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36 Una aseguradora revelará, en sus estados financieros, información que ayude a los usuarios de la misma a identificar y explicar los importes que procedan de sus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37 A fin de cumplir con lo establecido en el párrafo 36, una aseguradora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Sus políticas contables relativas a los contratos de seguro y a los activos, pasivos, gastos e ingresos conexos.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pasivos, ingresos y gastos reconocidos (y, en caso de que presente el estado de flujos de efectivo por el método directo, los flujos de efectivo) que procedan de contratos de seguro. Además, si la aseguradora es también cedente,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pérdidas y ganancias reconocidas en el resultado del periodo por reaseguro cedido;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el cedente difiriese y amortizase pérdidas y ganancias procedentes de compras de reaseguro, la amortización del periodo, así como los importes que permanezcan sin amortizar al inicio y al final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procedimiento utilizado para determinar las suposiciones que tengan un mayor efecto sobre la medición de los importes reconocidos mencionados en el apartado (b). Cuando sea posible, la aseguradora dará también información cuantitativa respecto a dichas suposiciones.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efecto de los cambios en las suposiciones utilizadas para medir los activos y los pasivos por contratos de seguro, mostrando por separado el efecto de cada uno de los cambios que hayan tenido un efecto significativo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Conciliaciones de los cambios en los pasivos y activos por contratos de reaseguro y, en los costos de adquisición conexos que se hayan diferido.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y alcance de los riesgos que surjan de los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38 Una aseguradora revelará información que permita que los usuarios de sus estados financieros evalúen la naturaleza y el alcance de los riesgos que surjan de los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A fin de cumplir con lo establecido en el párrafo 38, una aseguradora revelará la siguiente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Sus objetivos, políticas y procesos para gestionar riesgos que surjan de los contratos de seguro, así como los métodos usados en dicha gestión de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Información sobre el </w:t>
      </w:r>
      <w:r w:rsidRPr="00401DFF">
        <w:rPr>
          <w:rFonts w:ascii="Times New Roman" w:eastAsia="Times New Roman" w:hAnsi="Times New Roman" w:cs="Times New Roman"/>
          <w:i/>
          <w:iCs/>
          <w:sz w:val="24"/>
          <w:szCs w:val="24"/>
          <w:lang w:eastAsia="es-CO"/>
        </w:rPr>
        <w:t>riesgo de seguro</w:t>
      </w:r>
      <w:r w:rsidRPr="00401DFF">
        <w:rPr>
          <w:rFonts w:ascii="Times New Roman" w:eastAsia="Times New Roman" w:hAnsi="Times New Roman" w:cs="Times New Roman"/>
          <w:sz w:val="24"/>
          <w:szCs w:val="24"/>
          <w:lang w:eastAsia="es-CO"/>
        </w:rPr>
        <w:t xml:space="preserve"> (tanto antes como después de reducir el mismo a través del reaseguro), incluyendo información referente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sensibilidad al riesgo de seguro (véase párrafo 39A).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Las concentraciones del riesgo de seguro, incluyendo una descripción de cómo son determinadas por la dirección, así como una descripción de las características compartidas que identifican cada concentración (por ejemplo el tipo de evento asegurado, el área geográfica o la moneda).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reclamaciones recibidas comparadas con las estimaciones previas (esto es, la evolución de las reclamaciones). Las revelaciones sobre la evolución de las reclamaciones se referirán al intervalo de tiempo desde que surgió la primer reclamación relativamente importante para la que todavía existe incertidumbre respecto al importe y calendario de pagos pendientes, sin retrotraerse más de diez años. La aseguradora no tiene que revelar esta información para reclamaciones en que la incertidumbre sobre la suma y calendario de los pagos de las prestaciones se resuelva, normalmente, en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Información respecto al riesgo de crédito, al riesgo de liquidez y al riesgo de mercado que sería obligatorio proporcionar, según los párrafos 31 a 42 de la NIIF 7, si los contratos de seguro estuvieran dentro del alcance de la NIIF 7. Sin embargo: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No es necesario que un asegurador facilite el análisis de vencimientos requerido en el párrafo 39(a) y (b) de la NIIF 7 si revela, en su lugar, información sobre el calendario estimado de las salidas netas de flujos de efectivo procedentes de los pasivos por seguros reconocidos. Esta información puede tomar la forma de un análisis, según el calendario estimado, de los importes reconocidos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una aseguradora utilizase un método alternativo para gestionar la sensibilidad a las condiciones de mercado, como por ejemplo un análisis del valor implícito, podrá utilizar dicho análisis de sensibilidad para cumplir con el requerimiento del apartado (a) del párrafo 40 de la NIIF 7. Esta aseguradora revelará también la información requerida por el párrafo 41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Información acerca de la exposición al riesgo de mercado procedente de derivados implícitos en un contrato de seguro que sea su contrato anfitrión, cuando la aseguradora no esté obligada a medir por su valor razonable los derivados implícitos, ni tampoco haya optado por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39A Para cumplir con lo dispuesto en el párrafo 39(c)(i), una aseguradora podrá optar por revelar el contenido de los apartados (a) o (b) mediante: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análisis de sensibilidad que muestre cómo podría haberse visto afectado el resultado del periodo y el patrimonio debido a variaciones de la variable pertinente de riesgo, cuya ocurrencia fuera razonablemente posible al final del periodo sobre el que se informa; los métodos e hipótesis utilizados al elaborar el análisis de sensibilidad; así como cualquier variación en estos métodos e hipótesis desde el ejercicio anterior. No obstante, si una aseguradora utilizará un método alternativo para gestionar la sensibilidad a las condiciones de mercado, como el análisis del valor implícito, podría cumplir este requisito revelando los detalles de este análisis de sensibilidad alternativo, así como la información requerida por el párrafo 41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Información cualitativa acerca de la sensibilidad, e información sobre los plazos y condiciones de los contratos de seguro que tengan un efecto significativo sobre el importe, calendario e incertidumbre de los flujos de efectivo de la aseguradora.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Las disposiciones transitorias de los párrafos 41 a 45 se aplican tanto a una entidad que ya esté aplicando las NIIF, cuando aplique esta Norma por primera vez, como a la que adopte por primera vez las NIIF (el adoptante por primera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Una entidad aplicará esta NIIF en los periodos anuales que comiencen a partir del 1 de enero de 2005. Se aconseja su aplicación anticipada. Si una entidad aplicase esta NIIF en un periodo anterior,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41A El documento denominado </w:t>
      </w:r>
      <w:r w:rsidRPr="00401DFF">
        <w:rPr>
          <w:rFonts w:ascii="Times New Roman" w:eastAsia="Times New Roman" w:hAnsi="Times New Roman" w:cs="Times New Roman"/>
          <w:i/>
          <w:iCs/>
          <w:sz w:val="24"/>
          <w:szCs w:val="24"/>
          <w:lang w:eastAsia="es-CO"/>
        </w:rPr>
        <w:t>Contratos de garantía financiera</w:t>
      </w:r>
      <w:r w:rsidRPr="00401DFF">
        <w:rPr>
          <w:rFonts w:ascii="Times New Roman" w:eastAsia="Times New Roman" w:hAnsi="Times New Roman" w:cs="Times New Roman"/>
          <w:sz w:val="24"/>
          <w:szCs w:val="24"/>
          <w:lang w:eastAsia="es-CO"/>
        </w:rPr>
        <w:t xml:space="preserve"> (modificaciones a la NIC 39 y a la NIIF 4), emitido en agosto de 2005, modificó los párrafos 4(d), B18(g) y B19(f). Una entidad aplicará esas modificaciones a periodos anuales que comiencen a partir del 1 de enero de 2006. Se aconseja su aplicación anticipada. Si una entidad aplica las referidas modificaciones en un periodo anterior, informará de ello y aplicará, al mismo tiempo, las modificaciones correspondientes a la NIC 39 y la NIC 32</w:t>
      </w:r>
      <w:hyperlink r:id="rId85" w:anchor="bf1953891f945b543eb9a92fdde17200a86nf9" w:tgtFrame="_self" w:history="1">
        <w:r w:rsidRPr="00401DFF">
          <w:rPr>
            <w:rFonts w:ascii="Times New Roman" w:eastAsia="Times New Roman" w:hAnsi="Times New Roman" w:cs="Times New Roman"/>
            <w:color w:val="0000FF"/>
            <w:sz w:val="20"/>
            <w:szCs w:val="20"/>
            <w:u w:val="single"/>
            <w:vertAlign w:val="superscript"/>
            <w:lang w:eastAsia="es-CO"/>
          </w:rPr>
          <w:t>(81)</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41B La NIC 1 (revisada en 2007) modificó la terminología utilizada en las NIIF. Además modificó el párrafo 30.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41D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 modificó los párrafos 3, 4(d), 7, 8, 12, 34(d), 35, 45 y B18 a B20 y el Apéndice A y eliminó el párrafo 41C.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41E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modificó la definición de valor razonable del Apéndice A. Una entidad aplicará esa modificación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La entidad no necesita aplicar los requerimientos sobre información a revelar de esta NIIF a la información comparativa que se relacione con periodos anuales que hayan comenzado antes del 1 de enero de 2005, salvo para la información requerida por los apartados (a) y (b) del párrafo 37 sobre políticas contables, así como para los activos, pasivos, gastos e ingresos que hubiera reconocido (y los flujos de efectivo si utiliza el método directo).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 Si fuera impracticable aplicar un requerimiento concreto, de los contenidos en los párrafos 10 a 35, a la información comparativa relacionada con los periodos anuales cuyo inicio fuese anterior al 1 de enero de 2005, la entidad revelará este hecho. La aplicación de la prueba de adecuación de los pasivos (párrafos 15 a 19) a dicha información comparativa podría ser impracticable en algunas ocasiones, pero es altamente improbable que también lo sea la aplicación de los demás requisitos contenidos en los párrafos 10 a 35 a dicha información comparativa. En la NIC 8 se explica el significado del término “impracticable”.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Al aplicar el apartado (c)(iii) del párrafo 39, la entidad no precisa revelar información acerca de la evolución de las reclamaciones que haya tenido más allá de los cinco años anteriores del primer periodo en que aplique esta NIIF. Además si, al aplicar por primera vez esta NIIF, fuera impracticable preparar información sobre la evolución de las reclamaciones ocurrida antes del comienzo del primer periodo para el que la entidad presente información comparativa completa que cumpla con la Norma,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Redesignación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45 Sin perjuicio del párrafo 4.4.1 de la NIIF 9, cuando una entidad aseguradora cambie sus políticas contables sobre pasivos de contratos de seguro, se le permite, aunque sin tener obligación de hacerlo, reclasificar la totalidad o una parte de sus activos financieros como medidos al valor razonable. Esta reclasificación está permitida si la aseguradora cambia las políticas contables al aplicar por primera vez esta NIIF, y si realiza a continuación un cambio de política permitido por el párrafo 22. La reclasificación es un cambio en las políticas contables, al que se aplica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63"/>
        <w:gridCol w:w="4465"/>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derivados de contratos de seguro (insurance asset)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derechos contractuales netos de una </w:t>
            </w:r>
            <w:r w:rsidRPr="00401DFF">
              <w:rPr>
                <w:rFonts w:ascii="Times New Roman" w:eastAsia="Times New Roman" w:hAnsi="Times New Roman" w:cs="Times New Roman"/>
                <w:b/>
                <w:bCs/>
                <w:sz w:val="24"/>
                <w:szCs w:val="24"/>
                <w:lang w:eastAsia="es-CO"/>
              </w:rPr>
              <w:t>aseguradora,</w:t>
            </w:r>
            <w:r w:rsidRPr="00401DFF">
              <w:rPr>
                <w:rFonts w:ascii="Times New Roman" w:eastAsia="Times New Roman" w:hAnsi="Times New Roman" w:cs="Times New Roman"/>
                <w:sz w:val="24"/>
                <w:szCs w:val="24"/>
                <w:lang w:eastAsia="es-CO"/>
              </w:rPr>
              <w:t xml:space="preserve"> que se derivan de un contrato de 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derivados de reaseguro cedido (reinsurance assets)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derechos contractuales netos del </w:t>
            </w:r>
            <w:r w:rsidRPr="00401DFF">
              <w:rPr>
                <w:rFonts w:ascii="Times New Roman" w:eastAsia="Times New Roman" w:hAnsi="Times New Roman" w:cs="Times New Roman"/>
                <w:b/>
                <w:bCs/>
                <w:sz w:val="24"/>
                <w:szCs w:val="24"/>
                <w:lang w:eastAsia="es-CO"/>
              </w:rPr>
              <w:t>cedente,</w:t>
            </w:r>
            <w:r w:rsidRPr="00401DFF">
              <w:rPr>
                <w:rFonts w:ascii="Times New Roman" w:eastAsia="Times New Roman" w:hAnsi="Times New Roman" w:cs="Times New Roman"/>
                <w:sz w:val="24"/>
                <w:szCs w:val="24"/>
                <w:lang w:eastAsia="es-CO"/>
              </w:rPr>
              <w:t xml:space="preserve"> en un </w:t>
            </w:r>
            <w:r w:rsidRPr="00401DFF">
              <w:rPr>
                <w:rFonts w:ascii="Times New Roman" w:eastAsia="Times New Roman" w:hAnsi="Times New Roman" w:cs="Times New Roman"/>
                <w:b/>
                <w:bCs/>
                <w:sz w:val="24"/>
                <w:szCs w:val="24"/>
                <w:lang w:eastAsia="es-CO"/>
              </w:rPr>
              <w:t>contrato de reaseguro.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aseguradora (entidad) (insurer)</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parte que, en un contrato de seguro, tiene la obligación de compensar al </w:t>
            </w:r>
            <w:r w:rsidRPr="00401DFF">
              <w:rPr>
                <w:rFonts w:ascii="Times New Roman" w:eastAsia="Times New Roman" w:hAnsi="Times New Roman" w:cs="Times New Roman"/>
                <w:b/>
                <w:bCs/>
                <w:sz w:val="24"/>
                <w:szCs w:val="24"/>
                <w:lang w:eastAsia="es-CO"/>
              </w:rPr>
              <w:t>tenedor</w:t>
            </w:r>
            <w:r w:rsidRPr="00401DFF">
              <w:rPr>
                <w:rFonts w:ascii="Times New Roman" w:eastAsia="Times New Roman" w:hAnsi="Times New Roman" w:cs="Times New Roman"/>
                <w:sz w:val="24"/>
                <w:szCs w:val="24"/>
                <w:lang w:eastAsia="es-CO"/>
              </w:rPr>
              <w:t xml:space="preserve"> del seguro en caso de que ocurra el </w:t>
            </w:r>
            <w:r w:rsidRPr="00401DFF">
              <w:rPr>
                <w:rFonts w:ascii="Times New Roman" w:eastAsia="Times New Roman" w:hAnsi="Times New Roman" w:cs="Times New Roman"/>
                <w:b/>
                <w:bCs/>
                <w:sz w:val="24"/>
                <w:szCs w:val="24"/>
                <w:lang w:eastAsia="es-CO"/>
              </w:rPr>
              <w:t>evento asegurado.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cedente (cedant)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w:t>
            </w:r>
            <w:r w:rsidRPr="00401DFF">
              <w:rPr>
                <w:rFonts w:ascii="Times New Roman" w:eastAsia="Times New Roman" w:hAnsi="Times New Roman" w:cs="Times New Roman"/>
                <w:b/>
                <w:bCs/>
                <w:sz w:val="24"/>
                <w:szCs w:val="24"/>
                <w:lang w:eastAsia="es-CO"/>
              </w:rPr>
              <w:t>tenedor de la póliza</w:t>
            </w:r>
            <w:r w:rsidRPr="00401DFF">
              <w:rPr>
                <w:rFonts w:ascii="Times New Roman" w:eastAsia="Times New Roman" w:hAnsi="Times New Roman" w:cs="Times New Roman"/>
                <w:sz w:val="24"/>
                <w:szCs w:val="24"/>
                <w:lang w:eastAsia="es-CO"/>
              </w:rPr>
              <w:t xml:space="preserve"> en un </w:t>
            </w:r>
            <w:r w:rsidRPr="00401DFF">
              <w:rPr>
                <w:rFonts w:ascii="Times New Roman" w:eastAsia="Times New Roman" w:hAnsi="Times New Roman" w:cs="Times New Roman"/>
                <w:b/>
                <w:bCs/>
                <w:sz w:val="24"/>
                <w:szCs w:val="24"/>
                <w:lang w:eastAsia="es-CO"/>
              </w:rPr>
              <w:t>contrato de reaseguro.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 de depósito (deposit component)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componente contractual que no se contabiliza como un derivado, según la NIIF </w:t>
            </w:r>
            <w:r w:rsidRPr="00401DFF">
              <w:rPr>
                <w:rFonts w:ascii="Times New Roman" w:eastAsia="Times New Roman" w:hAnsi="Times New Roman" w:cs="Times New Roman"/>
                <w:sz w:val="24"/>
                <w:szCs w:val="24"/>
                <w:lang w:eastAsia="es-CO"/>
              </w:rPr>
              <w:lastRenderedPageBreak/>
              <w:t>9, pero estaría dentro del alcance de la NIIF 9 si fuera un instrumento separado.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componente de participación discrecional (discretionary participation feature)</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derecho contractual a recibir, como un suplemento de las </w:t>
            </w:r>
            <w:r w:rsidRPr="00401DFF">
              <w:rPr>
                <w:rFonts w:ascii="Times New Roman" w:eastAsia="Times New Roman" w:hAnsi="Times New Roman" w:cs="Times New Roman"/>
                <w:b/>
                <w:bCs/>
                <w:sz w:val="24"/>
                <w:szCs w:val="24"/>
                <w:lang w:eastAsia="es-CO"/>
              </w:rPr>
              <w:t>prestaciones garantizadas,</w:t>
            </w:r>
            <w:r w:rsidRPr="00401DFF">
              <w:rPr>
                <w:rFonts w:ascii="Times New Roman" w:eastAsia="Times New Roman" w:hAnsi="Times New Roman" w:cs="Times New Roman"/>
                <w:sz w:val="24"/>
                <w:szCs w:val="24"/>
                <w:lang w:eastAsia="es-CO"/>
              </w:rPr>
              <w:t xml:space="preserve"> otras adicionales:</w:t>
            </w:r>
            <w:r w:rsidRPr="00401DFF">
              <w:rPr>
                <w:rFonts w:ascii="Times New Roman" w:eastAsia="Times New Roman" w:hAnsi="Times New Roman" w:cs="Times New Roman"/>
                <w:sz w:val="24"/>
                <w:szCs w:val="24"/>
                <w:lang w:eastAsia="es-CO"/>
              </w:rPr>
              <w:br/>
              <w:t>(a) que se prevé representen una porción significativa de las prestaciones contractuales totales;</w:t>
            </w:r>
            <w:r w:rsidRPr="00401DFF">
              <w:rPr>
                <w:rFonts w:ascii="Times New Roman" w:eastAsia="Times New Roman" w:hAnsi="Times New Roman" w:cs="Times New Roman"/>
                <w:sz w:val="24"/>
                <w:szCs w:val="24"/>
                <w:lang w:eastAsia="es-CO"/>
              </w:rPr>
              <w:br/>
              <w:t>(b) cuyo importe o fecha de aparición queda contractualmente a discreción del emisor; y</w:t>
            </w:r>
            <w:r w:rsidRPr="00401DFF">
              <w:rPr>
                <w:rFonts w:ascii="Times New Roman" w:eastAsia="Times New Roman" w:hAnsi="Times New Roman" w:cs="Times New Roman"/>
                <w:sz w:val="24"/>
                <w:szCs w:val="24"/>
                <w:lang w:eastAsia="es-CO"/>
              </w:rPr>
              <w:br/>
              <w:t>(c) que están basadas contractualmente en:</w:t>
            </w:r>
            <w:r w:rsidRPr="00401DFF">
              <w:rPr>
                <w:rFonts w:ascii="Times New Roman" w:eastAsia="Times New Roman" w:hAnsi="Times New Roman" w:cs="Times New Roman"/>
                <w:sz w:val="24"/>
                <w:szCs w:val="24"/>
                <w:lang w:eastAsia="es-CO"/>
              </w:rPr>
              <w:br/>
              <w:t>(i) el rendimiento de un conjunto específico de contratos o de un tipo específico de contrato;</w:t>
            </w:r>
            <w:r w:rsidRPr="00401DFF">
              <w:rPr>
                <w:rFonts w:ascii="Times New Roman" w:eastAsia="Times New Roman" w:hAnsi="Times New Roman" w:cs="Times New Roman"/>
                <w:sz w:val="24"/>
                <w:szCs w:val="24"/>
                <w:lang w:eastAsia="es-CO"/>
              </w:rPr>
              <w:br/>
              <w:t>(ii) rentabilidades de inversiones, que pueden ser realizadas, no realizadas o ambas, correspondientes a un conjunto específico de activos poseídos por el emisor; o</w:t>
            </w:r>
            <w:r w:rsidRPr="00401DFF">
              <w:rPr>
                <w:rFonts w:ascii="Times New Roman" w:eastAsia="Times New Roman" w:hAnsi="Times New Roman" w:cs="Times New Roman"/>
                <w:sz w:val="24"/>
                <w:szCs w:val="24"/>
                <w:lang w:eastAsia="es-CO"/>
              </w:rPr>
              <w:br/>
              <w:t>(iii) el resultado de la compañía, fondo u otra entidad emisora del contrato.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 de garantía financiera (financial guarantee contract)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que requiere que el emisor efectúe pagos específicos para reembolsar al tenedor por la pérdida en la que incurre cuando un deudor específico incumpla su obligación de pago a su vencimiento, de acuerdo con las condiciones, originales o modificadas, de un instrumento de deuda.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 de reaseguro (reinsurance contract)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w:t>
            </w:r>
            <w:r w:rsidRPr="00401DFF">
              <w:rPr>
                <w:rFonts w:ascii="Times New Roman" w:eastAsia="Times New Roman" w:hAnsi="Times New Roman" w:cs="Times New Roman"/>
                <w:b/>
                <w:bCs/>
                <w:sz w:val="24"/>
                <w:szCs w:val="24"/>
                <w:lang w:eastAsia="es-CO"/>
              </w:rPr>
              <w:t>contrato de seguro</w:t>
            </w:r>
            <w:r w:rsidRPr="00401DFF">
              <w:rPr>
                <w:rFonts w:ascii="Times New Roman" w:eastAsia="Times New Roman" w:hAnsi="Times New Roman" w:cs="Times New Roman"/>
                <w:sz w:val="24"/>
                <w:szCs w:val="24"/>
                <w:lang w:eastAsia="es-CO"/>
              </w:rPr>
              <w:t xml:space="preserve"> emitido por una entidad aseguradora (la </w:t>
            </w:r>
            <w:r w:rsidRPr="00401DFF">
              <w:rPr>
                <w:rFonts w:ascii="Times New Roman" w:eastAsia="Times New Roman" w:hAnsi="Times New Roman" w:cs="Times New Roman"/>
                <w:b/>
                <w:bCs/>
                <w:sz w:val="24"/>
                <w:szCs w:val="24"/>
                <w:lang w:eastAsia="es-CO"/>
              </w:rPr>
              <w:t>reaseguradora),</w:t>
            </w:r>
            <w:r w:rsidRPr="00401DFF">
              <w:rPr>
                <w:rFonts w:ascii="Times New Roman" w:eastAsia="Times New Roman" w:hAnsi="Times New Roman" w:cs="Times New Roman"/>
                <w:sz w:val="24"/>
                <w:szCs w:val="24"/>
                <w:lang w:eastAsia="es-CO"/>
              </w:rPr>
              <w:t xml:space="preserve"> con el fin de compensar a otra aseguradora </w:t>
            </w:r>
            <w:r w:rsidRPr="00401DFF">
              <w:rPr>
                <w:rFonts w:ascii="Times New Roman" w:eastAsia="Times New Roman" w:hAnsi="Times New Roman" w:cs="Times New Roman"/>
                <w:b/>
                <w:bCs/>
                <w:sz w:val="24"/>
                <w:szCs w:val="24"/>
                <w:lang w:eastAsia="es-CO"/>
              </w:rPr>
              <w:t>(cedente)</w:t>
            </w:r>
            <w:r w:rsidRPr="00401DFF">
              <w:rPr>
                <w:rFonts w:ascii="Times New Roman" w:eastAsia="Times New Roman" w:hAnsi="Times New Roman" w:cs="Times New Roman"/>
                <w:sz w:val="24"/>
                <w:szCs w:val="24"/>
                <w:lang w:eastAsia="es-CO"/>
              </w:rPr>
              <w:t xml:space="preserve"> por las pérdidas derivadas de uno o más contratos emitidos por el cedente.</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 de seguro directo (direct insurance contract)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Todo </w:t>
            </w:r>
            <w:r w:rsidRPr="00401DFF">
              <w:rPr>
                <w:rFonts w:ascii="Times New Roman" w:eastAsia="Times New Roman" w:hAnsi="Times New Roman" w:cs="Times New Roman"/>
                <w:b/>
                <w:bCs/>
                <w:sz w:val="24"/>
                <w:szCs w:val="24"/>
                <w:lang w:eastAsia="es-CO"/>
              </w:rPr>
              <w:t>contrato de seguro</w:t>
            </w:r>
            <w:r w:rsidRPr="00401DFF">
              <w:rPr>
                <w:rFonts w:ascii="Times New Roman" w:eastAsia="Times New Roman" w:hAnsi="Times New Roman" w:cs="Times New Roman"/>
                <w:sz w:val="24"/>
                <w:szCs w:val="24"/>
                <w:lang w:eastAsia="es-CO"/>
              </w:rPr>
              <w:t xml:space="preserve">que no sea un </w:t>
            </w:r>
            <w:r w:rsidRPr="00401DFF">
              <w:rPr>
                <w:rFonts w:ascii="Times New Roman" w:eastAsia="Times New Roman" w:hAnsi="Times New Roman" w:cs="Times New Roman"/>
                <w:b/>
                <w:bCs/>
                <w:sz w:val="24"/>
                <w:szCs w:val="24"/>
                <w:lang w:eastAsia="es-CO"/>
              </w:rPr>
              <w:t>contrato de reaseguro.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 de seguro (insurance contract)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contrato en el que una de las partes (la </w:t>
            </w:r>
            <w:r w:rsidRPr="00401DFF">
              <w:rPr>
                <w:rFonts w:ascii="Times New Roman" w:eastAsia="Times New Roman" w:hAnsi="Times New Roman" w:cs="Times New Roman"/>
                <w:b/>
                <w:bCs/>
                <w:sz w:val="24"/>
                <w:szCs w:val="24"/>
                <w:lang w:eastAsia="es-CO"/>
              </w:rPr>
              <w:t>aseguradora)</w:t>
            </w:r>
            <w:r w:rsidRPr="00401DFF">
              <w:rPr>
                <w:rFonts w:ascii="Times New Roman" w:eastAsia="Times New Roman" w:hAnsi="Times New Roman" w:cs="Times New Roman"/>
                <w:sz w:val="24"/>
                <w:szCs w:val="24"/>
                <w:lang w:eastAsia="es-CO"/>
              </w:rPr>
              <w:t xml:space="preserve"> acepta un </w:t>
            </w:r>
            <w:r w:rsidRPr="00401DFF">
              <w:rPr>
                <w:rFonts w:ascii="Times New Roman" w:eastAsia="Times New Roman" w:hAnsi="Times New Roman" w:cs="Times New Roman"/>
                <w:b/>
                <w:bCs/>
                <w:sz w:val="24"/>
                <w:szCs w:val="24"/>
                <w:lang w:eastAsia="es-CO"/>
              </w:rPr>
              <w:t>riesgo de seguro</w:t>
            </w:r>
            <w:r w:rsidRPr="00401DFF">
              <w:rPr>
                <w:rFonts w:ascii="Times New Roman" w:eastAsia="Times New Roman" w:hAnsi="Times New Roman" w:cs="Times New Roman"/>
                <w:sz w:val="24"/>
                <w:szCs w:val="24"/>
                <w:lang w:eastAsia="es-CO"/>
              </w:rPr>
              <w:t xml:space="preserve"> significativo de la otra parte (el </w:t>
            </w:r>
            <w:r w:rsidRPr="00401DFF">
              <w:rPr>
                <w:rFonts w:ascii="Times New Roman" w:eastAsia="Times New Roman" w:hAnsi="Times New Roman" w:cs="Times New Roman"/>
                <w:b/>
                <w:bCs/>
                <w:sz w:val="24"/>
                <w:szCs w:val="24"/>
                <w:lang w:eastAsia="es-CO"/>
              </w:rPr>
              <w:t>tenedor</w:t>
            </w:r>
            <w:r w:rsidRPr="00401DFF">
              <w:rPr>
                <w:rFonts w:ascii="Times New Roman" w:eastAsia="Times New Roman" w:hAnsi="Times New Roman" w:cs="Times New Roman"/>
                <w:sz w:val="24"/>
                <w:szCs w:val="24"/>
                <w:lang w:eastAsia="es-CO"/>
              </w:rPr>
              <w:t xml:space="preserve">de la póliza), acordando compensar al tenedor si ocurre un evento futuro incierto (el </w:t>
            </w:r>
            <w:r w:rsidRPr="00401DFF">
              <w:rPr>
                <w:rFonts w:ascii="Times New Roman" w:eastAsia="Times New Roman" w:hAnsi="Times New Roman" w:cs="Times New Roman"/>
                <w:b/>
                <w:bCs/>
                <w:sz w:val="24"/>
                <w:szCs w:val="24"/>
                <w:lang w:eastAsia="es-CO"/>
              </w:rPr>
              <w:t>evento asegurado)</w:t>
            </w:r>
            <w:r w:rsidRPr="00401DFF">
              <w:rPr>
                <w:rFonts w:ascii="Times New Roman" w:eastAsia="Times New Roman" w:hAnsi="Times New Roman" w:cs="Times New Roman"/>
                <w:sz w:val="24"/>
                <w:szCs w:val="24"/>
                <w:lang w:eastAsia="es-CO"/>
              </w:rPr>
              <w:t xml:space="preserve"> que afecta de forma adversa al tenedor del seguro (véase el Apéndice B que contiene guías sobre esta definición).</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Disociar (unbundle)</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Contabilizar los componentes de un contrato como si fueran contratos separados.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elemento garantizado (guaranteed </w:t>
            </w:r>
            <w:r w:rsidRPr="00401DFF">
              <w:rPr>
                <w:rFonts w:ascii="Times New Roman" w:eastAsia="Times New Roman" w:hAnsi="Times New Roman" w:cs="Times New Roman"/>
                <w:b/>
                <w:bCs/>
                <w:sz w:val="24"/>
                <w:szCs w:val="24"/>
                <w:lang w:eastAsia="es-CO"/>
              </w:rPr>
              <w:lastRenderedPageBreak/>
              <w:t>element)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Una obligación de pagar </w:t>
            </w:r>
            <w:r w:rsidRPr="00401DFF">
              <w:rPr>
                <w:rFonts w:ascii="Times New Roman" w:eastAsia="Times New Roman" w:hAnsi="Times New Roman" w:cs="Times New Roman"/>
                <w:b/>
                <w:bCs/>
                <w:sz w:val="24"/>
                <w:szCs w:val="24"/>
                <w:lang w:eastAsia="es-CO"/>
              </w:rPr>
              <w:t xml:space="preserve">prestaciones </w:t>
            </w:r>
            <w:r w:rsidRPr="00401DFF">
              <w:rPr>
                <w:rFonts w:ascii="Times New Roman" w:eastAsia="Times New Roman" w:hAnsi="Times New Roman" w:cs="Times New Roman"/>
                <w:b/>
                <w:bCs/>
                <w:sz w:val="24"/>
                <w:szCs w:val="24"/>
                <w:lang w:eastAsia="es-CO"/>
              </w:rPr>
              <w:lastRenderedPageBreak/>
              <w:t>garantizadas,</w:t>
            </w:r>
            <w:r w:rsidRPr="00401DFF">
              <w:rPr>
                <w:rFonts w:ascii="Times New Roman" w:eastAsia="Times New Roman" w:hAnsi="Times New Roman" w:cs="Times New Roman"/>
                <w:sz w:val="24"/>
                <w:szCs w:val="24"/>
                <w:lang w:eastAsia="es-CO"/>
              </w:rPr>
              <w:t xml:space="preserve"> incluida en un contrato que contiene un </w:t>
            </w:r>
            <w:r w:rsidRPr="00401DFF">
              <w:rPr>
                <w:rFonts w:ascii="Times New Roman" w:eastAsia="Times New Roman" w:hAnsi="Times New Roman" w:cs="Times New Roman"/>
                <w:b/>
                <w:bCs/>
                <w:sz w:val="24"/>
                <w:szCs w:val="24"/>
                <w:lang w:eastAsia="es-CO"/>
              </w:rPr>
              <w:t>elemento de participación discrecional.</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evento asegurado (insured event)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evento futuro incierto que está cubierto por un </w:t>
            </w:r>
            <w:r w:rsidRPr="00401DFF">
              <w:rPr>
                <w:rFonts w:ascii="Times New Roman" w:eastAsia="Times New Roman" w:hAnsi="Times New Roman" w:cs="Times New Roman"/>
                <w:b/>
                <w:bCs/>
                <w:sz w:val="24"/>
                <w:szCs w:val="24"/>
                <w:lang w:eastAsia="es-CO"/>
              </w:rPr>
              <w:t>contrato de seguro</w:t>
            </w:r>
            <w:r w:rsidRPr="00401DFF">
              <w:rPr>
                <w:rFonts w:ascii="Times New Roman" w:eastAsia="Times New Roman" w:hAnsi="Times New Roman" w:cs="Times New Roman"/>
                <w:sz w:val="24"/>
                <w:szCs w:val="24"/>
                <w:lang w:eastAsia="es-CO"/>
              </w:rPr>
              <w:t xml:space="preserve">y crea un </w:t>
            </w:r>
            <w:r w:rsidRPr="00401DFF">
              <w:rPr>
                <w:rFonts w:ascii="Times New Roman" w:eastAsia="Times New Roman" w:hAnsi="Times New Roman" w:cs="Times New Roman"/>
                <w:b/>
                <w:bCs/>
                <w:sz w:val="24"/>
                <w:szCs w:val="24"/>
                <w:lang w:eastAsia="es-CO"/>
              </w:rPr>
              <w:t>riesgo de 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 por seguros (insurance liability)</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Las obligaciones contractuales netas de la </w:t>
            </w:r>
            <w:r w:rsidRPr="00401DFF">
              <w:rPr>
                <w:rFonts w:ascii="Times New Roman" w:eastAsia="Times New Roman" w:hAnsi="Times New Roman" w:cs="Times New Roman"/>
                <w:b/>
                <w:bCs/>
                <w:sz w:val="24"/>
                <w:szCs w:val="24"/>
                <w:lang w:eastAsia="es-CO"/>
              </w:rPr>
              <w:t>aseguradora</w:t>
            </w:r>
            <w:r w:rsidRPr="00401DFF">
              <w:rPr>
                <w:rFonts w:ascii="Times New Roman" w:eastAsia="Times New Roman" w:hAnsi="Times New Roman" w:cs="Times New Roman"/>
                <w:sz w:val="24"/>
                <w:szCs w:val="24"/>
                <w:lang w:eastAsia="es-CO"/>
              </w:rPr>
              <w:t>, que se derivan de un</w:t>
            </w:r>
            <w:r w:rsidRPr="00401DFF">
              <w:rPr>
                <w:rFonts w:ascii="Times New Roman" w:eastAsia="Times New Roman" w:hAnsi="Times New Roman" w:cs="Times New Roman"/>
                <w:b/>
                <w:bCs/>
                <w:sz w:val="24"/>
                <w:szCs w:val="24"/>
                <w:lang w:eastAsia="es-CO"/>
              </w:rPr>
              <w:t>contrato de seguro.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prestaciones garantizadas (guaranteed benefits)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pagos u otras prestaciones sobre los que el </w:t>
            </w:r>
            <w:r w:rsidRPr="00401DFF">
              <w:rPr>
                <w:rFonts w:ascii="Times New Roman" w:eastAsia="Times New Roman" w:hAnsi="Times New Roman" w:cs="Times New Roman"/>
                <w:b/>
                <w:bCs/>
                <w:sz w:val="24"/>
                <w:szCs w:val="24"/>
                <w:lang w:eastAsia="es-CO"/>
              </w:rPr>
              <w:t>tenedor de la póliza</w:t>
            </w:r>
            <w:r w:rsidRPr="00401DFF">
              <w:rPr>
                <w:rFonts w:ascii="Times New Roman" w:eastAsia="Times New Roman" w:hAnsi="Times New Roman" w:cs="Times New Roman"/>
                <w:sz w:val="24"/>
                <w:szCs w:val="24"/>
                <w:lang w:eastAsia="es-CO"/>
              </w:rPr>
              <w:t xml:space="preserve"> o el inversor tenga un derecho incondicional, que no esté sujeto a la discreción del emisor.</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prueba de adecuación del pasivo (liability adequacy test)</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evaluación de si el importe en libros de un </w:t>
            </w:r>
            <w:r w:rsidRPr="00401DFF">
              <w:rPr>
                <w:rFonts w:ascii="Times New Roman" w:eastAsia="Times New Roman" w:hAnsi="Times New Roman" w:cs="Times New Roman"/>
                <w:b/>
                <w:bCs/>
                <w:sz w:val="24"/>
                <w:szCs w:val="24"/>
                <w:lang w:eastAsia="es-CO"/>
              </w:rPr>
              <w:t>pasivo derivado de contrato de seguros</w:t>
            </w:r>
            <w:r w:rsidRPr="00401DFF">
              <w:rPr>
                <w:rFonts w:ascii="Times New Roman" w:eastAsia="Times New Roman" w:hAnsi="Times New Roman" w:cs="Times New Roman"/>
                <w:sz w:val="24"/>
                <w:szCs w:val="24"/>
                <w:lang w:eastAsia="es-CO"/>
              </w:rPr>
              <w:t xml:space="preserve"> necesita ser incrementado (o bien disminuidos los importe en libros, relacionados con el pasivo, de los costos de adquisición diferidos o de los activos intangibles), a partir de una revisión de los flujos de efectivo futuros.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Reaseguradora (reinsurer)</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parte que, en un </w:t>
            </w:r>
            <w:r w:rsidRPr="00401DFF">
              <w:rPr>
                <w:rFonts w:ascii="Times New Roman" w:eastAsia="Times New Roman" w:hAnsi="Times New Roman" w:cs="Times New Roman"/>
                <w:b/>
                <w:bCs/>
                <w:sz w:val="24"/>
                <w:szCs w:val="24"/>
                <w:lang w:eastAsia="es-CO"/>
              </w:rPr>
              <w:t>contrato de reaseguro,</w:t>
            </w:r>
            <w:r w:rsidRPr="00401DFF">
              <w:rPr>
                <w:rFonts w:ascii="Times New Roman" w:eastAsia="Times New Roman" w:hAnsi="Times New Roman" w:cs="Times New Roman"/>
                <w:sz w:val="24"/>
                <w:szCs w:val="24"/>
                <w:lang w:eastAsia="es-CO"/>
              </w:rPr>
              <w:t xml:space="preserve"> tiene la obligación de compensar a la </w:t>
            </w:r>
            <w:r w:rsidRPr="00401DFF">
              <w:rPr>
                <w:rFonts w:ascii="Times New Roman" w:eastAsia="Times New Roman" w:hAnsi="Times New Roman" w:cs="Times New Roman"/>
                <w:b/>
                <w:bCs/>
                <w:sz w:val="24"/>
                <w:szCs w:val="24"/>
                <w:lang w:eastAsia="es-CO"/>
              </w:rPr>
              <w:t>cedente</w:t>
            </w:r>
            <w:r w:rsidRPr="00401DFF">
              <w:rPr>
                <w:rFonts w:ascii="Times New Roman" w:eastAsia="Times New Roman" w:hAnsi="Times New Roman" w:cs="Times New Roman"/>
                <w:sz w:val="24"/>
                <w:szCs w:val="24"/>
                <w:lang w:eastAsia="es-CO"/>
              </w:rPr>
              <w:t xml:space="preserve"> en caso de que ocurra el </w:t>
            </w:r>
            <w:r w:rsidRPr="00401DFF">
              <w:rPr>
                <w:rFonts w:ascii="Times New Roman" w:eastAsia="Times New Roman" w:hAnsi="Times New Roman" w:cs="Times New Roman"/>
                <w:b/>
                <w:bCs/>
                <w:sz w:val="24"/>
                <w:szCs w:val="24"/>
                <w:lang w:eastAsia="es-CO"/>
              </w:rPr>
              <w:t>evento asegurado.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seguro (insurance risk)</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Todo riesgo, distinto del </w:t>
            </w:r>
            <w:r w:rsidRPr="00401DFF">
              <w:rPr>
                <w:rFonts w:ascii="Times New Roman" w:eastAsia="Times New Roman" w:hAnsi="Times New Roman" w:cs="Times New Roman"/>
                <w:b/>
                <w:bCs/>
                <w:sz w:val="24"/>
                <w:szCs w:val="24"/>
                <w:lang w:eastAsia="es-CO"/>
              </w:rPr>
              <w:t>riesgo financiero,</w:t>
            </w:r>
            <w:r w:rsidRPr="00401DFF">
              <w:rPr>
                <w:rFonts w:ascii="Times New Roman" w:eastAsia="Times New Roman" w:hAnsi="Times New Roman" w:cs="Times New Roman"/>
                <w:sz w:val="24"/>
                <w:szCs w:val="24"/>
                <w:lang w:eastAsia="es-CO"/>
              </w:rPr>
              <w:t xml:space="preserve"> transferido por el tenedor de un contrato al emisor.</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financiero (financial risk)</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que representa un posible cambio futuro en una o más de las siguientes variables: un tasa de interés especificado, el precio de un instrumento financiero, el precio de una materia prima cotizada, un tipo de cambio, un índice de precios o de intereses, una clasificación o un índice crediticio u otra variable. Si se trata de una variable no financiera, es necesario que la misma no sea específica de una de las partes en el contrato.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tenedor del contrato (policyholder)</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parte del </w:t>
            </w:r>
            <w:r w:rsidRPr="00401DFF">
              <w:rPr>
                <w:rFonts w:ascii="Times New Roman" w:eastAsia="Times New Roman" w:hAnsi="Times New Roman" w:cs="Times New Roman"/>
                <w:b/>
                <w:bCs/>
                <w:sz w:val="24"/>
                <w:szCs w:val="24"/>
                <w:lang w:eastAsia="es-CO"/>
              </w:rPr>
              <w:t>contrato de seguro</w:t>
            </w:r>
            <w:r w:rsidRPr="00401DFF">
              <w:rPr>
                <w:rFonts w:ascii="Times New Roman" w:eastAsia="Times New Roman" w:hAnsi="Times New Roman" w:cs="Times New Roman"/>
                <w:sz w:val="24"/>
                <w:szCs w:val="24"/>
                <w:lang w:eastAsia="es-CO"/>
              </w:rPr>
              <w:t xml:space="preserve"> que adquiere el derecho a ser compensado, en caso de producirse el </w:t>
            </w:r>
            <w:r w:rsidRPr="00401DFF">
              <w:rPr>
                <w:rFonts w:ascii="Times New Roman" w:eastAsia="Times New Roman" w:hAnsi="Times New Roman" w:cs="Times New Roman"/>
                <w:b/>
                <w:bCs/>
                <w:sz w:val="24"/>
                <w:szCs w:val="24"/>
                <w:lang w:eastAsia="es-CO"/>
              </w:rPr>
              <w:t>evento asegurado.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Valor razonable</w:t>
            </w:r>
            <w:r w:rsidRPr="00401DFF">
              <w:rPr>
                <w:rFonts w:ascii="Times New Roman" w:eastAsia="Times New Roman" w:hAnsi="Times New Roman" w:cs="Times New Roman"/>
                <w:sz w:val="24"/>
                <w:szCs w:val="24"/>
                <w:lang w:eastAsia="es-CO"/>
              </w:rPr>
              <w:t xml:space="preserve"> es el precio que se recibiría por vender un activo o que se pagaría por transferir un pasivo en una transacción </w:t>
            </w:r>
            <w:r w:rsidRPr="00401DFF">
              <w:rPr>
                <w:rFonts w:ascii="Times New Roman" w:eastAsia="Times New Roman" w:hAnsi="Times New Roman" w:cs="Times New Roman"/>
                <w:sz w:val="24"/>
                <w:szCs w:val="24"/>
                <w:lang w:eastAsia="es-CO"/>
              </w:rPr>
              <w:lastRenderedPageBreak/>
              <w:t>ordenada entre participantes de mercado en la fecha de la medición. (Véase la NIIF 13).</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Definición de contrato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Este Apéndice proporciona guías sobre la definición de un contrato de seguro dada en el Apéndice A. Se tratan los temas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expresión “evento futuro incierto” (párrafos B2 a B4);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pagos en especie (párrafos B5 a B7);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riesgo de seguro y otros riesgos (párrafos B8 a B17);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ejemplos de contratos de seguro (párrafos B18 a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riesgo significativo de seguro (párrafos B22 a B28);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cambios en el nivel de riesgo de seguro (párrafos B29 y B30).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Evento futuro incierto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La incertidumbre (o el riesgo) es la esencia de todo contrato de seguro. De acuerdo con ello, al menos uno de los siguientes factores tendrá que ser incierto al comienzo de un contrato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si se producirá o no el </w:t>
      </w:r>
      <w:r w:rsidRPr="00401DFF">
        <w:rPr>
          <w:rFonts w:ascii="Times New Roman" w:eastAsia="Times New Roman" w:hAnsi="Times New Roman" w:cs="Times New Roman"/>
          <w:i/>
          <w:iCs/>
          <w:sz w:val="24"/>
          <w:szCs w:val="24"/>
          <w:lang w:eastAsia="es-CO"/>
        </w:rPr>
        <w:t>evento asegurado;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cuándo se producirá;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cuánto tendría que pagar la aseguradora si se produjese.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En algunos contratos de seguro, el evento asegurado es el descubrimiento de una pérdida durante el periodo de duración del contrato, incluso si la pérdida en cuestión procediese de un evento ocurrido antes del inicio del mismo. En otros contratos de seguro, el evento asegurado debe tener lugar dentro del periodo de duración del contrato, incluso si la pérdida que resulte fuera descubierta después de la finalización del plazo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 Algunos contratos de seguro cubren eventos que ya han ocurrido, pero cuyos efectos financieros son todavía inciertos. Un ejemplo es un contrato de reaseguro que cubre a la aseguradora directa contra la evolución desfavorable de las reclamaciones ya declaradas </w:t>
      </w:r>
      <w:r w:rsidRPr="00401DFF">
        <w:rPr>
          <w:rFonts w:ascii="Times New Roman" w:eastAsia="Times New Roman" w:hAnsi="Times New Roman" w:cs="Times New Roman"/>
          <w:sz w:val="24"/>
          <w:szCs w:val="24"/>
          <w:lang w:eastAsia="es-CO"/>
        </w:rPr>
        <w:lastRenderedPageBreak/>
        <w:t>por los tenedores de las pólizas. En estos contratos, el evento asegurado es el descubrimiento del costo final de dichas prestaciones.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Pagos en especie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Algunos contratos de seguro requieren o permiten que los pagos se realicen en especie. Por ejemplo cuando la aseguradora sustituye directamente un artículo robado, en lugar de reembolsar su importe al tenedor de la póliza. Otro ejemplo se da cuando la aseguradora utiliza sus propios hospitales y personal médico para suministrar servicios médicos cubiertos por los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Algunos contratos de servicio de cuota fija, en los que el grado de prestación del servicio depende de un evento incierto, cumplen la definición de contrato de seguro dada en esta NIIF, pero no están regulados como contratos de seguro en algunos países. Un ejemplo son los contratos de mantenimiento en los que el suministrador del servicio acuerda reparar un equipo específico si tiene averías. La cuota fija por el servicio está basada en el número de averías esperadas, pero existe incertidumbre acerca de si una máquina concreta dejará de funcionar. El mal funcionamiento del equipo afecta de forma adversa a su propietario, y el contrato le compensa (en especie, no en efectivo). Otro ejemplo es un contrato de asistencia para automóviles, en el cual el propietario acuerda, a cambio de una cuota fija anual, reparar el vehículo en la carretera o remolcarlo hasta el taller más cercano. Este último contrato podría cumplir la definición de contrato de seguro, incluso en el caso de que el suministrador del servicio no esté de acuerdo en llevar a cabo las reparaciones o no cargue con el costo de las partes sustituidas.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Es probable que la aplicación de la presente NIIF a los contratos mencionados en el párrafo B6 no sea más gravosa que la aplicación de las NIIF que se habrían de utilizar si los contratos estuvieran fuera del alcance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Es improbable que se tengan pasivos importantes por averías o roturas ya ocurridas.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 se aplicase la NIC 18 </w:t>
      </w:r>
      <w:r w:rsidRPr="00401DFF">
        <w:rPr>
          <w:rFonts w:ascii="Times New Roman" w:eastAsia="Times New Roman" w:hAnsi="Times New Roman" w:cs="Times New Roman"/>
          <w:i/>
          <w:iCs/>
          <w:sz w:val="24"/>
          <w:szCs w:val="24"/>
          <w:lang w:eastAsia="es-CO"/>
        </w:rPr>
        <w:t>Ingresos de Actividades Ordinarias,</w:t>
      </w:r>
      <w:r w:rsidRPr="00401DFF">
        <w:rPr>
          <w:rFonts w:ascii="Times New Roman" w:eastAsia="Times New Roman" w:hAnsi="Times New Roman" w:cs="Times New Roman"/>
          <w:sz w:val="24"/>
          <w:szCs w:val="24"/>
          <w:lang w:eastAsia="es-CO"/>
        </w:rPr>
        <w:t xml:space="preserve"> el prestador del servicio reconocería el ingreso de actividades ordinarias a partir del grado de terminación (así como de otros criterios específicos). Este procedimiento será también aceptable dentro de la presente NIIF, en la que se permite al suministrador del servicio (i) continuar con sus políticas contables actuales para esos contratos, salvo que ello implique prácticas prohibidas por el párrafo 14;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mejorar sus políticas contables si así lo permiten los párrafos 22 a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suministrador del servicio considerará si el costo de cumplir con su obligación contractual de prestarlo excede al importe del ingreso de actividades ordinarias recibido por anticipado. Para hacer esto, aplicará la prueba de adecuación del pasivo descrita en los párrafos 15 a 19 de esta NIIF. Si esta NIIF no fuera de aplicación a dichos contratos, el suministrador del servicio aplicaría la NIC 37 para determinar si los contratos resultan onerosos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Para esos contratos, es poco probable que los requerimientos de revelar información contenidas en esta NIIF añadan revelaciones significativas respecto a las que son obligatorias en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Distinción entre riesgo de seguro y otros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B8 En la definición de contrato de seguro se hace referencia al riesgo de seguro, el cual se define en esta NIIF como todo riesgo, distinto del </w:t>
      </w:r>
      <w:r w:rsidRPr="00401DFF">
        <w:rPr>
          <w:rFonts w:ascii="Times New Roman" w:eastAsia="Times New Roman" w:hAnsi="Times New Roman" w:cs="Times New Roman"/>
          <w:i/>
          <w:iCs/>
          <w:sz w:val="24"/>
          <w:szCs w:val="24"/>
          <w:lang w:eastAsia="es-CO"/>
        </w:rPr>
        <w:t>riesgo financiero,</w:t>
      </w:r>
      <w:r w:rsidRPr="00401DFF">
        <w:rPr>
          <w:rFonts w:ascii="Times New Roman" w:eastAsia="Times New Roman" w:hAnsi="Times New Roman" w:cs="Times New Roman"/>
          <w:sz w:val="24"/>
          <w:szCs w:val="24"/>
          <w:lang w:eastAsia="es-CO"/>
        </w:rPr>
        <w:t xml:space="preserve"> transferido por el tenedor de un contrato al emisor del mismo. Un contrato que exponga al emisor a un riesgo financiero, pero que no tenga un componente significativo de riesgo de seguro, no es un contrato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En la definición de riesgo financiero del Apéndice A, se incluye una lista de variables financieras y no financieras. La lista contiene variables no financieras que no son específicas para ninguna de las partes del contrato, tales como un índice de pérdidas causadas por terremotos en una región particular o un índice de temperaturas en una ciudad concreta. La lista excluye variables no financieras que son específicas para una de las partes, tal como la ocurrencia o no de un incendio que dañe o destruya un activo de la misma. Además, el riesgo de variaciones en el valor razonable de un activo no financiero no sería un riesgo de tipo financiero si el valor razonable reflejara no sólo cambios en los precios de mercado para dichos activos (una variable financiera), sino también el estado o condición de un activo no financiero específico perteneciente a una de las partes del contrato (una variable no financiera). Por ejemplo, si una garantía del valor residual de un automóvil específico expone al garante al riesgo de cambios en el estado físico del mismo, el riesgo será un riesgo de seguro, no un riesgo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Algunos contratos exponen al emisor a un riesgo financiero, además de a un riesgo de seguro significativo. Por ejemplo, muchos contratos de seguro de vida garantizan una tasa mínima de rentabilidad a los tenedores (lo cual crea riesgo financiero), y a la vez prometen una compensación por fallecimiento que excede varias veces el saldo de la cuenta del tenedor (lo que crea un riesgo de seguro en la modalidad de riesgo de fallecimiento). Estos contratos son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En algunos contratos, la ocurrencia del evento asegurado provoca el pago de un importe ligado a un índice de precios. Estos contratos serán contratos de seguro, siempre que el pago que dependa del evento asegurado pueda ser significativo. Por ejemplo, una renta vitalicia vinculada a un índice del costo de la vida transfiere riesgo de seguro, puesto que el pago es provocado por un suceso incierto —la supervivencia del perceptor de la renta. La vinculación al índice de precios es un derivado implícito, pero también transfiere riesgo de seguro. Si la transferencia de riesgo resultante es significativa, el derivado implícito cumple la definición de contrato de seguro, en cuyo caso no será necesario separarlo y medirlo por su valor razonable (véase el párrafo 7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La definición de riesgo de seguro hace referencia al riesgo que la aseguradora acepta del tenedor. En otras palabras, el riesgo de seguro es un riesgo preexistente, transferido del tenedor del seguro a la aseguradora. Por ello, el nuevo riesgo creado por el contrato no podrá ser un riesgo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B13 La definición de contrato de seguro hace referencia a que un evento pueda afectar de forma adversa al tenedor de la póliza. Esta definición no limita el pago, por parte de la aseguradora, a un importe que tenga que ser igual al impacto financiero del evento adverso. Por ejemplo, la definición no excluye una compensación del tipo “nuevo-por-viejo”, en la que se paga al tenedor del seguro un importe suficiente para permitir la reposición de un activo viejo dañado por un activo nuevo. De forma similar, la definición no limita el pago, en un contrato de seguro de vida temporal, a las pérdidas financieras sufridas por los dependientes del fallecido, ni impide el pago de importes predeterminados para cuantificar la pérdida causada por muerte o por un accidente.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Algunos contratos requieren un pago si ocurre un evento incierto especificado, pero no requieren que haya originado un efecto adverso al tenedor como condición previa para dicho pago. Tal contrato no será un contrato de seguro, incluso si el tenedor lo utilizase para reducir una exposición al riesgo subyacente. Por ejemplo, si el tenedor utiliza un derivado para cubrir una variable subyacente no financiera, que está correlacionada con los flujos de efectivo de un activo de la entidad, el derivado no será un contrato de seguro puesto que el pago no está condicionado a que el tenedor se vea afectado adversamente por una reducción en los flujos de efectivo del otro activo. Por el contrario, la definición de contrato de seguro hace referencia a un evento incierto, tras el cual el efecto adverso sobre el tenedor del seguro es una precondición contractual para el pago. Esta precondición contractual no obliga a la aseguradora a investigar si el evento ha causado realmente un efecto adverso, pero le permite denegar el pago si no se cumple la condición de que el evento haya provocado dicho efecto adverso.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El riesgo de interrupción o persistencia (es decir, el riesgo de que la otra parte cancele el contrato antes o después del momento esperado por la aseguradora al fijar el precio) no es un riesgo de seguro, puesto que el pago a la otra parte no depende de un evento futuro incierto que afecte de forma adversa a la misma. De forma similar, el riesgo de gasto (es decir, el riesgo de aumentos inesperados de los costos administrativos asociados con la gestión del contrato, que no tenga relación con costos asociados con los eventos asegurados) no será un riesgo de seguro, puesto que un aumento inesperado en los gastos no afecta de forma adversa a la contraparte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Por tanto, un contrato que exponga a la aseguradora a riesgos de interrupción, persistencia o gasto, no será un contrato de seguro, salvo que también exponga a la aseguradora a un riesgo de seguro. No obstante, si el emisor de ese contrato redujese dicho riesgo utilizando un segundo contrato, para transferir parte de ese riesgo a un tercero, ese nuevo contrato expondrá a la otra parte a un riesgo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Una entidad aseguradora podrá aceptar un riesgo significativo del tenedor de un seguro sólo si la aseguradora es una entidad distinta del tenedor. En el caso de que la aseguradora sea una mutua, esta entidad mutualista acepta el riesgo procedente de cada uno de los tenedores de las pólizas y lo concentra. Aunque los tenedores de las pólizas asumen este riesgo concentrado de forma colectiva, en su condición de socios propietarios, la mutua también ha aceptado el riesgo, lo que constituye la esencia de un contrato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B18 Los siguientes son ejemplos de contratos que cumplen las condiciones para ser contratos de seguro, siempre que la transferencia de riesgo de seguro resulte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Seguro contra el robo o los daños en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Seguro de responsabilidad derivada de garantía de productos, responsabilidad profesional, responsabilidad civil o gastos de defensa jurídica.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Seguro de vida y de decesos (aunque la muerte sea cierta, es incierto el momento de ocurrencia o, para algunos tipos de seguro de vida, si ocurre o no en el periodo cubierto por el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Seguro de rentas vitalicias y pensiones (es decir, contratos que prevén compensaciones por un evento futuro incierto —la supervivencia del que percibe las rentas o del pensionista— para ayudar al rentista o al pensionista a mantener un nivel de vida determinado, que podría verse en otro caso afectado adversamente por el hecho de su supervivencia).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Discapacidad y asistencia sanitaria.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Bonos de caución, bonos de fidelidad, bonos de rendimiento y bonos de aval para licitaciones (esto es, contratos que prevén compensaciones si la otra parte incumple un compromiso contractual, por ejemplo la obligación de construir un edificio).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Seguro de crédito, que prevé la realización de pagos específicos para reembolsar al tenedor por una pérdida en la que incurre porque un deudor específico incumple su obligación de pago en los plazos, originales o modificados, establecidos por un instrumento de deuda. Estos contratos pueden revestir diferentes formas legales, tales como la de un aval, algunos tipos de cartas de crédito, un contrato de derivado de crédito para el caso de incumplimiento o un contrato de seguro. No obstante, aunque estos contratos cumplen la definición de contrato de seguro, también se ajustan a la de contrato de garantía financiera de la NIIF 9 y, por tanto, están dentro del alcance de las NIC 32</w:t>
      </w:r>
      <w:hyperlink r:id="rId86" w:anchor="bf10ca80ede0a2944dc89b0dd01bbfbeed3nf9" w:tgtFrame="_self" w:history="1">
        <w:r w:rsidRPr="00401DFF">
          <w:rPr>
            <w:rFonts w:ascii="Times New Roman" w:eastAsia="Times New Roman" w:hAnsi="Times New Roman" w:cs="Times New Roman"/>
            <w:color w:val="0000FF"/>
            <w:sz w:val="20"/>
            <w:szCs w:val="20"/>
            <w:u w:val="single"/>
            <w:vertAlign w:val="superscript"/>
            <w:lang w:eastAsia="es-CO"/>
          </w:rPr>
          <w:t>(82)</w:t>
        </w:r>
      </w:hyperlink>
      <w:r w:rsidRPr="00401DFF">
        <w:rPr>
          <w:rFonts w:ascii="Times New Roman" w:eastAsia="Times New Roman" w:hAnsi="Times New Roman" w:cs="Times New Roman"/>
          <w:sz w:val="24"/>
          <w:szCs w:val="24"/>
          <w:lang w:eastAsia="es-CO"/>
        </w:rPr>
        <w:t>y NIIF 9, no de esta NIIF [véase el apartado (d) del párrafo 4]. Sin embargo, si el emisor de un contrato de garantía financiera hubiese manifestado previa y explícitamente que considera a tales contratos como de seguro y hubiese aplicado la contabilidad de los contratos de seguro, podrá optar entre la aplicación de las NIC 32</w:t>
      </w:r>
      <w:hyperlink r:id="rId87" w:anchor="bf10ca80ede0a2944dc89b0dd01bbfbeed3nf9" w:tgtFrame="_self" w:history="1">
        <w:r w:rsidRPr="00401DFF">
          <w:rPr>
            <w:rFonts w:ascii="Times New Roman" w:eastAsia="Times New Roman" w:hAnsi="Times New Roman" w:cs="Times New Roman"/>
            <w:color w:val="0000FF"/>
            <w:sz w:val="20"/>
            <w:szCs w:val="20"/>
            <w:u w:val="single"/>
            <w:vertAlign w:val="superscript"/>
            <w:lang w:eastAsia="es-CO"/>
          </w:rPr>
          <w:t>(82)</w:t>
        </w:r>
      </w:hyperlink>
      <w:r w:rsidRPr="00401DFF">
        <w:rPr>
          <w:rFonts w:ascii="Times New Roman" w:eastAsia="Times New Roman" w:hAnsi="Times New Roman" w:cs="Times New Roman"/>
          <w:sz w:val="24"/>
          <w:szCs w:val="24"/>
          <w:lang w:eastAsia="es-CO"/>
        </w:rPr>
        <w:t xml:space="preserve"> y la NIIF 9 o de esta NIIF a dichos contratos de garantía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Garantías de productos. Las garantías de productos, emitidas por un tercero, que cubran los bienes vendidos por un fabricante, mayorista o minorista entran dentro del alcance de esta NIIF. No obstante, las garantías de productos emitidas directamente por el fabricante, mayorista o minorista no entran dentro de su alcance, ya que están cubiertas por la NIC 18 y la NIC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Seguros por vicios ocultos en los títulos de propiedad (es decir, seguros contra el descubrimiento de defectos en los títulos de propiedad de la tierra que no son aparentes </w:t>
      </w:r>
      <w:r w:rsidRPr="00401DFF">
        <w:rPr>
          <w:rFonts w:ascii="Times New Roman" w:eastAsia="Times New Roman" w:hAnsi="Times New Roman" w:cs="Times New Roman"/>
          <w:sz w:val="24"/>
          <w:szCs w:val="24"/>
          <w:lang w:eastAsia="es-CO"/>
        </w:rPr>
        <w:lastRenderedPageBreak/>
        <w:t>cuando se suscribe el contrato de seguro). En este caso, el efecto asegurado es el descubrimiento de un defecto en el título, no el defecto en sí.</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Asistencia en viaje (es decir, compensación, en efectivo o en especie al tenedor de la póliza por las pérdidas sufridas durante un viaje). En los párrafos B6 y B7 se han analizado algunos contratos de este tipo.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(k) Bonos de catástrofe, en los que se prevén reducciones en los pagos del principal, de los intereses o de ambos en caso de que un evento adverso específico afecte al emisor del bono (salvo en el caso de que el evento específico no cree un riesgo de seguro que sea significativo, por ejemplo si se trata del cambio en un tasa de interés o de cambio de moneda extranjera).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 Permutas de seguro y otros contratos que establecen pagos basados en cambios climáticos, geológicos u otras variables de tipo físico que sean específicas para una de las partes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 Contratos de reaseguro.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Los siguientes son ejemplos de elementos que no constituyen 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Contratos de inversión, que tienen la forma legal de un contrato de seguro pero que no exponen a la aseguradora a un riesgo de seguro significativo, por ejemplo los contratos de seguro de vida en que la aseguradora no soporta un riesgo de mortalidad significativo (estos contratos son instrumentos financieros distintos del seguro, o son contratos de servicios, véanse los párrafos B20 y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Contratos que tienen la forma legal de un seguro, pero transmiten todo el riesgo significativo de seguro al tenedor, mediante mecanismos, que son directamente ejecutables y no prevén posibilidad de cancelación, por virtud de los cuales se ajustan los pagos futuros del tenedor como resultado directo de las pérdidas aseguradas, por ejemplo algunos contratos de reaseguro financiero o ciertos contratos sobre colectividades (estos contratos son instrumentos financieros distintos del seguro, o son contratos de servicios, véanse los párrafos B20 y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Autoseguro, en otras palabras, la retención de un riesgo que podría haber estado cubierto por un seguro (en este caso no hay contrato de seguro porque no existe un acuerdo con otra 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Contratos (como los de apuestas) que obligan a realizar pagos si ocurre un evento futuro incierto, pero no requieren, como precondición contractual, que el evento afecte de forma adversa al tenedor. No obstante, esto no impide la estipulación de un desembolso predeterminado con el fin de cuantificar la pérdida causada por eventos tales como la muerte o un accidente (véase también el párrafo B13).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Derivados que exponen a una de las partes a un riesgo financiero, pero no a un riesgo de seguro, porque obligan a la misma a realizar pagos basados exclusivamente en los cambios experimentados por una o más variables como las siguientes: un tasa de interés específico, el precio de un instrumento financiero determinado, el precio de una materia prima cotizada concreta, el tipo de cambio de una divisa particular, un índice de precios o de tipos de interés específico, una calificación crediticia o un índice crediticio determinado, o bien otra variable similar, suponiendo, en el caso de las variables no financieras, que no se trate de una variable específica para una de las partes del contrato (véase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Una garantía relacionada con un crédito (o bien una carta de crédito, un contrato de derivado de crédito para el caso de incumplimiento o de un contrato de seguro de crédito) que requiera la realización de pagos incluso cuando el tenedor no haya incurrido en pérdidas debido a que el deudor no haya efectuado los pagos al vencimiento (véase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Contratos que requieren pagos basados en variables climáticas, geológicas u otras magnitudes físicas que no son específicas para una de las partes del contrato (denominados comúnmente derivados climáticos).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Bonos de catástrofe, en los que se prevean reducciones en los pagos del principal, de los intereses o de ambos, basadas en variables climáticas, geológicas u otras magnitudes físicas que no son específicas para una de las partes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Si los contratos descritos en el párrafo B19 crean activos financieros y pasivos financieros, están dentro del alcance de la NIIF 9. Entre otras cosas, esto significa que las partes del contrato utilizan lo que en ocasiones se denomina contabilidad de depósitos, que implica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 las partes reconoce la contrapartida recibida como un pasivo financiero, en lugar de como un ingreso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otra parte reconoce la contrapartida recibida como un activo financiero, en lugar de como un gasto.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B21 Si los contratos descritos en el párrafo B19 no crean activos financieros o pasivos financieros, se aplicará la NIC 18. Según la NIC 18, los ingresos de actividades ordinarias asociados con una transacción que implica la prestación de servicios se reconocerán en función del estado de terminación de dicho contrato, siempre que el resultado del mismo pueda ser estimado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significativo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Un contrato será de seguro sólo si transfiere un riesgo significativo de seguro. En los párrafos B8 a B21 se ha analizado el riesgo de seguro. En los párrafos que siguen se analiza la evaluación de si ese riesgo de seguro es significativo.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B23 El riesgo de seguro será significativo si, y sólo si, un evento asegurado podría hacer pagar a la aseguradora prestaciones adicionales significativas en cualquier escenario, excluyendo los escenarios que no tienen carácter comercial (es decir, que no tienen un efecto perceptible sobre los aspectos económicos de la transacción). El que las prestaciones adicionales significativas se puedan producir en escenarios que tienen carácter comercial, implica que la condición de la frase anterior podría cumplirse incluso si el evento asegurado fuera extremadamente improbable, o incluso si el valor presente esperado (esto es, ponderado en función de la probabilidad) de los flujos de efectivo contingentes fuera una pequeña proporción del valor presente esperado de todos los flujos de efectivo contractuales restantes.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Las prestaciones adicionales descritas en el párrafo B23 se refieren a importes que exceden a los que se habrían de pagar si no ocurriese el evento asegurado (excluyendo los escenarios que no tengan carácter comercial). Entre estos importes adicionales se incluyen los costos de tramitación de las reclamaciones y de evaluación de los mismos, pero se excluyen: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pérdida de capacidad para cobrar al tenedor del seguro por servicios futuros. Por ejemplo, en un contrato de seguro de vida vinculado a inversiones, la muerte del tenedor del seguro implica que la aseguradora no pueda prestar ya servicios de gestión de inversiones y cobrar una comisión por hacerlo. No obstante, esta pérdida económica para la aseguradora no refleja ningún riesgo de seguro, de la misma forma que el gestor de un fondo de inversión colectiva no corre con ningún riesgo de seguro en relación con la posible muerte del cliente. Por tanto, la pérdida potencial de comisiones futuras por gestión de inversiones no será relevante al evaluar cuánto riesgo de seguro se ha transferido mediante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renuncia, en caso de muerte, de los cargos que se hubieran practicado por cancelación o rescate de la póliza. Puesto que el contrato ha hecho nacer esos cargos, la renuncia a practicar los mismos no compensa al tenedor del seguro de un riesgo preexistente. Por tanto, no son relevantes al evaluar cuánto riesgo de seguro ha sido transferido mediante 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pago, condicionado a un evento, que no cause una pérdida significativa al tenedor de la póliza. Por ejemplo, considérese un contrato que obliga a la aseguradora a pagar un millón de unidades monetarias si un activo sufre un daño físico, que cause al tenedor una pérdida económica insignificante por valor de una unidad monetaria. En ese contrato, el tenedor transfiere a la aseguradora un riesgo insignificante de pérdida de una unidad monetaria. Al mismo tiempo, el contrato crea un riesgo, que no es de seguro, consistente en que el emisor debe pagar 999.999 unidades monetarias si ocurre el evento especificado. Puesto que el emisor no acepta un riesgo significativo procedente del tenedor, este contrato no será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Posibles recobros vía reaseguro. La aseguradora contabilizará los mismos de forma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B25 La aseguradora evaluará el carácter significativo del riesgo de seguro contrato por contrato, y no por referencia a la importancia relativa con relación a los estados financieros</w:t>
      </w:r>
      <w:hyperlink r:id="rId88" w:anchor="bf186c22484424a43fda63840ed276b9abenf9" w:tgtFrame="_self" w:history="1">
        <w:r w:rsidRPr="00401DFF">
          <w:rPr>
            <w:rFonts w:ascii="Times New Roman" w:eastAsia="Times New Roman" w:hAnsi="Times New Roman" w:cs="Times New Roman"/>
            <w:color w:val="0000FF"/>
            <w:sz w:val="20"/>
            <w:szCs w:val="20"/>
            <w:u w:val="single"/>
            <w:vertAlign w:val="superscript"/>
            <w:lang w:eastAsia="es-CO"/>
          </w:rPr>
          <w:t>(83)</w:t>
        </w:r>
      </w:hyperlink>
      <w:r w:rsidRPr="00401DFF">
        <w:rPr>
          <w:rFonts w:ascii="Times New Roman" w:eastAsia="Times New Roman" w:hAnsi="Times New Roman" w:cs="Times New Roman"/>
          <w:sz w:val="24"/>
          <w:szCs w:val="24"/>
          <w:lang w:eastAsia="es-CO"/>
        </w:rPr>
        <w:t>. De esta forma, el riesgo de seguro podría ser significativo incluso si hubiera una probabilidad mínima de pérdidas materiales para toda la cartera que comprenda un tipo de contratos. Esta evaluación, realizada contrato por contrato hace más fácil la clasificación de un contrato como de seguro. No obstante, si se sabe que dentro de una cartera que comprenda un tipo de contratos pequeños y relativamente homogéneos, todos ellos transfieren riesgo de seguro, la aseguradora no necesitará examinar cada contrato, dentro de dicha cartera, para acabar identificando un número reducido de ellos que no sean derivados y transfieran un riesgo de seguro insignificante.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De los párrafos B23 a B25 se deduce que, si un contrato contiene una prestación por fallecimiento que excede al importe a pagar en caso de supervivencia, el contrato será un contrato de seguro salvo que la prestación adicional en caso de muerte sea insignificante (juzgada por referencia al contrato en sí, no a la cartera que comprenda todos los contratos de ese tipo). Como se ha señalado en el apartado (b) del párrafo B24, la renuncia de los cargos por cancelación o rescate en caso de producirse la muerte del tenedor, no se incluirá en la evaluación si dicha renuncia no compensa al tenedor del seguro por un riesgo preexistente. De forma similar, un contrato de rentas donde se pagan sumas regulares para el resto de la vida del tenedor del seguro será un contrato de seguro, a no ser que el total de estos pagos vitalicios sea insignificante.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El párrafo B23 hace referencia a prestaciones adicionales. Dichas prestaciones adicionales podrían incluir la obligación de pagar antes las prestaciones si el evento asegurado ocurriese anticipadamente, sin que por ello se ajustara el pago para tener en cuenta el valor del dinero en el tiempo. Un ejemplo es un seguro de vida completa por un importe fijo (en otras palabras, un seguro que prevé una prestación fija por muerte, con independencia de cuando se produzca el deceso del tenedor de la póliza, y tiene una cobertura ilimitada en el tiempo). La muerte del tenedor es un hecho cierto, pero la fecha de la misma es incierta. La aseguradora sufrirá una pérdida en aquellos contratos en que el tenedor muera anticipadamente, incluso si no hubiera una pérdida general en la cartera correspondiente a este tipo de contratos.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Si se disocian, en un contrato de seguro, el componente de depósito y el componente de seguro, el carácter significativo del riesgo de seguro transferido se evaluará únicamente con referencia al componente de seguro. El carácter significativo del riesgo de seguro transferido por un derivado implícito se evaluará únicamente con referencia a ese derivado implícito.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el nivel de riesgo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B29 Algunos contratos no transfieren, al comienzo, ningún riesgo de seguro a la aseguradora, si bien lo transferirán en un momento posterior. Por ejemplo, considérese un contrato que prevea un rendimiento de inversión determinado, e incluya una opción para el tenedor del seguro que le permita, al vencimiento, utilizar los ingresos procedentes de dicha inversión para comprar una renta vitalicia, a los precios que habitualmente cargue la aseguradora a otros rentistas en el momento en que el tenedor ejercite la opción. Este </w:t>
      </w:r>
      <w:r w:rsidRPr="00401DFF">
        <w:rPr>
          <w:rFonts w:ascii="Times New Roman" w:eastAsia="Times New Roman" w:hAnsi="Times New Roman" w:cs="Times New Roman"/>
          <w:sz w:val="24"/>
          <w:szCs w:val="24"/>
          <w:lang w:eastAsia="es-CO"/>
        </w:rPr>
        <w:lastRenderedPageBreak/>
        <w:t>contrato no transfiere riesgo de seguro a la aseguradora hasta que sea ejercitada la opción, puesto que la aseguradora es libre de poner precio a la renta vitalicia con un criterio que refleje el riesgo de seguro que se le va a transferir en esa fecha. No obstante, si el contrato especificase los precios de la renta vitalicia (o los criterios para establecer los mismos), transferiría el riesgo de seguro desde su comienzo.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B30 Un contrato que cumpla las condiciones para ser calificado como contrato de seguro, continuará siéndolo hasta que todos los derechos y obligaciones que establezca queden extinguidos o venzan.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(79) Los pasivos por seguros que sean relevantes (considerados junto a los costos de adquisición diferidos y los activos intangibles que se relacionen con ellos) son aquéllos para los que las políticas contables de la aseguradora no requieren una prueba de adecuación de los pasivos, que cumpla los requisitos mínimos del párrafo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(80) En este párrafo, los pasivos por contratos de seguro comprenden tanto los costos de adquisición diferidos como los activos intangibles conexos, tal como se discute en los párrafos 31 y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Cuando una entidad aplica la NIIF 7, la referencia a la NIC 32 se sustituye por una referencia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Cuando una entidad aplica la NIIF 7, la referencia a la NIC 32 se sustituye por una referencia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(83) Para este propósito, los contratos celebrados simultáneamente con una sola contraparte (o contratos que serían en otro caso interdependientes) constituyen un contrato único.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no Corrientes Mantenidos para la Venta y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El objetivo de esta NIIF es especificar el tratamiento contable de los activos mantenidos para la venta, así como la presentación e información a revelar sobre las </w:t>
      </w:r>
      <w:r w:rsidRPr="00401DFF">
        <w:rPr>
          <w:rFonts w:ascii="Times New Roman" w:eastAsia="Times New Roman" w:hAnsi="Times New Roman" w:cs="Times New Roman"/>
          <w:i/>
          <w:iCs/>
          <w:sz w:val="24"/>
          <w:szCs w:val="24"/>
          <w:lang w:eastAsia="es-CO"/>
        </w:rPr>
        <w:t>operaciones discontinuadas</w:t>
      </w:r>
      <w:r w:rsidRPr="00401DFF">
        <w:rPr>
          <w:rFonts w:ascii="Times New Roman" w:eastAsia="Times New Roman" w:hAnsi="Times New Roman" w:cs="Times New Roman"/>
          <w:sz w:val="24"/>
          <w:szCs w:val="24"/>
          <w:lang w:eastAsia="es-CO"/>
        </w:rPr>
        <w:t>. En particular, la NIIF requiere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que cumplan los criterios para ser clasificados como mantenidos para la venta, sean valorados al menor valor entre su importe en libros y su valor razonable menos los costos de venta, así como que cese la depreciación de dichos activos;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que cumplan los criterios para ser clasificados como mantenidos para la venta, se presenten de forma separada en el estado de situación financiera, y que los resultados de las operaciones discontinuadas se presenten por separado en el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Los requerimientos de clasificación y presentación de esta NIIF se aplicarán a todos los </w:t>
      </w:r>
      <w:r w:rsidRPr="00401DFF">
        <w:rPr>
          <w:rFonts w:ascii="Times New Roman" w:eastAsia="Times New Roman" w:hAnsi="Times New Roman" w:cs="Times New Roman"/>
          <w:i/>
          <w:iCs/>
          <w:sz w:val="24"/>
          <w:szCs w:val="24"/>
          <w:lang w:eastAsia="es-CO"/>
        </w:rPr>
        <w:t>activos no corrientes</w:t>
      </w:r>
      <w:hyperlink r:id="rId89" w:anchor="bf1253333ea77a146debbaac7f86f636681nf9" w:tgtFrame="_self" w:history="1">
        <w:r w:rsidRPr="00401DFF">
          <w:rPr>
            <w:rFonts w:ascii="Times New Roman" w:eastAsia="Times New Roman" w:hAnsi="Times New Roman" w:cs="Times New Roman"/>
            <w:color w:val="0000FF"/>
            <w:sz w:val="20"/>
            <w:szCs w:val="20"/>
            <w:u w:val="single"/>
            <w:vertAlign w:val="superscript"/>
            <w:lang w:eastAsia="es-CO"/>
          </w:rPr>
          <w:t>(84)</w:t>
        </w:r>
      </w:hyperlink>
      <w:r w:rsidRPr="00401DFF">
        <w:rPr>
          <w:rFonts w:ascii="Times New Roman" w:eastAsia="Times New Roman" w:hAnsi="Times New Roman" w:cs="Times New Roman"/>
          <w:sz w:val="24"/>
          <w:szCs w:val="24"/>
          <w:lang w:eastAsia="es-CO"/>
        </w:rPr>
        <w:t xml:space="preserve"> reconocidos, y a todos los </w:t>
      </w:r>
      <w:r w:rsidRPr="00401DFF">
        <w:rPr>
          <w:rFonts w:ascii="Times New Roman" w:eastAsia="Times New Roman" w:hAnsi="Times New Roman" w:cs="Times New Roman"/>
          <w:i/>
          <w:iCs/>
          <w:sz w:val="24"/>
          <w:szCs w:val="24"/>
          <w:lang w:eastAsia="es-CO"/>
        </w:rPr>
        <w:t xml:space="preserve">grupos de activos para su disposición </w:t>
      </w:r>
      <w:r w:rsidRPr="00401DFF">
        <w:rPr>
          <w:rFonts w:ascii="Times New Roman" w:eastAsia="Times New Roman" w:hAnsi="Times New Roman" w:cs="Times New Roman"/>
          <w:sz w:val="24"/>
          <w:szCs w:val="24"/>
          <w:lang w:eastAsia="es-CO"/>
        </w:rPr>
        <w:t>que tiene la entidad. Los requerimientos de medición de esta NIIF se aplicarán a todos los activos no corrientes reconocidos y a los grupos de activos para su disposición (establecidos en el párrafo 4), excepto a aquellos activos enumerados en el párrafo 5, que continuarán midiéndose de acuerdo con la Norma que se indica en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Los activos clasificados como no corrientes de acuerdo con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no se reclasificarán como </w:t>
      </w:r>
      <w:r w:rsidRPr="00401DFF">
        <w:rPr>
          <w:rFonts w:ascii="Times New Roman" w:eastAsia="Times New Roman" w:hAnsi="Times New Roman" w:cs="Times New Roman"/>
          <w:i/>
          <w:iCs/>
          <w:sz w:val="24"/>
          <w:szCs w:val="24"/>
          <w:lang w:eastAsia="es-CO"/>
        </w:rPr>
        <w:t>activos corrientes</w:t>
      </w:r>
      <w:r w:rsidRPr="00401DFF">
        <w:rPr>
          <w:rFonts w:ascii="Times New Roman" w:eastAsia="Times New Roman" w:hAnsi="Times New Roman" w:cs="Times New Roman"/>
          <w:sz w:val="24"/>
          <w:szCs w:val="24"/>
          <w:lang w:eastAsia="es-CO"/>
        </w:rPr>
        <w:t xml:space="preserve"> hasta que cumplan los criterios para ser clasificados como mantenidos para la venta de acuerdo con esta NIIF. Los activos de una clase que una entidad consideraría normalmente como no corriente que se adquieran exclusivamente con intención de reventa no se reclasificarán como corrientes a menos que cumplan los criterios para ser clasificados como mantenidos para la venta de acuerdo con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En ocasiones, una entidad dispone de un grupo de activos, posiblemente con algunos pasivos directamente asociados, de forma conjunta y en una sola transacción. Un grupo de activos para su disposición puede ser un grupo de </w:t>
      </w:r>
      <w:r w:rsidRPr="00401DFF">
        <w:rPr>
          <w:rFonts w:ascii="Times New Roman" w:eastAsia="Times New Roman" w:hAnsi="Times New Roman" w:cs="Times New Roman"/>
          <w:i/>
          <w:iCs/>
          <w:sz w:val="24"/>
          <w:szCs w:val="24"/>
          <w:lang w:eastAsia="es-CO"/>
        </w:rPr>
        <w:t>unidades generadoras de efectivo,</w:t>
      </w:r>
      <w:r w:rsidRPr="00401DFF">
        <w:rPr>
          <w:rFonts w:ascii="Times New Roman" w:eastAsia="Times New Roman" w:hAnsi="Times New Roman" w:cs="Times New Roman"/>
          <w:sz w:val="24"/>
          <w:szCs w:val="24"/>
          <w:lang w:eastAsia="es-CO"/>
        </w:rPr>
        <w:t xml:space="preserve"> una única unidad generadora de efectivo, o parte de una unidad generadora de efectivo</w:t>
      </w:r>
      <w:hyperlink r:id="rId90" w:anchor="bf177163510ca424470bb3957315ad76fd2nf9" w:tgtFrame="_self" w:history="1">
        <w:r w:rsidRPr="00401DFF">
          <w:rPr>
            <w:rFonts w:ascii="Times New Roman" w:eastAsia="Times New Roman" w:hAnsi="Times New Roman" w:cs="Times New Roman"/>
            <w:color w:val="0000FF"/>
            <w:sz w:val="20"/>
            <w:szCs w:val="20"/>
            <w:u w:val="single"/>
            <w:vertAlign w:val="superscript"/>
            <w:lang w:eastAsia="es-CO"/>
          </w:rPr>
          <w:t>(85)</w:t>
        </w:r>
      </w:hyperlink>
      <w:r w:rsidRPr="00401DFF">
        <w:rPr>
          <w:rFonts w:ascii="Times New Roman" w:eastAsia="Times New Roman" w:hAnsi="Times New Roman" w:cs="Times New Roman"/>
          <w:sz w:val="24"/>
          <w:szCs w:val="24"/>
          <w:lang w:eastAsia="es-CO"/>
        </w:rPr>
        <w:t>. El grupo puede incluir cualesquiera activos y pasivos de la entidad, incluyendo activos corrientes, pasivos corrientes y activos excluidos por el párrafo 5 de los requerimientos de medición de esta NIIF. Si un activo no corriente, dentro del alcance de los requisitos de medición de esta NIIF, formase parte de un grupo de activos para su disposición, los requerimientos de medición de esta NIIF se aplicarán al grupo como un todo, de tal forma que dicho grupo se medirá por el menor valor entre su importe en libros y su valor razonable menos los costos de venta. Los requerimientos de medición de activos y pasivos individuales, dentro del grupo de activos para su disposición, se establecen en los párrafos 18, 19 y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criterios de medición de esta NIIF</w:t>
      </w:r>
      <w:hyperlink r:id="rId91" w:anchor="bf14a9669865d804d28bc1d4a0805d94e6anf9" w:tgtFrame="_self" w:history="1">
        <w:r w:rsidRPr="00401DFF">
          <w:rPr>
            <w:rFonts w:ascii="Times New Roman" w:eastAsia="Times New Roman" w:hAnsi="Times New Roman" w:cs="Times New Roman"/>
            <w:color w:val="0000FF"/>
            <w:sz w:val="20"/>
            <w:szCs w:val="20"/>
            <w:u w:val="single"/>
            <w:vertAlign w:val="superscript"/>
            <w:lang w:eastAsia="es-CO"/>
          </w:rPr>
          <w:t>(86)</w:t>
        </w:r>
      </w:hyperlink>
      <w:r w:rsidRPr="00401DFF">
        <w:rPr>
          <w:rFonts w:ascii="Times New Roman" w:eastAsia="Times New Roman" w:hAnsi="Times New Roman" w:cs="Times New Roman"/>
          <w:sz w:val="24"/>
          <w:szCs w:val="24"/>
          <w:lang w:eastAsia="es-CO"/>
        </w:rPr>
        <w:t xml:space="preserve"> no son aplicables a los siguientes activos, que quedan cubiertos por las Normas indicadas en cada caso, independientemente de que sean activos individuales o que formen parte de un grupo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Activos por impuestos diferidos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Activos procedentes de beneficios a los empleados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activos financieros dentro del alcance de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Activos no corrientes contabilizados de acuerdo con el modelo de valor razonable de la NIC 40 </w:t>
      </w:r>
      <w:r w:rsidRPr="00401DFF">
        <w:rPr>
          <w:rFonts w:ascii="Times New Roman" w:eastAsia="Times New Roman" w:hAnsi="Times New Roman" w:cs="Times New Roman"/>
          <w:i/>
          <w:iCs/>
          <w:sz w:val="24"/>
          <w:szCs w:val="24"/>
          <w:lang w:eastAsia="es-CO"/>
        </w:rPr>
        <w:t>Propiedades de Inversión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(e) Activos no corrientes medidos por su valor razonable menos los costos de venta, de acuerdo con la NIC 41 </w:t>
      </w:r>
      <w:r w:rsidRPr="00401DFF">
        <w:rPr>
          <w:rFonts w:ascii="Times New Roman" w:eastAsia="Times New Roman" w:hAnsi="Times New Roman" w:cs="Times New Roman"/>
          <w:i/>
          <w:iCs/>
          <w:sz w:val="24"/>
          <w:szCs w:val="24"/>
          <w:lang w:eastAsia="es-CO"/>
        </w:rPr>
        <w:t>Agricultura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Derechos contractuales procedentes de contratos de seguro, definidos en la NIIF 4 </w:t>
      </w:r>
      <w:r w:rsidRPr="00401DFF">
        <w:rPr>
          <w:rFonts w:ascii="Times New Roman" w:eastAsia="Times New Roman" w:hAnsi="Times New Roman" w:cs="Times New Roman"/>
          <w:i/>
          <w:iCs/>
          <w:sz w:val="24"/>
          <w:szCs w:val="24"/>
          <w:lang w:eastAsia="es-CO"/>
        </w:rPr>
        <w:t>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5A Los requerimientos de clasificación, presentación y medición de esta NIIF aplicables a un activo no corriente (o grupo de activos para su disposición), que se clasifique como mantenido para la venta, se aplicarán también a un activo no corriente (o grupo de activos para su disposición) que se clasifique como mantenido para distribuir a los propietarios, cuando actúan como tales (mantenido para distribuir a los propietarios).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5B Esta NIIF especifica la información a revelar con respecto a los activos no corrientes (o grupos de activos para su disposición) clasificados como mantenidos para la venta u operaciones discontinuadas. La información a revelar en otras NIIF no se aplicará a estos activos (o grupos de activos para su disposición) a menos que esas NIIF requieran: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información a revelar específica con respecto a activos no corrientes (o grupos de activos para su disposición) clasificados como mantenidos para la venta u operaciones discontinuadas;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información a revelar sobre la medición de activos y pasivos dentro de un grupo de activos para su disposición que no están dentro del alcance de los requerimientos de medición de la NIIF 5 y dicha información a revelar no se está proporcionando en las otras notas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cumplir con los requerimientos generales de la NIC 1, en particular con los párrafos 15 y 125 de dicha norma, puede ser necesario revelar información adicional sobre activos no corrientes (o grupos de activos para su disposición) clasificados como mantenidos para la venta u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activos no corrientes (o grupo de activos para su disposición) como mantenidos para la venta o como mantenidos para distribuir a los propietarios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Una entidad clasificará a un activo no corriente (o un grupo de activos para su disposición) como mantenido para la venta, si su importe en libros se recuperará fundamentalmente a través de una transacción de venta, en lugar de por su uso continuado.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Para aplicar la clasificación anterior, el activo (o el grupo de activos para su disposición) debe estar disponible, en sus condiciones actuales, para su venta inmediata, sujeto exclusivamente a los términos usuales y habituales para la venta de estos activos (o grupos de activos para su disposición), y su venta debe ser </w:t>
      </w:r>
      <w:r w:rsidRPr="00401DFF">
        <w:rPr>
          <w:rFonts w:ascii="Times New Roman" w:eastAsia="Times New Roman" w:hAnsi="Times New Roman" w:cs="Times New Roman"/>
          <w:i/>
          <w:iCs/>
          <w:sz w:val="24"/>
          <w:szCs w:val="24"/>
          <w:lang w:eastAsia="es-CO"/>
        </w:rPr>
        <w:t>altamente probable</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Para que la venta sea altamente probable, el nivel apropiado de la gerencia, debe estar comprometido con un plan para vender el activo (o grupo de activos para su disposición), y </w:t>
      </w:r>
      <w:r w:rsidRPr="00401DFF">
        <w:rPr>
          <w:rFonts w:ascii="Times New Roman" w:eastAsia="Times New Roman" w:hAnsi="Times New Roman" w:cs="Times New Roman"/>
          <w:sz w:val="24"/>
          <w:szCs w:val="24"/>
          <w:lang w:eastAsia="es-CO"/>
        </w:rPr>
        <w:lastRenderedPageBreak/>
        <w:t>debe haberse iniciado de forma activa un programa para encontrar un comprador y completar dicho plan. Además, la venta del activo (o grupo de activos para su disposición) debe negociarse activamente a un precio razonable, en relación con su valor razonable actual. Asimismo, debe esperarse que la venta cumpla las condiciones para su reconocimiento como venta finalizada dentro del año siguiente a la fecha de clasificación, con las excepciones permitidas en el párrafo 9, y además las actividades requeridas para completar el plan deberían indicar qué cambios significativos en el plan son improbables o que el mismo vaya a ser cancelado. La probabilidad de aprobación por los accionistas (si se requiere en la jurisdicción) debe considerarse como parte de la evaluación de si la venta es altamente probable.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8A Una entidad que esté comprometida en un plan de venta, que implique la pérdida de control de una subsidiaria, clasificará todos los activos y pasivos de esa subsidiaria como mantenidos para la venta, cuando se cumplan los criterios establecidos en los párrafos 6 a 8, independientemente de que la entidad retenga después de la venta una participación no controladora en su anterior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Existen hechos y circunstancias que podrían alargar el periodo para completar la venta más allá de un año. Una ampliación del periodo exigido para completar una venta no impide que el activo (o grupo de activos para su disposición) sea clasificado como mantenido para la venta, si el retraso viene causado por hechos o circunstancias fuera del control de la entidad, y existan evidencias suficientes de que la entidad se mantiene comprometida con su plan para vender el activo (o grupo de activos para su disposición). Este sería el caso en que se cumplan los criterios contenidos en el 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Las transacciones de venta incluyen las permutas de activos no corrientes por otros activos no corrientes, cuando éstas tengan carácter comercial, de acuerdo con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Cuando una entidad adquiera un activo no corriente (o grupo de activos para su disposición) exclusivamente con el propósito de su posterior venta, clasificará dicho activo no corriente (o grupo de activos para su disposición) como mantenido para la venta, en la fecha de adquisición, sólo si se cumple el requisito de un año del párrafo 8 (con las excepciones permitidas en el párrafo 9) y sea altamente probable que cualquier otro requisito de los contenidos en los párrafos 7 y 8, que no se cumpla en esa fecha, sea cumplido dentro de un corto periodo tras la adquisición (por lo general, en los tres meses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Si se cumplen los criterios de los párrafos 7 y 8 después del final del periodo sobre el que se informa, una entidad no clasificará un activo no corriente (o grupo de activos para su disposición) como mantenido para la venta en los estados financieros que emita. No obstante, cuando esos criterios se cumplan después del final del periodo sobre el que se informa pero antes de la autorización para la emisión de los estados financieros, la entidad revelará en las notas la información especificada en los apartados (a), (b) y (d) del párrafo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12A Cuando la entidad se comprometa a distribuir el activo (o grupo de activos para su disposición) a los propietarios, dicho activo no corriente (o grupo de activos para su disposición) se clasificará como mantenido para distribuir a los propietarios. Para que éste sea el caso, los activos deben estar disponibles para la distribución inmediata en sus actuales condiciones, y la distribución debe ser altamente probable. Para que la distribución sea altamente probable, deben haberse iniciado las actividades para completar la distribución y debe esperarse que estén completadas en un año a partir de la fecha de clasificación. Las actividades requeridas para completar la distribución deberían indicar que es improbable que puedan realizarse cambios significativos en la distribución o que ésta pueda cancelarse. La probabilidad de aprobación por los accionistas (si es requerido por la jurisdicción) deberá considerarse como parte de la evaluación de si la distribución es altamente probable.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no corrientes que van a ser abandonados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entidad no clasificará como mantenido para la venta un activo no corriente (o a un grupo de activos para su disposición) que vaya a ser abandonado. Esto es debido a que su importe en libros va a ser recuperado principalmente a través de su uso continuado. Sin embargo, si el grupo de activos para su disposición que va a ser abandonado cumpliese los criterios de los apartados (a) a (c) del párrafo 32, la entidad presentará los resultados y flujos de efectivo del grupo de activos para su disposición como una operación discontinuada, de acuerdo con los párrafos 33 y 34, en la fecha en que deja de utilizarlo. Los activos no corrientes (o grupos de activos para su disposición) que van a ser abandonados comprenderán tanto activos no corrientes (o grupos de activos para su disposición) que vayan a utilizarse hasta el final de su vida económica, como activos no corrientes (o grupos de activos para su disposición) que vayan a cerrarse definitivamente en lugar de ser vendidos.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La entidad no contabilizará un activo no corriente, que vaya a estar temporalmente fuera de uso, como si hubiera sido abandonado.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activos no corrientes (o grupos de activos para su disposición) clasificados como mantenidos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un activo no corriente (o grupo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Una entidad medirá los activos no corrientes (o grupos de activos para su disposición) clasificados como mantenidos para la venta, al menor de su importe en libros o su valor razonable menos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15A Una entidad medirá los activos no corrientes (o grupo de activos para su disposición) clasificados como mantenidos para distribuir a los propietarios, al menor valor entre su importe en libros y su valor razonable menos los costos de la distribución</w:t>
      </w:r>
      <w:hyperlink r:id="rId92" w:anchor="bf18235597b6f4245e7821b987240e115a1nf9" w:tgtFrame="_self" w:history="1">
        <w:r w:rsidRPr="00401DFF">
          <w:rPr>
            <w:rFonts w:ascii="Times New Roman" w:eastAsia="Times New Roman" w:hAnsi="Times New Roman" w:cs="Times New Roman"/>
            <w:color w:val="0000FF"/>
            <w:sz w:val="20"/>
            <w:szCs w:val="20"/>
            <w:u w:val="single"/>
            <w:vertAlign w:val="superscript"/>
            <w:lang w:eastAsia="es-CO"/>
          </w:rPr>
          <w:t>(87)</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16 Si un activo (o grupo de activos para su disposición) adquirido recientemente cumple los criterios para ser clasificado como mantenido para la venta (véase el párrafo 11), la </w:t>
      </w:r>
      <w:r w:rsidRPr="00401DFF">
        <w:rPr>
          <w:rFonts w:ascii="Times New Roman" w:eastAsia="Times New Roman" w:hAnsi="Times New Roman" w:cs="Times New Roman"/>
          <w:sz w:val="24"/>
          <w:szCs w:val="24"/>
          <w:lang w:eastAsia="es-CO"/>
        </w:rPr>
        <w:lastRenderedPageBreak/>
        <w:t>aplicación del párrafo 15 conducirá a que el activo (o grupo de activos para su disposición) se mida, en el momento de su reconocimiento inicial, al menor valor entre su importe en libros si no se hubiese clasificado de esta manera (por ejemplo, el costo) y su valor razonable menos los costos de venta. En consecuencia, si el activo (o grupo de activos para su disposición) se hubiera adquirido como parte de una combinación de negocios, se medirá por su valor razonable menos los costos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Cuando se espere que la venta se produzca más allá del periodo de un año, la entidad medirá los costos de venta por su valor actual. Cualquier incremento en el valor actual de esos costos de venta, que surja por el transcurso del tiempo, se presentará en el estado de resultados como un costo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Inmediatamente antes de la clasificación inicial del activo (o grupo de activos para su disposición) como mantenido para la venta, el importe en libros del activo (o de todos los activos y pasivos del grupo) se medirá de acuerdo con las NIIF que sean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Al proceder a medir un grupo de activos para su disposición con posterioridad al reconocimiento inicial, el importe en libros de cualquier activo y pasivo que no entren dentro del alcance de los requisitos de medición establecidos en esta NIIF, pero que estén incluidos en un grupo de activos para su disposición clasificado como mantenido para la venta, se determinará de acuerdo con las NIIF aplicables, antes de volver a medir el valor razonable menos los costos de venta del grupo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reversión de las pérdidas por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La entidad reconocerá una pérdida por deterioro debida a las reducciones iniciales o posteriores del valor del activo (o grupo de activos para su disposición) hasta el valor razonable menos los costos de venta, siempre que no se haya reconocido según el párrafo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21 La entidad reconocerá una ganancia por cualquier incremento posterior derivado de la medición del valor razonable menos los costos de venta de un activo, aunque sin superar la pérdida por deterioro acumulada que haya sido reconocida, ya sea de acuerdo con esta NIIF o previamente, de acuerdo con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 entidad reconocerá una ganancia por cualquier incremento posterior en el valor razonable menos los costos de venta de un grupo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 medida que no haya sido reconocido de acuerdo con el párrafo 19; aunque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por encima de la pérdida por deterioro acumulada que haya sido reconocida, ya sea de acuerdo con esta NIIF o previamente, de acuerdo con la NIC 36, en los activos no corrientes que están dentro del alcance de los requisitos de medición establecidos en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23 La pérdida por deterioro (o cualquier ganancia posterior) reconocida en un grupo de activos para su disposición, reducirá (o incrementará) el importe en libros de los activos no corrientes del grupo, que estén dentro del alcance de los requisitos de medición de esta NIIF, en el orden de distribución establecido en los apartados (a) y (b) del párrafo 104 y en el párrafo 122 de la NIC 36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La pérdida o ganancia no reconocida previamente a la fecha de la venta de un activo no corriente (o grupo de activos para su disposición), se reconocerá en la fecha en el que se produzca su baja en cuentas. Los requerimientos que se refieren a la baja en cuentas están establecidos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párrafos 67 a 72 de la NIC 16 (revisada en 2003) para las propiedades, planta y equipo,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párrafos 112 a 117 de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(revisada en 2004) para este tipo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 entidad no depreciará (o amortizará) el activo no corriente mientras esté clasificado como mantenido para la venta, o mientras forme parte de un grupo de activos para su disposición clasificado como mantenido para la venta. No obstante, continuarán reconociéndose tanto los intereses como otros gastos atribuibles a los pasivos de un grupo de activos para su disposición que se haya clasificado como mantenido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un plan de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Si una entidad ha clasificado un activo (o grupo de activos para su disposición) como mantenido para la venta, pero deja de cumplir los criterios de los párrafos 7 a 9, dejará de clasificar los activos o grupos de activos para su disposición como 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La entidad medirá el activo no corriente que deje de estar clasificado como mantenido para la venta (o que deje de formar parte de un grupo de activos para su disposición clasificado como mantenido para la venta) al menor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 importe en libros antes de que el activo (o grupo de activos para su disposición) fuera clasificado como mantenido para la venta, ajustado por cualquier depreciación, amortización o revaluación que se hubiera reconocido si el activo (o grupo de activos para su disposición) no se hubiera clasificado como mantenido para la venta,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su </w:t>
      </w:r>
      <w:r w:rsidRPr="00401DFF">
        <w:rPr>
          <w:rFonts w:ascii="Times New Roman" w:eastAsia="Times New Roman" w:hAnsi="Times New Roman" w:cs="Times New Roman"/>
          <w:i/>
          <w:iCs/>
          <w:sz w:val="24"/>
          <w:szCs w:val="24"/>
          <w:lang w:eastAsia="es-CO"/>
        </w:rPr>
        <w:t xml:space="preserve">importe recuperable </w:t>
      </w:r>
      <w:r w:rsidRPr="00401DFF">
        <w:rPr>
          <w:rFonts w:ascii="Times New Roman" w:eastAsia="Times New Roman" w:hAnsi="Times New Roman" w:cs="Times New Roman"/>
          <w:sz w:val="24"/>
          <w:szCs w:val="24"/>
          <w:lang w:eastAsia="es-CO"/>
        </w:rPr>
        <w:t>en la fecha de la decisión posterior de no venderlo</w:t>
      </w:r>
      <w:hyperlink r:id="rId93" w:anchor="bf13c0a7aaf377f479f853b7a7a6c655ef5nf9" w:tgtFrame="_self" w:history="1">
        <w:r w:rsidRPr="00401DFF">
          <w:rPr>
            <w:rFonts w:ascii="Times New Roman" w:eastAsia="Times New Roman" w:hAnsi="Times New Roman" w:cs="Times New Roman"/>
            <w:color w:val="0000FF"/>
            <w:sz w:val="20"/>
            <w:szCs w:val="20"/>
            <w:u w:val="single"/>
            <w:vertAlign w:val="superscript"/>
            <w:lang w:eastAsia="es-CO"/>
          </w:rPr>
          <w:t>(88)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La entidad incluirá cualquier ajuste requerido al importe en libros de un activo no corriente, que deje de estar clasificado como mantenido para la venta, dentro de los resultados</w:t>
      </w:r>
      <w:hyperlink r:id="rId94" w:anchor="bf1f6350957174443b3a695921c481e025bnf9" w:tgtFrame="_self" w:history="1">
        <w:r w:rsidRPr="00401DFF">
          <w:rPr>
            <w:rFonts w:ascii="Times New Roman" w:eastAsia="Times New Roman" w:hAnsi="Times New Roman" w:cs="Times New Roman"/>
            <w:color w:val="0000FF"/>
            <w:sz w:val="20"/>
            <w:szCs w:val="20"/>
            <w:u w:val="single"/>
            <w:vertAlign w:val="superscript"/>
            <w:lang w:eastAsia="es-CO"/>
          </w:rPr>
          <w:t>(89)</w:t>
        </w:r>
      </w:hyperlink>
      <w:r w:rsidRPr="00401DFF">
        <w:rPr>
          <w:rFonts w:ascii="Times New Roman" w:eastAsia="Times New Roman" w:hAnsi="Times New Roman" w:cs="Times New Roman"/>
          <w:sz w:val="24"/>
          <w:szCs w:val="24"/>
          <w:lang w:eastAsia="es-CO"/>
        </w:rPr>
        <w:t xml:space="preserve"> de las operaciones continuadas, en el periodo en que dejen de cumplirse los criterios de los párrafos 7 a 9. Si el grupo de disposición o activo no corriente que deje de ser clasificado como mantenido para la venta es una subsidiaria, operación conjunta, negocio conjunto, asociada o parte de una participación en un negocio conjunto o asociada, </w:t>
      </w:r>
      <w:r w:rsidRPr="00401DFF">
        <w:rPr>
          <w:rFonts w:ascii="Times New Roman" w:eastAsia="Times New Roman" w:hAnsi="Times New Roman" w:cs="Times New Roman"/>
          <w:sz w:val="24"/>
          <w:szCs w:val="24"/>
          <w:lang w:eastAsia="es-CO"/>
        </w:rPr>
        <w:lastRenderedPageBreak/>
        <w:t>se modificarán, en consecuencia, los estados financieros de los periodos desde la clasificación de como mantenidos para la venta. La entidad presentará ese ajuste en la misma partida del estado del resultado integral utilizada para presentar la pérdida o ganancia, si procede, reconocida de acuerdo con el párrafo 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Si la entidad retirase un determinado activo individual o un pasivo, de un grupo de activos para su disposición clasificado como mantenido para la venta, los restantes activos y pasivos del grupo continuarán midiéndose como un grupo sólo si éste cumpliese los requisitos establecidos en los párrafos 7 a 9. En otro caso, los restantes activos no corrientes del grupo que, individualmente, cumplan los criterios para ser clasificados como mantenidos para la venta, se medirán individualmente por el menor valor entre su importe en libros y su valor razonable menos los costos de venta en esa fecha. Cualquier activo no corriente que no cumpla los citados criterios, dejará de ser clasificado como mantenido para la venta, de acuerdo con el párrafo 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e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30 Una entidad presentará y revelará información que permita a los usuarios de los estados financieros evaluar los efectos financieros de las operaciones discontinuadas y las disposiciones de los activos no corrientes (o grupos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de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31 Un </w:t>
      </w:r>
      <w:r w:rsidRPr="00401DFF">
        <w:rPr>
          <w:rFonts w:ascii="Times New Roman" w:eastAsia="Times New Roman" w:hAnsi="Times New Roman" w:cs="Times New Roman"/>
          <w:i/>
          <w:iCs/>
          <w:sz w:val="24"/>
          <w:szCs w:val="24"/>
          <w:lang w:eastAsia="es-CO"/>
        </w:rPr>
        <w:t>componente de una entidad</w:t>
      </w:r>
      <w:r w:rsidRPr="00401DFF">
        <w:rPr>
          <w:rFonts w:ascii="Times New Roman" w:eastAsia="Times New Roman" w:hAnsi="Times New Roman" w:cs="Times New Roman"/>
          <w:sz w:val="24"/>
          <w:szCs w:val="24"/>
          <w:lang w:eastAsia="es-CO"/>
        </w:rPr>
        <w:t xml:space="preserve"> comprende las operaciones y flujos de efectivo que pueden ser distinguidos claramente del resto de la entidad, tanto desde un punto de vista operativo como a efectos de información financiera. En otras palabras, un componente de una entidad habrá constituido una unidad generadora de efectivo o un grupo de unidades generadoras de efectivo mientras haya estado en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Una operación discontinuada es un componente de la entidad que ha sido dispuesto, o bien que ha sido clasificado como mantenido para la venta,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representa una línea de negocio o un área geográfica, que es significativa y puede considerarse separada del resto;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 parte de un único plan coordinado para disponer de una línea de negocio o de un área geográfica de la operación que sea significativa y pueda considerarse separada del resto;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es una entidad subsidiaria adquirida exclusivamente con la finalidad de revenderla.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el estado del resultado integral, un importe único que comprenda el total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resultado después de impuestos de las operaciones discontinuadas;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la ganancia o pérdida después de impuestos reconocida por la medición a valor razonable menos costos de venta, o por la disposición de los activos o grupos para su disposición que constituyan la operación discontinuada.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desglose del importe recogido en el apartado (a) anterior, detallando: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ingresos de actividades ordinarias, los gastos y el resultado antes de impuestos de las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gasto por impuesto a las ganancias relativo al anterior resultado, como requiere el apartado (h) del párrafo 81 de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resultado que se haya reconocido por causa de la medición a valor razonable menos los costos de venta, o bien por causa de la disposición de los activos o grupos de activos para su disposición que constituyan la operación discontinuada;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el gasto por impuesto a las ganancias relativo al anterior resultado, como requiere el apartado (h) del párrafo 81 de la NIC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Este desglose podría presentarse en las notas o en el estado del resultado integral. Si se presentase en el estado del resultado integral, se hará en una sección identificada como relativa a las operaciones discontinuadas, esto es, de forma separada de las operaciones que continúen. El desglose no se requiere para los grupos de activos para su disposición que sean subsidiarias adquiridas recientemente y que cumplan los criterios para ser clasificadas en el momento de la adquisición como mantenidas para la venta (véase el párrafo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flujos netos de efectivo atribuibles a las actividades de operación, de inversión y financiación de las operaciones discontinuadas. Esta información a revelar podría presentarse en las notas o en los estados financieros. Esta información a revelar no se requiere para los grupos de activos para su disposición que sean subsidiarias adquiridas recientemente, y cumplan los criterios para ser clasificadas en el momento de la adquisición como mantenidas para la venta (véase el párrafo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de ingresos por operaciones que continúan y de operaciones discontinuadas atribuibles a los propietarios de la controladora</w:t>
      </w:r>
      <w:r w:rsidRPr="00401DFF">
        <w:rPr>
          <w:rFonts w:ascii="Times New Roman" w:eastAsia="Times New Roman" w:hAnsi="Times New Roman" w:cs="Times New Roman"/>
          <w:i/>
          <w:iCs/>
          <w:sz w:val="24"/>
          <w:szCs w:val="24"/>
          <w:lang w:eastAsia="es-CO"/>
        </w:rPr>
        <w:t>.</w:t>
      </w:r>
      <w:r w:rsidRPr="00401DFF">
        <w:rPr>
          <w:rFonts w:ascii="Times New Roman" w:eastAsia="Times New Roman" w:hAnsi="Times New Roman" w:cs="Times New Roman"/>
          <w:sz w:val="24"/>
          <w:szCs w:val="24"/>
          <w:lang w:eastAsia="es-CO"/>
        </w:rPr>
        <w:t xml:space="preserve"> Estas informaciones a revelar podrían presentarse en las notas o en el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33A Si una entidad presenta las partidas del resultado del periodo en un estado separado como se describe en el párrafo 10A de la NIC 1 (modificada en 2011), en dicho estado separado se presentará una sección identificada como relacionada con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Una entidad presentará la información a revelar del párrafo 33 para todos los periodos anteriores sobre los que informe en los estados financieros, de forma que la información a revelar para esos periodos se refiera a todas las operaciones que tienen el carácter de discontinuadas al final del periodo sobre el que se informa del último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35 Los ajustes que se efectúen en el periodo corriente a los importes presentados previamente, que se refieran a las operaciones discontinuadas y estén directamente relacionados con la disposición de las mismas en un periodo anterior, se clasificarán de forma separada dentro de la información correspondiente a dichas operaciones discontinuadas. Se revelará la naturaleza e importe de tales ajustes. Ejemplos de circunstancias en las que podrían surgir estos ajustes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resolución de incertidumbres derivadas de las condiciones de una disposición, tales como la resolución de los ajustes al precio de compra y las indemnizaciones pactadas con el comprador.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resolución de incertidumbres que surjan de y estén directamente relacionadas con la operación del componente antes de su disposición, como las obligaciones medioambientales y de garantía que hayan sido retenidas por el vendedor.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cancelación de las obligaciones derivadas de un plan de beneficios a los empleados, siempre que la cancelación esté directamente relacionada con la transacción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Si la entidad dejase de clasificar un componente como mantenido para la venta, los resultados de operación relativos al componente que se hayan presentado previamente como procedentes de operaciones discontinuadas, de acuerdo con los párrafos 33 a 35, se reclasificarán e incluirán en los resultados de las operaciones que continúan, para todos los periodos sobre los que se presente información. Se mencionará expresamente que los importes relativos a los periodos anteriores han sido objeto de una nueva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36A Una entidad que esté comprometida con un plan de venta, que implique la pérdida de control de una subsidiaria, revelará la información requerida en los párrafos 33 a 36, cuando la subsidiaria sea un grupo de activos para su disposición que cumpla la definición de una operación discontinuada de acuerdo con el párrafo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o pérdidas relacionadas con las operaciones que continúan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Cualquier ganancia o pérdida que surja de volver a medir un activo no corriente (o grupo de activos para su disposición) clasificado como mantenido para la venta, que no cumpla la definición de operación discontinuada, se incluirá en el resultado de las operaciones que continúan.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 de un activo no corriente o grupo de activos para su disposición clasificado como mantenido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38 Una entidad presentará en el estado de situación financiera, de forma separada del resto de los activos, los activos no corrientes clasificados como mantenidos para la venta como los activos correspondientes a un grupo de activos para su disposición clasificado como mantenido para la venta. Los pasivos que formen parte de un grupo de activos para su disposición clasificado como mantenido para la venta, se presentarán en el estado de situación financiera de forma separada de los otros pasivos. Estos activos y pasivos no se </w:t>
      </w:r>
      <w:r w:rsidRPr="00401DFF">
        <w:rPr>
          <w:rFonts w:ascii="Times New Roman" w:eastAsia="Times New Roman" w:hAnsi="Times New Roman" w:cs="Times New Roman"/>
          <w:sz w:val="24"/>
          <w:szCs w:val="24"/>
          <w:lang w:eastAsia="es-CO"/>
        </w:rPr>
        <w:lastRenderedPageBreak/>
        <w:t>compensarán, ni se presentarán como un único importe. Se revelará información, por separado, de las principales clases de activos y pasivos clasificados como mantenidos para la venta, ya sea en el estado de situación financiera o en las notas, salvo la excepción permitida en el párrafo 39. Una entidad presentará de forma separada los importes acumulados de los ingresos o de los gastos que se hayan reconocido en otro resultado integral y se refieran a los activos no corrientes (o grupos de activos para su disposición) clasificados como mantenidos para la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Si el grupo de activos para su disposición es una subsidiaria adquirida recientemente, que cumple los criterios para ser clasificado como mantenido para la venta en el momento de la adquisición (véase el párrafo 11), no se requiere revelar información sobre las principales clases de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Una entidad no reclasificará ni presentará de nuevo importes ya presentados de activos no corrientes, o de activos y pasivos de grupos de activos para su disposición, que hayan estado clasificados como mantenidos para la venta en el estado de situación financiera en periodos anteriores, a fin de reflejar la misma clasificación que se les haya dado en el estado de situación financiera del último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adicional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La entidad revelará en las notas la siguiente información, referida al periodo en el cual el activo no corriente (o grupo de activos para su disposición) haya sido clasificado como mantenido para la venta o vendido: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del activo no corriente (o grupo de activos para su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los hechos y circunstancias de la venta, o de los que hayan llevado a decidir la venta o disposición esperada, así como la forma y momento esperados para dicha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ganancia o pérdida reconocida de acuerdo con los párrafos 20 a 22 y, si no se presentase de forma separada en el estado del resultado integral, la partida de dicha cuenta donde se incluya ese resultado;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si fuera aplicable, el segmento dentro del cual se presenta el activo no corriente (o grupo de activos para su disposición), de acuerdo con la NIIF 8 </w:t>
      </w:r>
      <w:r w:rsidRPr="00401DFF">
        <w:rPr>
          <w:rFonts w:ascii="Times New Roman" w:eastAsia="Times New Roman" w:hAnsi="Times New Roman" w:cs="Times New Roman"/>
          <w:i/>
          <w:iCs/>
          <w:sz w:val="24"/>
          <w:szCs w:val="24"/>
          <w:lang w:eastAsia="es-CO"/>
        </w:rPr>
        <w:t>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Si se hubiesen aplicado el párrafo 26 o el 29, la entidad revelará, en el periodo en el que se decida cambiar el plan de venta del activo no corriente (o grupo de activos para su disposición), una descripción de los hechos y circunstancias que hayan llevado a tomar tal decisión, así como el efecto de la misma sobre los resultados de las operaciones, tanto para dicho periodo como para cualquier periodo anterior sobre el que se presente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43 La NIIF será aplicada de forma prospectiva a los activos no corrientes (o grupos de activos para su disposición) que cumplan los criterios para ser clasificados como mantenidos para la venta, así como para las operaciones que cumplan los criterios para ser clasificadas como discontinuadas tras la entrada en vigor de la NIIF. La entidad puede aplicar los requerimientos de esta NIIF a todos los activos no corrientes (o grupos de activos para su disposición) que cumplan los criterios para ser clasificados como mantenidos para la venta, así como para las operaciones que cumplan los criterios para ser clasificadas como discontinuada, en cualquier fecha anterior a la entrada en vigor de la NIIF, siempre que las valoraciones y demás información necesaria para aplicar la NIIF, sea obtenida en la fecha en que se cumplieron los mencionados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Una entidad aplicará esta NIIF en los periodos anuales que comiencen a partir del 1 de enero de 2005. Se aconseja su aplicación anticipada. Si la entidad aplicase la NIIF para un periodo que comience antes del 1 de enero de 2005,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44A La NIC 1 (revisada en 2007) modificó la terminología utilizada en las NIIF. Además, modificó los párrafos 3 y 38, y añadió el párrafo 33A.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44B La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(modificada en 2008) añadió el párrafo 33(d). Una entidad aplicará esa modificación para los periodos anuales que comiencen a partir del 1 de julio de 2009. Si una entidad aplica la NIC 27 (modificada en 2008) a periodos anteriores, las modificaciones se aplicarán también a esos periodos. La modificación se aplicará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44C Los párrafos 8A y 36A se añadieron mediante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emitido en mayo de 2008. Una entidad aplicará esas modificaciones a periodos anuales que comiencen a partir del 1 de julio de 2009. Se permite su aplicación anticipada. Sin embargo, una entidad no aplicará las modificaciones en los periodos anuales que comiencen antes del 1 de julio de 2009 a menos que aplique también la NIC 27 (modificada en enero de 2008). Si una entidad aplicase estas modificaciones antes del 1 de julio de 2009, revelará este hecho. Una entidad aplicará las modificaciones de forma prospectiva desde la fecha en que aplicó por primera vez la NIIF 5, sujeta a las disposiciones transitorias establecidas en el párrafo 45 de la NIC 27 (modificada en enero de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44D La CINIIF 17 </w:t>
      </w:r>
      <w:r w:rsidRPr="00401DFF">
        <w:rPr>
          <w:rFonts w:ascii="Times New Roman" w:eastAsia="Times New Roman" w:hAnsi="Times New Roman" w:cs="Times New Roman"/>
          <w:i/>
          <w:iCs/>
          <w:sz w:val="24"/>
          <w:szCs w:val="24"/>
          <w:lang w:eastAsia="es-CO"/>
        </w:rPr>
        <w:t xml:space="preserve">Distribuciones, a los Propietarios, de Activos Distintos al Efectivo </w:t>
      </w:r>
      <w:r w:rsidRPr="00401DFF">
        <w:rPr>
          <w:rFonts w:ascii="Times New Roman" w:eastAsia="Times New Roman" w:hAnsi="Times New Roman" w:cs="Times New Roman"/>
          <w:sz w:val="24"/>
          <w:szCs w:val="24"/>
          <w:lang w:eastAsia="es-CO"/>
        </w:rPr>
        <w:t xml:space="preserve">emitida en noviembre de 2008 añadió los párrafos 5A, 12A y 15A y modificó el párrafo 8. Esas modificaciones se aplicarán de forma prospectiva a los activos no corrientes (o grupo de activos para su disposición) que se clasifiquen como mantenidos para distribuir a los propietarios en periodos anuales que comiencen a partir del 1 de julio de 2009. No se permite la aplicación retroactiva. Se permite su aplicación anticipada. Si la entidad aplicase las modificaciones a periodos que comiencen antes del 1 de julio de 2009, revelará este </w:t>
      </w:r>
      <w:r w:rsidRPr="00401DFF">
        <w:rPr>
          <w:rFonts w:ascii="Times New Roman" w:eastAsia="Times New Roman" w:hAnsi="Times New Roman" w:cs="Times New Roman"/>
          <w:sz w:val="24"/>
          <w:szCs w:val="24"/>
          <w:lang w:eastAsia="es-CO"/>
        </w:rPr>
        <w:lastRenderedPageBreak/>
        <w:t xml:space="preserve">hecho y también aplicará la NIIF 3 </w:t>
      </w:r>
      <w:r w:rsidRPr="00401DFF">
        <w:rPr>
          <w:rFonts w:ascii="Times New Roman" w:eastAsia="Times New Roman" w:hAnsi="Times New Roman" w:cs="Times New Roman"/>
          <w:i/>
          <w:iCs/>
          <w:sz w:val="24"/>
          <w:szCs w:val="24"/>
          <w:lang w:eastAsia="es-CO"/>
        </w:rPr>
        <w:t>Combinaciones de Negocios</w:t>
      </w:r>
      <w:r w:rsidRPr="00401DFF">
        <w:rPr>
          <w:rFonts w:ascii="Times New Roman" w:eastAsia="Times New Roman" w:hAnsi="Times New Roman" w:cs="Times New Roman"/>
          <w:sz w:val="24"/>
          <w:szCs w:val="24"/>
          <w:lang w:eastAsia="es-CO"/>
        </w:rPr>
        <w:t xml:space="preserve"> (revisada en 2008), la NIC 27 (modificada en enero de 2008) y la CINIIF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44E El párrafo 5B fue añadido por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Una entidad aplicará esas modificaciones de forma prospectiva en los periodos anuales que comiencen a partir del 1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44F La NIIF 9 emitida en octubre de 2010, modificó el párrafo 5.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44G La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 en mayo de 2011, modificó el párrafo 28. Una entidad aplicará esas modificaciones cuando aplique la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44H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modificó la definición de valor razonable del Apéndice A. Una entidad aplicará esa modificación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44I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33A.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35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Esta NIIF reemplaza a la NIC 35 </w:t>
      </w:r>
      <w:r w:rsidRPr="00401DFF">
        <w:rPr>
          <w:rFonts w:ascii="Times New Roman" w:eastAsia="Times New Roman" w:hAnsi="Times New Roman" w:cs="Times New Roman"/>
          <w:i/>
          <w:iCs/>
          <w:sz w:val="24"/>
          <w:szCs w:val="24"/>
          <w:lang w:eastAsia="es-CO"/>
        </w:rPr>
        <w:t>Operaciones en Discontinuación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69"/>
        <w:gridCol w:w="5959"/>
      </w:tblGrid>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 corriente (current asset)</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clasificará un activo como corriente cuando:</w:t>
            </w:r>
            <w:r w:rsidRPr="00401DFF">
              <w:rPr>
                <w:rFonts w:ascii="Times New Roman" w:eastAsia="Times New Roman" w:hAnsi="Times New Roman" w:cs="Times New Roman"/>
                <w:sz w:val="24"/>
                <w:szCs w:val="24"/>
                <w:lang w:eastAsia="es-CO"/>
              </w:rPr>
              <w:br/>
              <w:t>(a) espera realizar el activo, o tiene la intención de venderlo o consumirlo en su ciclo normal de operación;</w:t>
            </w:r>
            <w:r w:rsidRPr="00401DFF">
              <w:rPr>
                <w:rFonts w:ascii="Times New Roman" w:eastAsia="Times New Roman" w:hAnsi="Times New Roman" w:cs="Times New Roman"/>
                <w:sz w:val="24"/>
                <w:szCs w:val="24"/>
                <w:lang w:eastAsia="es-CO"/>
              </w:rPr>
              <w:br/>
              <w:t>(b) mantiene el activo principalmente con fines de negociación;</w:t>
            </w:r>
            <w:r w:rsidRPr="00401DFF">
              <w:rPr>
                <w:rFonts w:ascii="Times New Roman" w:eastAsia="Times New Roman" w:hAnsi="Times New Roman" w:cs="Times New Roman"/>
                <w:sz w:val="24"/>
                <w:szCs w:val="24"/>
                <w:lang w:eastAsia="es-CO"/>
              </w:rPr>
              <w:br/>
              <w:t>(c) espera realizar el activo dentro de los doce meses siguientes después del periodo sobre el que se informa; o</w:t>
            </w:r>
            <w:r w:rsidRPr="00401DFF">
              <w:rPr>
                <w:rFonts w:ascii="Times New Roman" w:eastAsia="Times New Roman" w:hAnsi="Times New Roman" w:cs="Times New Roman"/>
                <w:sz w:val="24"/>
                <w:szCs w:val="24"/>
                <w:lang w:eastAsia="es-CO"/>
              </w:rPr>
              <w:br/>
              <w:t>(d) el activo es efectivo o equivalente al efectivo (como se define en la NIC 7) a menos que éste se encuentre restringido y no pueda ser intercambiado ni utilizado para cancelar un pasivo por un ejercicio mínimo de doce meses después del ejercicio sobre el que se informa.</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 no corriente (non-current asset)</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activo que no cumple la definición de </w:t>
            </w:r>
            <w:r w:rsidRPr="00401DFF">
              <w:rPr>
                <w:rFonts w:ascii="Times New Roman" w:eastAsia="Times New Roman" w:hAnsi="Times New Roman" w:cs="Times New Roman"/>
                <w:b/>
                <w:bCs/>
                <w:sz w:val="24"/>
                <w:szCs w:val="24"/>
                <w:lang w:eastAsia="es-CO"/>
              </w:rPr>
              <w:t>activo corriente.</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altamente probable (highly probable)</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Con una </w:t>
            </w:r>
            <w:r w:rsidRPr="00401DFF">
              <w:rPr>
                <w:rFonts w:ascii="Times New Roman" w:eastAsia="Times New Roman" w:hAnsi="Times New Roman" w:cs="Times New Roman"/>
                <w:b/>
                <w:bCs/>
                <w:sz w:val="24"/>
                <w:szCs w:val="24"/>
                <w:lang w:eastAsia="es-CO"/>
              </w:rPr>
              <w:t>probabilidad</w:t>
            </w:r>
            <w:r w:rsidRPr="00401DFF">
              <w:rPr>
                <w:rFonts w:ascii="Times New Roman" w:eastAsia="Times New Roman" w:hAnsi="Times New Roman" w:cs="Times New Roman"/>
                <w:sz w:val="24"/>
                <w:szCs w:val="24"/>
                <w:lang w:eastAsia="es-CO"/>
              </w:rPr>
              <w:t xml:space="preserve"> significativamente mayor de que ocurra que de que no ocurra.</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componente de la entidad (component of an entity)</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operaciones y flujos de efectivo que pueden ser distinguidos claramente del resto de la entidad, tanto desde un punto de vista de la operación como a efectos de información financiera.</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compromiso firme de compra (firm purchase commitment)</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acuerdo con un tercero no vinculado, que compromete a ambas partes y por lo general es exigible legalmente, que (a) especifica todas las condiciones significativas, incluyendo el precio y el plazo de las transacciones, y (b) incluye una penalización por incumplimiento lo suficientemente significativa para que el cumplimiento del acuerdo sea </w:t>
            </w:r>
            <w:r w:rsidRPr="00401DFF">
              <w:rPr>
                <w:rFonts w:ascii="Times New Roman" w:eastAsia="Times New Roman" w:hAnsi="Times New Roman" w:cs="Times New Roman"/>
                <w:b/>
                <w:bCs/>
                <w:sz w:val="24"/>
                <w:szCs w:val="24"/>
                <w:lang w:eastAsia="es-CO"/>
              </w:rPr>
              <w:t>altamente probable.</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venta (costs to sell)</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costos incrementales directamente atribuibles a la disposición de un activo (o </w:t>
            </w:r>
            <w:r w:rsidRPr="00401DFF">
              <w:rPr>
                <w:rFonts w:ascii="Times New Roman" w:eastAsia="Times New Roman" w:hAnsi="Times New Roman" w:cs="Times New Roman"/>
                <w:b/>
                <w:bCs/>
                <w:sz w:val="24"/>
                <w:szCs w:val="24"/>
                <w:lang w:eastAsia="es-CO"/>
              </w:rPr>
              <w:t>grupo de activos para su disposición),</w:t>
            </w:r>
            <w:r w:rsidRPr="00401DFF">
              <w:rPr>
                <w:rFonts w:ascii="Times New Roman" w:eastAsia="Times New Roman" w:hAnsi="Times New Roman" w:cs="Times New Roman"/>
                <w:sz w:val="24"/>
                <w:szCs w:val="24"/>
                <w:lang w:eastAsia="es-CO"/>
              </w:rPr>
              <w:t>excluyendo los costos financieros y los gastos por impuestos a las ganancias.</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grupo de activos para su disposición (disposal group)</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grupo de activos a ser dispuesto, ya sea por venta o por otra vía, de forma conjunta como grupo en una única operación, junto con los pasivos directamente asociados con tales activos que se vayan a transferir en la transacción. El grupo incluirá la plusvalía adquirida en una combinación de negocios, si el grupo es una </w:t>
            </w:r>
            <w:r w:rsidRPr="00401DFF">
              <w:rPr>
                <w:rFonts w:ascii="Times New Roman" w:eastAsia="Times New Roman" w:hAnsi="Times New Roman" w:cs="Times New Roman"/>
                <w:b/>
                <w:bCs/>
                <w:sz w:val="24"/>
                <w:szCs w:val="24"/>
                <w:lang w:eastAsia="es-CO"/>
              </w:rPr>
              <w:t>unidad generadora de efectivo</w:t>
            </w:r>
            <w:r w:rsidRPr="00401DFF">
              <w:rPr>
                <w:rFonts w:ascii="Times New Roman" w:eastAsia="Times New Roman" w:hAnsi="Times New Roman" w:cs="Times New Roman"/>
                <w:sz w:val="24"/>
                <w:szCs w:val="24"/>
                <w:lang w:eastAsia="es-CO"/>
              </w:rPr>
              <w:t xml:space="preserve">a la que se haya atribuido la plusvalía de acuerdo con los requisitos de los párrafos 80 a 87 de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(según la revisión de 2004) o bien si se trata de una operación dentro de esa unidad generadora de efectivo.</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importe recuperable (recoverable amount)</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mayor entre el </w:t>
            </w:r>
            <w:r w:rsidRPr="00401DFF">
              <w:rPr>
                <w:rFonts w:ascii="Times New Roman" w:eastAsia="Times New Roman" w:hAnsi="Times New Roman" w:cs="Times New Roman"/>
                <w:b/>
                <w:bCs/>
                <w:sz w:val="24"/>
                <w:szCs w:val="24"/>
                <w:lang w:eastAsia="es-CO"/>
              </w:rPr>
              <w:t>valor razonable</w:t>
            </w:r>
            <w:r w:rsidRPr="00401DFF">
              <w:rPr>
                <w:rFonts w:ascii="Times New Roman" w:eastAsia="Times New Roman" w:hAnsi="Times New Roman" w:cs="Times New Roman"/>
                <w:sz w:val="24"/>
                <w:szCs w:val="24"/>
                <w:lang w:eastAsia="es-CO"/>
              </w:rPr>
              <w:t xml:space="preserve"> menos los </w:t>
            </w:r>
            <w:r w:rsidRPr="00401DFF">
              <w:rPr>
                <w:rFonts w:ascii="Times New Roman" w:eastAsia="Times New Roman" w:hAnsi="Times New Roman" w:cs="Times New Roman"/>
                <w:b/>
                <w:bCs/>
                <w:sz w:val="24"/>
                <w:szCs w:val="24"/>
                <w:lang w:eastAsia="es-CO"/>
              </w:rPr>
              <w:t>costos de venta</w:t>
            </w:r>
            <w:r w:rsidRPr="00401DFF">
              <w:rPr>
                <w:rFonts w:ascii="Times New Roman" w:eastAsia="Times New Roman" w:hAnsi="Times New Roman" w:cs="Times New Roman"/>
                <w:sz w:val="24"/>
                <w:szCs w:val="24"/>
                <w:lang w:eastAsia="es-CO"/>
              </w:rPr>
              <w:t xml:space="preserve"> de un activo y su </w:t>
            </w:r>
            <w:r w:rsidRPr="00401DFF">
              <w:rPr>
                <w:rFonts w:ascii="Times New Roman" w:eastAsia="Times New Roman" w:hAnsi="Times New Roman" w:cs="Times New Roman"/>
                <w:b/>
                <w:bCs/>
                <w:sz w:val="24"/>
                <w:szCs w:val="24"/>
                <w:lang w:eastAsia="es-CO"/>
              </w:rPr>
              <w:t>valor en uso.</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operación discontinuada (discontinued operation)</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w:t>
            </w:r>
            <w:r w:rsidRPr="00401DFF">
              <w:rPr>
                <w:rFonts w:ascii="Times New Roman" w:eastAsia="Times New Roman" w:hAnsi="Times New Roman" w:cs="Times New Roman"/>
                <w:b/>
                <w:bCs/>
                <w:sz w:val="24"/>
                <w:szCs w:val="24"/>
                <w:lang w:eastAsia="es-CO"/>
              </w:rPr>
              <w:t>componente de la entidad</w:t>
            </w:r>
            <w:r w:rsidRPr="00401DFF">
              <w:rPr>
                <w:rFonts w:ascii="Times New Roman" w:eastAsia="Times New Roman" w:hAnsi="Times New Roman" w:cs="Times New Roman"/>
                <w:sz w:val="24"/>
                <w:szCs w:val="24"/>
                <w:lang w:eastAsia="es-CO"/>
              </w:rPr>
              <w:t xml:space="preserve"> del que se ha dispuesto, o ha sido clasificado como mantenido para la venta, y</w:t>
            </w:r>
            <w:r w:rsidRPr="00401DFF">
              <w:rPr>
                <w:rFonts w:ascii="Times New Roman" w:eastAsia="Times New Roman" w:hAnsi="Times New Roman" w:cs="Times New Roman"/>
                <w:sz w:val="24"/>
                <w:szCs w:val="24"/>
                <w:lang w:eastAsia="es-CO"/>
              </w:rPr>
              <w:br/>
              <w:t>(a) representa una línea de negocio o un área geográfica, que es significativa y puede considerarse separada del resto;</w:t>
            </w:r>
            <w:r w:rsidRPr="00401DFF">
              <w:rPr>
                <w:rFonts w:ascii="Times New Roman" w:eastAsia="Times New Roman" w:hAnsi="Times New Roman" w:cs="Times New Roman"/>
                <w:sz w:val="24"/>
                <w:szCs w:val="24"/>
                <w:lang w:eastAsia="es-CO"/>
              </w:rPr>
              <w:br/>
              <w:t>(b) es parte de un único plan coordinado para disponer de una línea de negocio o de un área geográfica de la operación que sea significativa y pueda considerarse separada del resto; o</w:t>
            </w:r>
            <w:r w:rsidRPr="00401DFF">
              <w:rPr>
                <w:rFonts w:ascii="Times New Roman" w:eastAsia="Times New Roman" w:hAnsi="Times New Roman" w:cs="Times New Roman"/>
                <w:sz w:val="24"/>
                <w:szCs w:val="24"/>
                <w:lang w:eastAsia="es-CO"/>
              </w:rPr>
              <w:br/>
              <w:t>(c) es una entidad subsidiaria adquirida exclusivamente con la finalidad de revenderla.</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probable (probable)</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Que tiene más probabilidad de que ocurra que de lo contrario.</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unidad generadora de efectivo (cash-generating unit)</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grupo identificable de activos más pequeño, que genera entradas de efectivo que sean, en buena medida, independientes de los flujos de efectivo derivados de otros </w:t>
            </w:r>
            <w:r w:rsidRPr="00401DFF">
              <w:rPr>
                <w:rFonts w:ascii="Times New Roman" w:eastAsia="Times New Roman" w:hAnsi="Times New Roman" w:cs="Times New Roman"/>
                <w:sz w:val="24"/>
                <w:szCs w:val="24"/>
                <w:lang w:eastAsia="es-CO"/>
              </w:rPr>
              <w:lastRenderedPageBreak/>
              <w:t>activos o grupos de activos.</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valor en uso (value in use)</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valor actual de los flujos futuros estimados de efectivo que se espera se deriven del uso continuado de un activo y de su disposición al final de su vida útil.</w:t>
            </w:r>
          </w:p>
        </w:tc>
      </w:tr>
      <w:tr w:rsidR="00401DFF" w:rsidRPr="00401DFF" w:rsidTr="00401DFF">
        <w:trPr>
          <w:tblCellSpacing w:w="15" w:type="dxa"/>
          <w:jc w:val="center"/>
        </w:trPr>
        <w:tc>
          <w:tcPr>
            <w:tcW w:w="29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606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Valor razonable</w:t>
            </w:r>
            <w:r w:rsidRPr="00401DFF">
              <w:rPr>
                <w:rFonts w:ascii="Times New Roman" w:eastAsia="Times New Roman" w:hAnsi="Times New Roman" w:cs="Times New Roman"/>
                <w:sz w:val="24"/>
                <w:szCs w:val="24"/>
                <w:lang w:eastAsia="es-CO"/>
              </w:rPr>
              <w:t xml:space="preserve"> es el precio que se recibiría por vender un activo o que se pagaría por transferir un pasivo en una transacción ordenada entre participantes de mercado en la fecha de la medición. (Véase la NIIF 13).</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Suplemento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Extensión del periodo requerido para completar una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Como se recoge en el párrafo 9, una ampliación del periodo requerido para completar una venta no impide que un activo (o grupo de activos para su disposición) se clasifique como mantenido para la venta, si el retraso está causado por hechos o circunstancias fuera del control de la entidad y existen evidencias suficientes de que la entidad sigue comprometida con su plan de venta del activo (o grupo de activos para su disposición). En consecuencia, se eximirá a la entidad de aplicar el requisito de un año, establecido en el párrafo 8, en las siguientes situaciones en las cuales se pongan de manifiesto estos hechos o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 fecha en que la entidad se comprometa con un plan para vender un activo no corriente (o grupo de activos para su disposición), exista una expectativa razonable de que otros terceros (distintos del comprador) impondrán condiciones sobre la transferencia del activo (o grupo de activos para su disposición) que ampliarán el periodo necesario para completar la venta;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las acciones necesarias para responder a esas condiciones no puedan ser iniciadas hasta después de que se haya obtenido el </w:t>
      </w:r>
      <w:r w:rsidRPr="00401DFF">
        <w:rPr>
          <w:rFonts w:ascii="Times New Roman" w:eastAsia="Times New Roman" w:hAnsi="Times New Roman" w:cs="Times New Roman"/>
          <w:i/>
          <w:iCs/>
          <w:sz w:val="24"/>
          <w:szCs w:val="24"/>
          <w:lang w:eastAsia="es-CO"/>
        </w:rPr>
        <w:t xml:space="preserve">compromiso firme de compra; </w:t>
      </w:r>
      <w:r w:rsidRPr="00401DFF">
        <w:rPr>
          <w:rFonts w:ascii="Times New Roman" w:eastAsia="Times New Roman" w:hAnsi="Times New Roman" w:cs="Times New Roman"/>
          <w:sz w:val="24"/>
          <w:szCs w:val="24"/>
          <w:lang w:eastAsia="es-CO"/>
        </w:rPr>
        <w:t>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sea altamente probable un compromiso firme de compra en el plazo de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obtenga un compromiso firme de compra y, como resultado, el comprador u otros terceros hayan impuesto de forma inesperada condiciones sobre la transferencia del activo no corriente (o grupo de activos para su disposición) clasificado previamente como mantenido para la venta, que extenderán el periodo exigido para completar la venta,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han sido tomadas a tiempo las acciones necesarias para responder a las condiciones impuestas;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se espera una resolución favorable de los factores que originan el retraso.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Durante el periodo inicial de un año, surgen circunstancias que previamente fueron consideradas improbables y, como resultado, el activo no corriente (o grupo de activos para su disposición) previamente clasificado como mantenido para la venta no se ha vendido al final de ese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durante el periodo inicial de un año, la entidad emprendió las acciones necesarias para responder al cambio de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activos no corrientes (o grupos de activos para su disposición) están siendo comercializados de forma activa a un precio razonable, dado el cambio en las circunstancias;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se cumplen los criterios establecidos en los párrafos 7 y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Para activos clasificados de acuerdo con la presentación en función del grado de liquidez, los activos no corrientes son aquéllos que incluyen importes que se esperen recuperar en más de doce meses después del periodo sobre el que se informa. El párrafo 3 es aplicable a la clasificación de estos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No obstante, en cuanto se espere que los flujos de efectivo de un activo o grupo de activos surjan de la venta en lugar de su uso continuado, éstos pueden llegar a ser menos dependientes de los flujos de efectivo surgidos de otros activos, y de esta forma un grupo de activos para su disposición, que fue parte de una unidad generadora de efectivo, podría convertirse en una unidad generadora de efectivo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(86) Distintas de las de los párrafos 18 y 19, donde se requiere que los activos en cuestión sean medidos de acuerdo con otras NIIF que sean aplicables.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Los costos de distribución son los costos incrementales directamente atribuibles a ésta, excluyendo los costos financieros y el gasto por impuestos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(88) Si el activo no corriente es parte de la unidad generadora de efectivo, su importe recuperable es el importe en libros que habría sido reconocido tras la distribución de cualquier pérdida por deterioro del valor surgida en dicha unidad generadora de efectivo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(89) A menos que el activo sea una propiedad, planta o equipo o un activo intangible, que hubiera sido revaluado de acuerdo con la NIC 16 o la NIC 38 antes de su clasificación como mantenido para la venta, en cuyo caso el ajuste se tratará como un incremento o decremento procedente de la revaluación.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Exploración y Evaluación de Recursos Minerales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1 El objetivo de esta NIIF es especificar la información financiera relativa a la </w:t>
      </w:r>
      <w:r w:rsidRPr="00401DFF">
        <w:rPr>
          <w:rFonts w:ascii="Times New Roman" w:eastAsia="Times New Roman" w:hAnsi="Times New Roman" w:cs="Times New Roman"/>
          <w:i/>
          <w:iCs/>
          <w:sz w:val="24"/>
          <w:szCs w:val="24"/>
          <w:lang w:eastAsia="es-CO"/>
        </w:rPr>
        <w:t>exploración y evaluación de recursos minerales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En particular, la NIIF requiere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mejoras limitadas en las prácticas contables existentes para los </w:t>
      </w:r>
      <w:r w:rsidRPr="00401DFF">
        <w:rPr>
          <w:rFonts w:ascii="Times New Roman" w:eastAsia="Times New Roman" w:hAnsi="Times New Roman" w:cs="Times New Roman"/>
          <w:i/>
          <w:iCs/>
          <w:sz w:val="24"/>
          <w:szCs w:val="24"/>
          <w:lang w:eastAsia="es-CO"/>
        </w:rPr>
        <w:t>desembolsos por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que las entidades que reconozcan </w:t>
      </w:r>
      <w:r w:rsidRPr="00401DFF">
        <w:rPr>
          <w:rFonts w:ascii="Times New Roman" w:eastAsia="Times New Roman" w:hAnsi="Times New Roman" w:cs="Times New Roman"/>
          <w:i/>
          <w:iCs/>
          <w:sz w:val="24"/>
          <w:szCs w:val="24"/>
          <w:lang w:eastAsia="es-CO"/>
        </w:rPr>
        <w:t>activos para exploración y evaluación</w:t>
      </w:r>
      <w:r w:rsidRPr="00401DFF">
        <w:rPr>
          <w:rFonts w:ascii="Times New Roman" w:eastAsia="Times New Roman" w:hAnsi="Times New Roman" w:cs="Times New Roman"/>
          <w:sz w:val="24"/>
          <w:szCs w:val="24"/>
          <w:lang w:eastAsia="es-CO"/>
        </w:rPr>
        <w:t xml:space="preserve"> realicen una comprobación de su deterioro del valor de acuerdo con esta NIIF, y midan cualquier deterioro de acuerdo con la NIC 36 </w:t>
      </w:r>
      <w:r w:rsidRPr="00401DFF">
        <w:rPr>
          <w:rFonts w:ascii="Times New Roman" w:eastAsia="Times New Roman" w:hAnsi="Times New Roman" w:cs="Times New Roman"/>
          <w:i/>
          <w:iCs/>
          <w:sz w:val="24"/>
          <w:szCs w:val="24"/>
          <w:lang w:eastAsia="es-CO"/>
        </w:rPr>
        <w:t>Deterioro del Valor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revelar información que identifique y explique los importes que en los estados financieros de la entidad surjan de la exploración y evaluación de recursos minerales, que ayude a los usuarios de esos estados financieros a comprender el importe, calendario y certidumbre de los flujos de efectivo futuros de los activos para exploración y evaluación que se hayan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Una entidad aplicará esta NIIF a los desembolsos por exploración y evaluación en los que incurra.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NIIF no aborda otros aspectos relativos a la contabilización de las entidades dedicadas a la exploración y evaluación de recursos minerales.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Una entidad no aplicará la NIIF a los desembolsos en que haya incurrido: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antes de la exploración y evaluación de los recursos minerales, tales como desembolsos incurridos antes de obtener el derecho legal de explorar un área determinada;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después de que sean demostrables la factibilidad técnica y la viabilidad comercial de la extracción de un recurso mineral.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de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Exención temporal relativa a los párrafos 11 y 12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Al desarrollar sus políticas contables, una entidad que reconozca activos para exploración y evaluación aplicará el párrafo 10 de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 Los párrafos 11 y 12 de la NIC 8 establecen las fuentes de la jerarquía normativa, así como las guías que la dirección está obligada a considerar al desarrollar una política contable para una partida, cuando ninguna NIIF sea aplicable específicamente. Supeditado a lo dispuesto en los párrafos 9 y 10 siguientes, esta NIIF exime a una entidad de aplicar </w:t>
      </w:r>
      <w:r w:rsidRPr="00401DFF">
        <w:rPr>
          <w:rFonts w:ascii="Times New Roman" w:eastAsia="Times New Roman" w:hAnsi="Times New Roman" w:cs="Times New Roman"/>
          <w:sz w:val="24"/>
          <w:szCs w:val="24"/>
          <w:lang w:eastAsia="es-CO"/>
        </w:rPr>
        <w:lastRenderedPageBreak/>
        <w:t>esos párrafos a sus políticas contables para el reconocimiento y la medición de los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en el momento del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8 Los activos para exploración y evaluación se medirán por su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Elementos del costo de los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entidad establecerá una política contable que especifique qué desembolsos se reconocerán como activos para exploración y evaluación, y aplicará dicha política de forma coherente. Al establecer esta política, una entidad considerará el grado en el que los desembolsos puedan estar asociados con el descubrimiento de recursos minerales específicos. Los siguientes son ejemplos de desembolsos que podrían incluirse en la medición inicial de los activos para exploración y evaluación (la lista no es exhaustiva):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adquisición de derechos de exploración;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estudios topográficos, geológicos, geoquímicos y geofísicos;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perforaciones exploratorias;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excavaciones de zanjas y trincheras;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toma de muestras;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actividades relacionadas con la evaluación de la factibilidad técnica y la viabilidad comercial de la extracción de un recurso mineral.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Los desembolsos relacionados con el desarrollo de los recursos minerales no se reconocerán como activos para exploración y evaluación. El </w:t>
      </w:r>
      <w:r w:rsidRPr="00401DFF">
        <w:rPr>
          <w:rFonts w:ascii="Times New Roman" w:eastAsia="Times New Roman" w:hAnsi="Times New Roman" w:cs="Times New Roman"/>
          <w:i/>
          <w:iCs/>
          <w:sz w:val="24"/>
          <w:szCs w:val="24"/>
          <w:lang w:eastAsia="es-CO"/>
        </w:rPr>
        <w:t>Marco Conceptual</w:t>
      </w:r>
      <w:hyperlink r:id="rId95" w:anchor="bf16fd8b46fa3c743bfb69033a19b4bdd43nf9" w:tgtFrame="_self" w:history="1">
        <w:r w:rsidRPr="00401DFF">
          <w:rPr>
            <w:rFonts w:ascii="Times New Roman" w:eastAsia="Times New Roman" w:hAnsi="Times New Roman" w:cs="Times New Roman"/>
            <w:color w:val="0000FF"/>
            <w:sz w:val="20"/>
            <w:szCs w:val="20"/>
            <w:u w:val="single"/>
            <w:vertAlign w:val="superscript"/>
            <w:lang w:eastAsia="es-CO"/>
          </w:rPr>
          <w:t>(90)</w:t>
        </w:r>
      </w:hyperlink>
      <w:r w:rsidRPr="00401DFF">
        <w:rPr>
          <w:rFonts w:ascii="Times New Roman" w:eastAsia="Times New Roman" w:hAnsi="Times New Roman" w:cs="Times New Roman"/>
          <w:sz w:val="24"/>
          <w:szCs w:val="24"/>
          <w:lang w:eastAsia="es-CO"/>
        </w:rPr>
        <w:t xml:space="preserve"> y la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suministran guías sobre el reconocimiento de activos que surjan de este desarrollo.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una entidad reconocerá cualquier obligación en la que se incurra por desmantelamiento y restauración durante un determinado periodo, como consecuencia de haber llevado a cabo actividades de exploración y evaluación de recursos minerales.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al reconocimiento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12 Después del reconocimiento, la entidad aplicará el modelo del costo o el modelo de la revaluación a los activos para exploración y evaluación. Si se aplicase el modelo de la revaluación (ya sea el modelo de la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o el modelo de </w:t>
      </w:r>
      <w:r w:rsidRPr="00401DFF">
        <w:rPr>
          <w:rFonts w:ascii="Times New Roman" w:eastAsia="Times New Roman" w:hAnsi="Times New Roman" w:cs="Times New Roman"/>
          <w:sz w:val="24"/>
          <w:szCs w:val="24"/>
          <w:lang w:eastAsia="es-CO"/>
        </w:rPr>
        <w:lastRenderedPageBreak/>
        <w:t>la NIC 38), se hará de forma congruente con la clasificación de esos activos (véase el párrafo 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13 Una entidad puede cambiar las políticas contables aplicadas a los desembolsos relacionados con la exploración y evaluación, si el cambio hace que los estados financieros sean más relevantes a los efectos de toma de decisiones económicas por los usuarios sin mermar su fiabilidad, o si los hace más fiables y no disminuye su relevancia para la adopción de decisiones. Una entidad juzgará la relevancia y la fiabilidad empleando los criterios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Para justificar cambios en las políticas contables aplicadas a los desembolsos por exploración y evaluación, una entidad demostrará que el cambio aproxima sus estados financieros a los criterios de la NIC 8, sin que sea necesario que el cambio en cuestión cumpla por completo con esos criterios.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Una entidad clasificará los activos para exploración y evaluación como tangibles o intangibles, según la naturaleza de los activos adquiridos, y aplicará la clasificación de forma coherente.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Algunos activos para exploración y evaluación se tratan como intangibles (por ejemplo, los derechos de perforación), mientras que otros son tangibles (por ejemplo, vehículos y equipos de perforación). En la medida en que se consuma un activo tangible para desarrollar un activo intangible, el importe que refleje ese consumo será parte del costo del activo intangible. Sin embargo, el uso de un activo tangible para desarrollar un activo intangible no transforma a dicho activo tangible en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Reclasificación de los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 activo para exploración y evaluación dejará de ser clasificado como tal cuando la fiabilidad técnica y la viabilidad comercial de la extracción de un recurso mineral sean demostrables. Antes de proceder a la reclasificación, se evaluará el deterioro de los activos para exploración y evaluación, debiéndose reconocer cualquier pérdida por deterioro de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Deterioro del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18 Se evaluará el deterioro del valor de los activos para exploración y evaluación cuando los hechos y circunstancias sugieran que el importe en libros de un activo para </w:t>
      </w:r>
      <w:r w:rsidRPr="00401DFF">
        <w:rPr>
          <w:rFonts w:ascii="Times New Roman" w:eastAsia="Times New Roman" w:hAnsi="Times New Roman" w:cs="Times New Roman"/>
          <w:b/>
          <w:bCs/>
          <w:sz w:val="24"/>
          <w:szCs w:val="24"/>
          <w:lang w:eastAsia="es-CO"/>
        </w:rPr>
        <w:lastRenderedPageBreak/>
        <w:t>exploración y evaluación puede superar a su importe recuperable. Cuando los hechos y circunstancias sugieran que el importe en libros excede el importe recuperable, una entidad medirá, presentará y revelará cualquier pérdida por deterioro del valor resultante de acuerdo con la NIC 36, excepto por lo dispuesto en el párrafo 21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Al identificar si se ha deteriorado un activo para exploración o evaluación, y sólo para este tipo de activos, se aplicará el párrafo 20 de esta NIIF en lugar de los párrafos 8 a 17 de la NIC 36. El párrafo 20 emplea el término “activos”, pero es aplicable por igual tanto a los activos para exploración y evaluación separados como a una unidad generadora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Uno o más de los siguientes hechos y circunstancias indican que la entidad debería comprobar el deterioro del valor de los activos para exploración y evaluación (la lista no es exhaustiva):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término durante el que la entidad tiene el derecho a explorar en un área específica ha expirado durante el período, o lo hará en un futuro cercano, y no se espera que sea renovado.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se han presupuestado ni planeado desembolsos significativos para la exploración y evaluación posterior de los recursos minerales en esa área específica.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exploración y evaluación de recursos minerales en un área específica no han conducido al descubrimiento de cantidades comercialmente viables de recursos minerales, y la entidad ha decidido interrumpir dichas actividades en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Existen datos suficientes para indicar que, aunque es probable que se produzca un desarrollo en un área determinada, resulta improbable que el importe en libros del activo para exploración y evaluación pueda ser recuperado por completo a través del desarrollo exitoso o a través de su venta.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cualquiera de estos casos, o en casos similares, la entidad comprobará el deterioro del valor de acuerdo con la NIC 36. Cualquier pérdida por deterioro se reconocerá como un gasto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Especificación del nivel al que se evalúa el deterioro de los activos para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21 Una entidad establecerá una política contable para asignar los activos para exploración y evaluación a unidades generadoras de efectivo o grupos de unidades generadoras de efectivo, con la finalidad de comprobar si tales activos han sufrido un deterioro en su valor. Ninguna unidad generadora de efectivo, o grupo de unidades a las que se impute un activo de exploración y evaluación podrá ser mayor que un segmento de operación determinado de acuerdo con la NIIF 8 </w:t>
      </w:r>
      <w:r w:rsidRPr="00401DFF">
        <w:rPr>
          <w:rFonts w:ascii="Times New Roman" w:eastAsia="Times New Roman" w:hAnsi="Times New Roman" w:cs="Times New Roman"/>
          <w:b/>
          <w:bCs/>
          <w:i/>
          <w:iCs/>
          <w:sz w:val="24"/>
          <w:szCs w:val="24"/>
          <w:lang w:eastAsia="es-CO"/>
        </w:rPr>
        <w:t>Segmentos de Operación</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22 El nivel identificado por la entidad, a los efectos de comprobar si el valor de los activos para exploración y evaluación se ha deteriorado, puede comprender una o más unidades generadoras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23 Una entidad revelará la información que permita identificar y explicar los importes reconocidos en sus estados financieros que procedan de la exploración y evaluación de recursos minerales.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Para cumplir lo dispuesto en el párrafo 23,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políticas contables aplicadas a los desembolsos relacionados con la exploración y evaluación, incluyendo el reconocimiento de activos por exploración y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importes de los activos, pasivos, ingresos y gastos, así como los flujos de efectivo por actividades de operación e inversión, surgidos de la exploración y evaluación de recursos minerales.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 entidad tratará los activos para exploración y evaluación como una clase de activos separada y revelará la información requerida por la NIC 16 o la NIC 38, según cómo haya clasificado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Una entidad aplicará esta NIIF en los periodos anuales que comiencen a partir del 1 de enero de 2006. Se aconseja su aplicación anticipada. Si la entidad aplicase la NIIF para un periodo que comience antes del 1 de enero de 2006,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Si fuera impracticable aplicar un requerimiento concreto del párrafo 18 a la información comparativa que se refiera a períodos anuales que comiencen antes del 1 de enero de 2006, la entidad revelará este hecho. En la NIC 8 se explica el significado del término “impracticable”.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9210" w:type="dxa"/>
        <w:jc w:val="center"/>
        <w:tblCellSpacing w:w="15" w:type="dxa"/>
        <w:tblCellMar>
          <w:top w:w="15" w:type="dxa"/>
          <w:left w:w="15" w:type="dxa"/>
          <w:bottom w:w="15" w:type="dxa"/>
          <w:right w:w="15" w:type="dxa"/>
        </w:tblCellMar>
        <w:tblLook w:val="04A0" w:firstRow="1" w:lastRow="0" w:firstColumn="1" w:lastColumn="0" w:noHBand="0" w:noVBand="1"/>
      </w:tblPr>
      <w:tblGrid>
        <w:gridCol w:w="4480"/>
        <w:gridCol w:w="4730"/>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para exploración y evaluación (exploration and evaluation assets)</w:t>
            </w:r>
          </w:p>
        </w:tc>
        <w:tc>
          <w:tcPr>
            <w:tcW w:w="472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Desembolsos relacionados con la exploración y evaluación</w:t>
            </w:r>
            <w:r w:rsidRPr="00401DFF">
              <w:rPr>
                <w:rFonts w:ascii="Times New Roman" w:eastAsia="Times New Roman" w:hAnsi="Times New Roman" w:cs="Times New Roman"/>
                <w:sz w:val="24"/>
                <w:szCs w:val="24"/>
                <w:lang w:eastAsia="es-CO"/>
              </w:rPr>
              <w:t>reconocidos como activos de acuerdo con la política contable de la entidad.</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desembolsos relacionados con la </w:t>
            </w:r>
            <w:r w:rsidRPr="00401DFF">
              <w:rPr>
                <w:rFonts w:ascii="Times New Roman" w:eastAsia="Times New Roman" w:hAnsi="Times New Roman" w:cs="Times New Roman"/>
                <w:b/>
                <w:bCs/>
                <w:sz w:val="24"/>
                <w:szCs w:val="24"/>
                <w:lang w:eastAsia="es-CO"/>
              </w:rPr>
              <w:lastRenderedPageBreak/>
              <w:t>exploración y evaluación (exploration and evaluation expenditures)</w:t>
            </w:r>
          </w:p>
        </w:tc>
        <w:tc>
          <w:tcPr>
            <w:tcW w:w="472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Desembolsos efectuados por una entidad en </w:t>
            </w:r>
            <w:r w:rsidRPr="00401DFF">
              <w:rPr>
                <w:rFonts w:ascii="Times New Roman" w:eastAsia="Times New Roman" w:hAnsi="Times New Roman" w:cs="Times New Roman"/>
                <w:sz w:val="24"/>
                <w:szCs w:val="24"/>
                <w:lang w:eastAsia="es-CO"/>
              </w:rPr>
              <w:lastRenderedPageBreak/>
              <w:t xml:space="preserve">relación con la </w:t>
            </w:r>
            <w:r w:rsidRPr="00401DFF">
              <w:rPr>
                <w:rFonts w:ascii="Times New Roman" w:eastAsia="Times New Roman" w:hAnsi="Times New Roman" w:cs="Times New Roman"/>
                <w:b/>
                <w:bCs/>
                <w:sz w:val="24"/>
                <w:szCs w:val="24"/>
                <w:lang w:eastAsia="es-CO"/>
              </w:rPr>
              <w:t>exploración y la evaluación de recursos minerales,</w:t>
            </w:r>
            <w:r w:rsidRPr="00401DFF">
              <w:rPr>
                <w:rFonts w:ascii="Times New Roman" w:eastAsia="Times New Roman" w:hAnsi="Times New Roman" w:cs="Times New Roman"/>
                <w:sz w:val="24"/>
                <w:szCs w:val="24"/>
                <w:lang w:eastAsia="es-CO"/>
              </w:rPr>
              <w:t xml:space="preserve"> antes de que se pueda demostrar la factibilidad técnica y la viabilidad comercial de la extracción de recursos minerales.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exploración y evaluación de recursos minerales (exploration for and evaluation of mineral resources)</w:t>
            </w:r>
          </w:p>
        </w:tc>
        <w:tc>
          <w:tcPr>
            <w:tcW w:w="472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búsqueda de recursos minerales, incluyendo minerales, petróleo, gas natural y recursos similares no renovables, realizada una vez que la entidad ha obtenido derechos legales para explorar en un área determinada, así como la determinación de la factibilidad técnica y la viabilidad comercial de la extracción de recursos minerales.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(90) Las referencias al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son al </w:t>
      </w:r>
      <w:r w:rsidRPr="00401DFF">
        <w:rPr>
          <w:rFonts w:ascii="Times New Roman" w:eastAsia="Times New Roman" w:hAnsi="Times New Roman" w:cs="Times New Roman"/>
          <w:i/>
          <w:iCs/>
          <w:sz w:val="24"/>
          <w:szCs w:val="24"/>
          <w:lang w:eastAsia="es-CO"/>
        </w:rPr>
        <w:t>Marco Conceptual del IASC para la Preparación y Presentación de Estados Financieros,</w:t>
      </w:r>
      <w:r w:rsidRPr="00401DFF">
        <w:rPr>
          <w:rFonts w:ascii="Times New Roman" w:eastAsia="Times New Roman" w:hAnsi="Times New Roman" w:cs="Times New Roman"/>
          <w:sz w:val="24"/>
          <w:szCs w:val="24"/>
          <w:lang w:eastAsia="es-CO"/>
        </w:rPr>
        <w:t xml:space="preserve"> adoptado por el IASB en 2001. En septiembre de 2010 el IASB sustituyó el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 xml:space="preserve">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Instrumentos Financieros: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NIIF es requerir a las entidades que, en sus estados financieros, revelen información que permita a los usuarios evaluar: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relevancia de los instrumentos financieros en la situación financiera y en el rendimiento de la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naturaleza y alcance de los riesgos procedentes de los instrumentos financieros a los que la entidad se haya expuesto durante el periodo y lo esté al final del periodo sobre el que se informa, así como la forma de gestionar dichos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Los principios contenidos en esta NIIF complementan a los de reconocimiento, medición y presentación de los activos financieros y los pasivos financieros de la NIC 32 </w:t>
      </w:r>
      <w:r w:rsidRPr="00401DFF">
        <w:rPr>
          <w:rFonts w:ascii="Times New Roman" w:eastAsia="Times New Roman" w:hAnsi="Times New Roman" w:cs="Times New Roman"/>
          <w:i/>
          <w:iCs/>
          <w:sz w:val="24"/>
          <w:szCs w:val="24"/>
          <w:lang w:eastAsia="es-CO"/>
        </w:rPr>
        <w:t xml:space="preserve">Instrumentos Financieros: Presentación </w:t>
      </w:r>
      <w:r w:rsidRPr="00401DFF">
        <w:rPr>
          <w:rFonts w:ascii="Times New Roman" w:eastAsia="Times New Roman" w:hAnsi="Times New Roman" w:cs="Times New Roman"/>
          <w:sz w:val="24"/>
          <w:szCs w:val="24"/>
          <w:lang w:eastAsia="es-CO"/>
        </w:rPr>
        <w:t xml:space="preserve">y de la NIIF 9 </w:t>
      </w:r>
      <w:r w:rsidRPr="00401DFF">
        <w:rPr>
          <w:rFonts w:ascii="Times New Roman" w:eastAsia="Times New Roman" w:hAnsi="Times New Roman" w:cs="Times New Roman"/>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Esta NIIF se aplicará por todas las entidades, a todo tipo de instrumentos financieros, excepto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aquellas participaciones en subsidiarias, asociadas o negocios conjuntos, que se contabilicen de acuerdo con la NIIF 10 </w:t>
      </w:r>
      <w:r w:rsidRPr="00401DFF">
        <w:rPr>
          <w:rFonts w:ascii="Times New Roman" w:eastAsia="Times New Roman" w:hAnsi="Times New Roman" w:cs="Times New Roman"/>
          <w:i/>
          <w:iCs/>
          <w:sz w:val="24"/>
          <w:szCs w:val="24"/>
          <w:lang w:eastAsia="es-CO"/>
        </w:rPr>
        <w:t>Estados Financieros Consolidados,</w:t>
      </w:r>
      <w:r w:rsidRPr="00401DFF">
        <w:rPr>
          <w:rFonts w:ascii="Times New Roman" w:eastAsia="Times New Roman" w:hAnsi="Times New Roman" w:cs="Times New Roman"/>
          <w:sz w:val="24"/>
          <w:szCs w:val="24"/>
          <w:lang w:eastAsia="es-CO"/>
        </w:rPr>
        <w:t xml:space="preserve"> NIC 27 </w:t>
      </w:r>
      <w:r w:rsidRPr="00401DFF">
        <w:rPr>
          <w:rFonts w:ascii="Times New Roman" w:eastAsia="Times New Roman" w:hAnsi="Times New Roman" w:cs="Times New Roman"/>
          <w:i/>
          <w:iCs/>
          <w:sz w:val="24"/>
          <w:szCs w:val="24"/>
          <w:lang w:eastAsia="es-CO"/>
        </w:rPr>
        <w:t xml:space="preserve">Estados </w:t>
      </w:r>
      <w:r w:rsidRPr="00401DFF">
        <w:rPr>
          <w:rFonts w:ascii="Times New Roman" w:eastAsia="Times New Roman" w:hAnsi="Times New Roman" w:cs="Times New Roman"/>
          <w:i/>
          <w:iCs/>
          <w:sz w:val="24"/>
          <w:szCs w:val="24"/>
          <w:lang w:eastAsia="es-CO"/>
        </w:rPr>
        <w:lastRenderedPageBreak/>
        <w:t>Financieros Separados,</w:t>
      </w:r>
      <w:r w:rsidRPr="00401DFF">
        <w:rPr>
          <w:rFonts w:ascii="Times New Roman" w:eastAsia="Times New Roman" w:hAnsi="Times New Roman" w:cs="Times New Roman"/>
          <w:sz w:val="24"/>
          <w:szCs w:val="24"/>
          <w:lang w:eastAsia="es-CO"/>
        </w:rPr>
        <w:t xml:space="preserve"> NIC 28 </w:t>
      </w:r>
      <w:r w:rsidRPr="00401DFF">
        <w:rPr>
          <w:rFonts w:ascii="Times New Roman" w:eastAsia="Times New Roman" w:hAnsi="Times New Roman" w:cs="Times New Roman"/>
          <w:i/>
          <w:iCs/>
          <w:sz w:val="24"/>
          <w:szCs w:val="24"/>
          <w:lang w:eastAsia="es-CO"/>
        </w:rPr>
        <w:t>Inversiones en Asociadas y Negocios Conjuntos</w:t>
      </w:r>
      <w:r w:rsidRPr="00401DFF">
        <w:rPr>
          <w:rFonts w:ascii="Times New Roman" w:eastAsia="Times New Roman" w:hAnsi="Times New Roman" w:cs="Times New Roman"/>
          <w:sz w:val="24"/>
          <w:szCs w:val="24"/>
          <w:lang w:eastAsia="es-CO"/>
        </w:rPr>
        <w:t xml:space="preserve">. No obstante, en algunos casos la NIC 27 o la NIC 28 permiten que una entidad contabilice las participaciones en una subsidiaria, asociada o negocio conjunto aplicando la NIIF 39; en esos casos, las entidades aplicarán los requerimientos de esta NIIF y, para las participaciones medidas a valor razonable, los requerimientos de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Las entidades aplicarán también esta NIIF a todos los derivados vinculados a las participaciones en subsidiarias, asociadas o negocios conjuntos, a menos que el derivado cumpla la definición de un instrumento de patrimonio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derechos y obligaciones de los empleadores surgidos por los planes de beneficios a los empleados a los que se les aplique la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Los contratos de seguro, según se definen en la NIIF 4 </w:t>
      </w:r>
      <w:r w:rsidRPr="00401DFF">
        <w:rPr>
          <w:rFonts w:ascii="Times New Roman" w:eastAsia="Times New Roman" w:hAnsi="Times New Roman" w:cs="Times New Roman"/>
          <w:i/>
          <w:iCs/>
          <w:sz w:val="24"/>
          <w:szCs w:val="24"/>
          <w:lang w:eastAsia="es-CO"/>
        </w:rPr>
        <w:t>Contratos de Seguro</w:t>
      </w:r>
      <w:r w:rsidRPr="00401DFF">
        <w:rPr>
          <w:rFonts w:ascii="Times New Roman" w:eastAsia="Times New Roman" w:hAnsi="Times New Roman" w:cs="Times New Roman"/>
          <w:sz w:val="24"/>
          <w:szCs w:val="24"/>
          <w:lang w:eastAsia="es-CO"/>
        </w:rPr>
        <w:t xml:space="preserve">. No obstante, esta NIIF se aplicará a los derivados implícitos en contratos de seguro, siempre que la NIIF 9 requiera que la entidad los contabilice por separado. Además, un emisor aplicará esta NIIF a los </w:t>
      </w:r>
      <w:r w:rsidRPr="00401DFF">
        <w:rPr>
          <w:rFonts w:ascii="Times New Roman" w:eastAsia="Times New Roman" w:hAnsi="Times New Roman" w:cs="Times New Roman"/>
          <w:i/>
          <w:iCs/>
          <w:sz w:val="24"/>
          <w:szCs w:val="24"/>
          <w:lang w:eastAsia="es-CO"/>
        </w:rPr>
        <w:t>contratos de garantía financiera</w:t>
      </w:r>
      <w:r w:rsidRPr="00401DFF">
        <w:rPr>
          <w:rFonts w:ascii="Times New Roman" w:eastAsia="Times New Roman" w:hAnsi="Times New Roman" w:cs="Times New Roman"/>
          <w:sz w:val="24"/>
          <w:szCs w:val="24"/>
          <w:lang w:eastAsia="es-CO"/>
        </w:rPr>
        <w:t xml:space="preserve"> si aplica la NIIF 9 en el reconocimiento y medición de esos contratos, pero aplicará la NIIF 4 si decidiese, de acuerdo con el apartado (d) del párrafo 4 de la NIIF 4, aplicar dicha NIIF 4 para su reconocimiento y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Los instrumentos financieros, contratos y obligaciones que surjan de transacciones con pagos basados en acciones a los que se aplique la NIIF 2 </w:t>
      </w:r>
      <w:r w:rsidRPr="00401DFF">
        <w:rPr>
          <w:rFonts w:ascii="Times New Roman" w:eastAsia="Times New Roman" w:hAnsi="Times New Roman" w:cs="Times New Roman"/>
          <w:i/>
          <w:iCs/>
          <w:sz w:val="24"/>
          <w:szCs w:val="24"/>
          <w:lang w:eastAsia="es-CO"/>
        </w:rPr>
        <w:t>Pagos Basados en Acciones,</w:t>
      </w:r>
      <w:r w:rsidRPr="00401DFF">
        <w:rPr>
          <w:rFonts w:ascii="Times New Roman" w:eastAsia="Times New Roman" w:hAnsi="Times New Roman" w:cs="Times New Roman"/>
          <w:sz w:val="24"/>
          <w:szCs w:val="24"/>
          <w:lang w:eastAsia="es-CO"/>
        </w:rPr>
        <w:t xml:space="preserve"> excepto que esta NIIF se aplique a contratos dentro del alcance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Instrumentos que requieran ser clasificados como instrumentos de patrimonio de acuerdo con los párrafos 16A y 16B o los párrafos 16C y 16D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Esta NIIF se aplicará tanto a los instrumentos financieros que se reconozcan contablemente como a los que no se reconozcan. Los instrumentos financieros reconocidos comprenden activos financieros y pasivos financieros que estén dentro del alcance de la NIIF 9. Los instrumentos financieros no reconocidos comprenden algunos instrumentos financieros que, aunque están fuera del alcance de la NIIF 9, entran dentro del alcance de esta NIIF (como algunos compromisos de préstamo).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NIIF se aplicará a los contratos de compra o venta de una partida no financiera que esté dentro del alcance de la NIIF9.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Clases de instrumentos financieros y nivel de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Cuando esta NIIF requiera que la información se suministre por clases de instrumentos financieros, una entidad los agrupará en clases que sean apropiadas según la naturaleza de la información a revelar y que tengan en cuenta las características de dichos instrumentos financieros. Una entidad suministrará información suficiente para permitir la conciliación con las partidas presentadas en las partidas del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Relevancia de los instrumentos financieros en la situación financiera y el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Una entidad suministrará información que permita que los usuarios de sus estados financieros evalúen la relevancia de los instrumentos financieros en su situación financiera y en su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Categorías de activos financieros y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Se revelarán, ya sea en el estado de situación financiera o en las notas, los importes en libros de cada una de las siguientes categorías definidas en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Activos financieros medidos al valor razonable con cambios en resultados, mostrando por separado: (i) los designados como tales en el momento de su reconocimiento inicial, y (ii) los medidos obligatoriamente al valor razonable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Pasivos financieros al valor razonable con cambios en resultados, mostrando por separado: (i) los designados como tales en el momento de su reconocimiento inicial, y (ii) los que cumplan la definición de mantenidos para negociar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activos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pasivos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activos financieros medidos al valor razonable con cambios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o pasivos financieros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Si la entidad ha designado como medido al valor razonable un activo financiero (o grupo de activos financieros) que en otro caso sería medido al costo amortizado,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El máximo nivel de exposición al </w:t>
      </w:r>
      <w:r w:rsidRPr="00401DFF">
        <w:rPr>
          <w:rFonts w:ascii="Times New Roman" w:eastAsia="Times New Roman" w:hAnsi="Times New Roman" w:cs="Times New Roman"/>
          <w:i/>
          <w:iCs/>
          <w:sz w:val="24"/>
          <w:szCs w:val="24"/>
          <w:lang w:eastAsia="es-CO"/>
        </w:rPr>
        <w:t>riesgo de crédito</w:t>
      </w:r>
      <w:r w:rsidRPr="00401DFF">
        <w:rPr>
          <w:rFonts w:ascii="Times New Roman" w:eastAsia="Times New Roman" w:hAnsi="Times New Roman" w:cs="Times New Roman"/>
          <w:sz w:val="24"/>
          <w:szCs w:val="24"/>
          <w:lang w:eastAsia="es-CO"/>
        </w:rPr>
        <w:t xml:space="preserve"> [véase el apartado (a) del párrafo 36] del activo financiero (o del grupo de activos financieros)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por el que se mitiga dicho máximo nivel de exposición al riesgo de crédito mediante el uso de derivados de crédito o instrumentos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El importe de la variación, durante el período y la acumulada, del valor razonable del activo financiero (o del grupo de activos financieros) que sea atribuible a las variaciones en el riesgo de crédito del activo financiero, determinado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el importe de la variación del valor razonable que no sea atribuible a cambios en las condiciones de mercado que dan lugar a </w:t>
      </w:r>
      <w:r w:rsidRPr="00401DFF">
        <w:rPr>
          <w:rFonts w:ascii="Times New Roman" w:eastAsia="Times New Roman" w:hAnsi="Times New Roman" w:cs="Times New Roman"/>
          <w:i/>
          <w:iCs/>
          <w:sz w:val="24"/>
          <w:szCs w:val="24"/>
          <w:lang w:eastAsia="es-CO"/>
        </w:rPr>
        <w:t>riesgo de mercado</w:t>
      </w:r>
      <w:r w:rsidRPr="00401DFF">
        <w:rPr>
          <w:rFonts w:ascii="Times New Roman" w:eastAsia="Times New Roman" w:hAnsi="Times New Roman" w:cs="Times New Roman"/>
          <w:sz w:val="24"/>
          <w:szCs w:val="24"/>
          <w:lang w:eastAsia="es-CO"/>
        </w:rPr>
        <w:t>;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que resulte de la aplicación de un método alternativo, si la entidad cree que de esta forma representa más fielmente la variación del valor razonable que sea atribuible a cambios en el riesgo de crédito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cambios en las condiciones de mercado que ocasionan riesgo de mercado incluyen las variaciones en una tasa de interés (de referencia) observada, en el precio de una materia prima cotizada, en una tasa de cambio de moneda extranjera o en un índice de precios o tasas.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de la variación del valor razonable de cualesquiera derivados de crédito o instrumentos similares vinculados, durante el período y la acumulada desde que el activo financiero se hubiera designado.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Si la entidad ha designado un pasivo financiero como a valor razonable con cambios en resultados de acuerdo con el párrafo 4.2.2 de la NIIF 9 y se requiere que presente los efectos de cambios en ese riesgo de crédito del pasivo en otro resultado integral (véase el párrafo 5.7.7 de la NIIF 9),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del cambio, de forma acumulada, en el valor razonable del pasivo financiero que es atribuible a cambios en el riesgo de crédito de ese pasivo (véase los párrafos B5.7.13 a B5.7.20 de la NIIF 9 donde encontrar guías para determinar los efectos de cambios en el riesgo de crédito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diferencia entre el importe en libros del pasivo financiero y el importe que la entidad estaría obligada contractualmente a pagar al tenedor de la obligación, en el momento del vencimiento.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Cualquier transferencia de ganancias o pérdidas acumuladas dentro de patrimonio durante el periodo incluyendo la razón para estas transferencias.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un pasivo se da de baja en cuentas durante el periodo, el importe (si lo hubiera) presentado en otro resultado integral que se produjo en el momento de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10A Si una entidad ha designado un pasivo financiero como a valor razonable con cambios en resultados de acuerdo con el párrafo 4.2.2 de la NIIF 9 y se requiere que presente todos los cambios en el valor razonable de ese pasivo (incluyendo los efectos de cambios en el riesgo de crédito del pasivo) en el resultado del periodo (véase los párrafos 5.7.7 y 5.7.8 de la NIIF 9),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El importe del cambio, durante el periodo y de forma acumulada, en el valor razonable del pasivo financiero que es atribuible a cambios en el riesgo de crédito de ese pasivo (véase los párrafos B5.7.13 a B5.7.20 de la NIIF 9 donde encontrar guías para determinar los efectos de cambios en el riesgo de crédito de pasivo);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diferencia entre el importe en libros del pasivo financiero y el importe que la entidad estaría obligada contractualmente a pagar al tenedor de la obligación, en el momento del vencimiento.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entidad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detallada de los métodos utilizados para cumplir con los requerimientos de los párrafos 9(c), 10(a) y 10A(a) y el párrafo 5.7.7(a) de la NIIF 9, incluyendo una explicación de la razón por la que el método es apropiado.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entidad creyese que la información a revelar facilitada en el estado de situación financiera o en las notas para cumplir con los requerimientos en los párrafos 9(c), 10(a) o 10A(a) o el párrafo 5.7.7(a) no representa fielmente la variación del valor razonable del activo financiero o del pasivo financiero que sea atribuible a cambios en su riesgo de crédito, las razones por las que ha llegado a esta conclusión y los factores que cree que son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detallada de la metodología o metodologías utilizadas para determinar si presentar los efectos de cambios en un riesgo de crédito de pasivo en otro resultado integral crearía o aumentaría una asimetría contable en el resultado del periodo (véanse los párrafos 5.7.7 y 5.7.8 de la NIIF 9). Si se requiere que una entidad presente los efectos de cambios en un riesgo de crédito de pasivo en el resultado del periodo (véase el párrafo 5.7.8 de la NIIF 9), la información a revelar debe incluir una descripción detallada de la relación económica descrita en el párrafo B5.7.6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medidos al valor razonable con cambios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11A Si una entidad ha designado inversiones en instrumentos de patrimonio a medir a valor razonable con cambios en otro resultado integral, conforme permite el párrafo 5.7.5 de la NIIF 9,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Qué inversiones en instrumentos de patrimonio se han designado a medir a valor razonable con cambios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razones para utilizar esta presentación alternativa.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razonable de cada una de estas inversiones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Los dividendos reconocidos durante el periodo, mostrando por separado los relacionados con inversiones dadas de baja en cuentas durante el periodo sobre el que se </w:t>
      </w:r>
      <w:r w:rsidRPr="00401DFF">
        <w:rPr>
          <w:rFonts w:ascii="Times New Roman" w:eastAsia="Times New Roman" w:hAnsi="Times New Roman" w:cs="Times New Roman"/>
          <w:sz w:val="24"/>
          <w:szCs w:val="24"/>
          <w:lang w:eastAsia="es-CO"/>
        </w:rPr>
        <w:lastRenderedPageBreak/>
        <w:t>informa y las relacionadas con inversiones mantenidas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Cualquier transferencia de ganancias o pérdidas acumuladas dentro de patrimonio durante el periodo incluyendo la razón para estas transferencias.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11B Si una entidad da de baja en cuentas inversiones en instrumentos de patrimonio medidos a valor razonable con cambios en otro resultado integral durante el periodo sobre el que se informa,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razones para disponer de las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razonable de la inversión en la fecha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ganancia o pérdida acumulada en el momento de la disposición.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12-12A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12B Una entidad revelará si, en los periodos sobre los que se informa actual o anteriores, se ha reclasificado cualquier activo financiero de acuerdo con el párrafo 4.4.1 de la NIIF 9. Para cada uno de estos sucesos,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fecha de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explicación detallada del cambio en el modelo de negocio y una descripción cualitativa de su efecto sobre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reclasificado a cada una de esas categorías o fuera de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12C Para cada periodo sobre el que se informa siguiente a la reclasificación hasta la baja en cuentas, una entidad revelará para los activos reclasificados de forma que se midan al costo amortizado de acuerdo con el párrafo 4.4.1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tasa de interés efectiva determinada en la fecha de la reclasificación;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ingreso o gasto por intereses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12D Si una entidad ha reclasificado los activos financieros de forma que se miden al costo amortizado desde su último periodo anual sobre el que se informa,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razonable de los activos financieros al final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ganancia o pérdida del valor razonable que tendría que haber sido reconocido en el resultado del periodo durante el periodo sobre el que se informa si los activos financieros no se hubieran reclasificado.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 de activos financieros y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13A La información a revelar de los párrafos 13B a 13E amplía los otros requerimientos de información a revelar de esta NIIF y se requiere para todos los instrumentos financieros reconocidos que se compensan de acuerdo con el párrafo 42 de la NIC 32. Esta información a revelar también se aplica a los instrumentos financieros reconocidos que están sujetos a un acuerdo maestro de compensación exigible o acuerdo similar, independientemente de si se compensan de acuerdo con el párrafo 42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13B Una entidad revelará información para permitir a los usuarios de sus estados financieros evaluar el efecto o efecto potencial de los acuerdos de compensación sobre la situación financiera de la entidad. Esto incluye el efecto o efecto potencial de los derechos de compensación asociados con los activos financieros reconocidos y pasivos financieros reconocidos de la entidad que quedan dentro del alcance del párrafo 13A.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13C Para cumplir el objetivo del párrafo 13B, una entidad revelará, al final de periodo sobre el que se informa, la siguiente información cuantitativa de forma separada para los activos financieros reconocidos y pasivos financieros reconocidos que quedan dentro del alcance del párrafo 13A: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importes brutos de los activos financieros reconocidos y pasivos financieros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importes que están compensados de acuerdo a los criterios del párrafo 42 de la NIC 32, cuando determinen los importes netos presentados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importes netos presentados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importes sujetos a un acuerdo maestro de compensación exigible o acuerdo similar que no están incluidos de otra forma en el párrafo 13C(b),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importes relativos a instrumentos financieros reconocidos que no cumplen alguno o todos los criterios de compensación del párrafo 42 de la NIC 32;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importes relativos a garantías financieras (incluyendo garantías colaterales de efectivo);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neto después de deducir los importes de (d) de los importes de (c)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La información requerida por este párrafo se presentará en formato de tabla, de forma separada para los activos financieros y pasivos financieros, a menos que sea más apropiado otro formato.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13D El importe total revelado de acuerdo con el párrafo 13C(d) para un instrumento se limitará al importe del párrafo 13C(c) para ese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13E Una entidad incluirá una descripción en la información a revelar de los derechos de compensación asociados con los activos financieros reconocidos y pasivos financieros reconocidos de la entidad sujetos a acuerdos maestros de compensación exigibles y acuerdos similares que se revelan de acuerdo con el párrafo 13C(d), incluyendo la naturaleza de esos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13F Si la información requerida por los párrafos 13B a 13E se revela en más de una nota a los estados financieros, una entidad hará referencias cruzadas entre esas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Garantía colateral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en libros de los activos financieros pignorados como garantía colateral de pasivos o pasivos contingentes, incluyendo los importes que hayan sido reclasificados de acuerdo con el párrafo 3.3.23(a) de la NIIF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plazos y condiciones relacionados con su pignoración.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Cuando una entidad haya recibido una garantía colateral (consistente en activos financieros o no financieros) y esté autorizada a venderla o a pignorarla sin que se haya producido un incumplimiento por parte del propietario de la garantía,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razonable de la garantía colateral poseída;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razonable de la garantía colateral vendida o nuevamente pignorada, y si la entidad tiene alguna obligación de devolverla;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plazos y condiciones asociadas a la utilización de la garantía colateral.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Cuenta correctora para pérdidas crediticias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Cuando los activos financieros se hayan deteriorado por pérdidas crediticias y la entidad registre el deterioro en una cuenta separada (por ejemplo una cuenta correctora utilizada para registrar los deterioros individuales o una cuenta similar utilizada para registrar un deterioro colectivo de activos) en lugar de reducir directamente el importe en libros del activo, incluirá una conciliación de las variaciones en dicha cuenta durante el período, para cada clase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Instrumentos financieros compuestos con múltiples 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Cuando una entidad haya emitido un instrumento que contiene un componente de pasivo y otro de patrimonio (véase el párrafo 28 de la NIC 32), y el instrumento incorpore varios derivados implícitos cuyos valores fueran interdependientes (como es el caso de un instrumento de deuda convertible con una opción de rescate), informará la existencia de esas características.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Incumplimientos y otras infracciones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18 Para los </w:t>
      </w:r>
      <w:r w:rsidRPr="00401DFF">
        <w:rPr>
          <w:rFonts w:ascii="Times New Roman" w:eastAsia="Times New Roman" w:hAnsi="Times New Roman" w:cs="Times New Roman"/>
          <w:i/>
          <w:iCs/>
          <w:sz w:val="24"/>
          <w:szCs w:val="24"/>
          <w:lang w:eastAsia="es-CO"/>
        </w:rPr>
        <w:t>préstamos por pagar</w:t>
      </w:r>
      <w:r w:rsidRPr="00401DFF">
        <w:rPr>
          <w:rFonts w:ascii="Times New Roman" w:eastAsia="Times New Roman" w:hAnsi="Times New Roman" w:cs="Times New Roman"/>
          <w:sz w:val="24"/>
          <w:szCs w:val="24"/>
          <w:lang w:eastAsia="es-CO"/>
        </w:rPr>
        <w:t xml:space="preserve"> reconocidos al final del periodo sobre el que se informa,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detalles de los incumplimientos durante el período que se refieran al principal, a los intereses, a los fondos de amortización para cancelación de deudas o a las condiciones de rescate relativas a esos préstamos por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en libros de los préstamos por pagar que estén impagados al final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incumplimiento ha sido corregido o si se han renegociado las condiciones de los préstamos por pagar antes de la fecha de autorización para emisión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Si durante el período se hubieran producido infracciones de las condiciones del acuerdo de préstamo, distintas de las descritas en el párrafo 18, y que autoricen al prestamista a reclamar el correspondiente pago, una entidad incluirá la misma información requerida en el párrafo 18 (a menos que, al final del periodo sobre el que se informa o antes, las infracciones se hubieran corregido o las condiciones del préstamo se hubieran renegociado).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Partidas de ingresos, gastos, ganancias o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Una entidad revelará las siguientes partidas de ingresos, gastos, ganancias o pérdidas, ya sea en el estado del resultado integral o en las notas: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Ganancias o pérdidas netas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activos financieros o pasivos financieros medidos al valor razonable con cambios en resultados, mostrando de forma separada las correspondientes a los activos financieros o pasivos financieros designados como tales en el reconocimiento inicial, y las de los activos financieros o pasivos financieros que se hayan medido obligatoriamente al valor razonable de acuerdo con la NIIF 9 (por ejemplo pasivos financieros que cumplen la definición de mantenidos para negociar de la NIIF 9). Para activos financieros designados como a valor </w:t>
      </w:r>
      <w:r w:rsidRPr="00401DFF">
        <w:rPr>
          <w:rFonts w:ascii="Times New Roman" w:eastAsia="Times New Roman" w:hAnsi="Times New Roman" w:cs="Times New Roman"/>
          <w:sz w:val="24"/>
          <w:szCs w:val="24"/>
          <w:lang w:eastAsia="es-CO"/>
        </w:rPr>
        <w:lastRenderedPageBreak/>
        <w:t>razonable con cambios en resultados, una entidad mostrará por separado el importe de ganancias o pérdidas reconocidas en otro resultado integral y el importe reconocido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pasivos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activos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activos financieros medidos al valor razonable con cambios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Importes totales de los ingresos y de los gastos por intereses (calculados utilizando el método de la tasa de interés efectiva) producidos por los activos financieros que se miden al costo amortizado o los pasivos financieros que no se midan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Ingresos y gastos por comisiones (distintos de los importes incluidos al determinar la tasa de interés efectiva) que surjan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activos financieros medidos al costo amortizado o pasivos financieros que no se midan al valor razonable con cambios en resultados;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actividades fiduciarias o de administración que supongan la tenencia o inversión de activos por cuenta de individuos, fideicomisos, planes de prestaciones por retiro u otras instituciones;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ingresos por intereses sobre activos financieros deteriorados, devengados de acuerdo con el párrafo GA93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de las pérdidas por deterioro para cada clase de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20A Una entidad revelará un desglose de la ganancia o pérdida reconocida en el estado del resultado integral que surge de la baja en cuentas de activos financieros medidos al costo amortizado, mostrando por separado las ganancias y pérdidas surgidas de la baja en cuentas de dichos activos financieros. Esta información a revelar incluirá las razones para dar de baja en cuentas a esos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21 De acuerdo con el párrafo 117 de la NIC 1 </w:t>
      </w:r>
      <w:r w:rsidRPr="00401DFF">
        <w:rPr>
          <w:rFonts w:ascii="Times New Roman" w:eastAsia="Times New Roman" w:hAnsi="Times New Roman" w:cs="Times New Roman"/>
          <w:i/>
          <w:iCs/>
          <w:sz w:val="24"/>
          <w:szCs w:val="24"/>
          <w:lang w:eastAsia="es-CO"/>
        </w:rPr>
        <w:t xml:space="preserve">Presentación de Estados Financieros </w:t>
      </w:r>
      <w:r w:rsidRPr="00401DFF">
        <w:rPr>
          <w:rFonts w:ascii="Times New Roman" w:eastAsia="Times New Roman" w:hAnsi="Times New Roman" w:cs="Times New Roman"/>
          <w:sz w:val="24"/>
          <w:szCs w:val="24"/>
          <w:lang w:eastAsia="es-CO"/>
        </w:rPr>
        <w:t>(revisada en 2007) una entidad revelará, en el resumen de políticas contables significativas, la base (o bases) de medición utilizada al elaborar los estados financieros, así como las demás políticas contables utilizadas que sean relevantes para la comprensión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Contabilidad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entidad revelará información, por separado, referida a cada tipo de cobertura descrita en la NIC 39 (es decir, cobertura del valor razonable, cobertura de los flujos de efectivo y cobertura de la inversión neta en negocios en el extranjero) sobre los extremos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cada tipo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los instrumentos financieros designados como instrumentos de cobertura y de sus valores razonables al final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naturaleza de los riesgos que han sido cubiertos.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Para las coberturas de flujos de efectivo,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períodos en los que se espera que se produzcan los flujos de efectivo, así como los períodos en los que se espera que afecten al resultado del período;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las transacciones previstas para las que se haya utilizado previamente la contabilidad de coberturas, pero cuya ocurrencia ya no se espere;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que haya sido reconocido en otro resultado integral durante el período;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importe que, durante el período, se haya reclasificado desde el patrimonio al resultado, mostrando el importe incluido en cada partida del estado del resultado integral;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importe que, durante el período, se haya eliminado del patrimonio y se haya incluido en el costo inicial o en otro importe en libros de un activo no financiero adquirido o de un pasivo no financiero en el que se haya incurrido y que hayan sido tratados como transacciones previstas altamente probables cubiertas.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Una entidad revelará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las coberturas del valor razonable, las ganancias o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del instrumento de cobertura;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 la partida cubierta que sea atribuible al riesgo cubierto.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ineficacia reconocida en el resultado del período que surja de coberturas de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ineficacia reconocida en el resultado del período que surja de coberturas de inversiones netas en negocios en el extranjero.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Salvo por lo establecido en el párrafo 29, una entidad revelará el valor razonable correspondiente a cada clase de activos financieros y de pasivos financieros (véase el párrafo 6), de una forma que permita la realización de comparaciones con los correspondientes importes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Al revelar los valores razonables, una entidad agrupará los activos financieros y los pasivos financieros en clases, pero sólo los compensará en la medida en que sus importes en libros estén compensados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27-27B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En algunos casos, una entidad no reconocerá una ganancia o pérdida en el reconocimiento inicial de un activo financiero o pasivo financiero porque el valor razonable ni se pone de manifiesto mediante un precio cotizado en un mercado activo para un activo o pasivo idéntico (es decir un dato de entrada de Nivel 1) ni se basa en una técnica de valoración que utiliza solo datos procedentes de mercados observables (véase el párrafo GA76 de la NIC 39). En estos casos, la entidad revelará por clase de activo financiero o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política contable que utilice para reconocer en el resultado del periodo la diferencia entre el valor razonable en el reconocimiento inicial y el precio de transacción para reflejar las variaciones en los factores (incluyendo el tiempo) que los participantes del mercado tendrían en cuenta al fijar el precio del activo o pasivo (véase el párrafo B5.4.9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diferencia acumulada que no haya sido reconocida todavía en el resultado del período al principio y al final del mismo, junto con una conciliación de esa diferencia durante ese período con el saldo.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razón por la cual la entidad concluyó que el precio de la transacción no era la mejor evidencia del valor razonable, incluyendo una descripción de la evidencia en que se basa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No se requiere información a revelar sobre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el importe en libros sea una aproximación razonable al valor razonable, por ejemplo para instrumentos financieros tales como cuentas por pagar o por cobrar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un contrato que contenga un componente de participación discrecional (como se describe en la NIIF 4), si el valor razonable de dicho componente no puede ser determinado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En los casos descritos en el párrafo 29(c), una entidad revelará información que ayude a los usuarios de los estados financieros al hacer sus propios juicios acerca del alcance de las posibles diferencias entre el importe en libros de esos contratos y su valor razonable,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hecho de que no se ha revelado información sobre el valor razonable porque éste no puede ser medido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descripción de los instrumentos financieros, su importe en libros y una explicación de la razón por la que el valor razonable no puede ser determinado de forma fiable;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información acerca del mercado para los instrumentos;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información sobre si la entidad pretende disponer de esos instrumentos financieros, y cómo piensa hacerlo;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cuando algunos instrumentos financieros, cuyo valor razonable no hubiera podido ser estimado con fiabilidad previamente, hayan sido dados de baja en cuentas, informará de este hecho junto con su importe en libros en el momento de la baja en cuentas y el importe de la ganancia o pérdida reconocida.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y alcance de los riesgos que surgen de los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Una entidad revelará información que permita que los usuarios de sus estados financieros evalúen la naturaleza y el alcance de los riesgos que surgen de los instrumentos financieros a los que la entidad esté expuesta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 Las informaciones requeridas por los párrafos 33 a 42 se centran en los riesgos procedentes de instrumentos financieros y en la manera en que se los gestiona. Dichos riesgos incluyen por lo general, sin que la enumeración sea taxativa, el riesgo de crédito, el </w:t>
      </w:r>
      <w:r w:rsidRPr="00401DFF">
        <w:rPr>
          <w:rFonts w:ascii="Times New Roman" w:eastAsia="Times New Roman" w:hAnsi="Times New Roman" w:cs="Times New Roman"/>
          <w:i/>
          <w:iCs/>
          <w:sz w:val="24"/>
          <w:szCs w:val="24"/>
          <w:lang w:eastAsia="es-CO"/>
        </w:rPr>
        <w:t>riesgo de liquidez</w:t>
      </w:r>
      <w:r w:rsidRPr="00401DFF">
        <w:rPr>
          <w:rFonts w:ascii="Times New Roman" w:eastAsia="Times New Roman" w:hAnsi="Times New Roman" w:cs="Times New Roman"/>
          <w:sz w:val="24"/>
          <w:szCs w:val="24"/>
          <w:lang w:eastAsia="es-CO"/>
        </w:rPr>
        <w:t xml:space="preserve"> y el riesgo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32A La provisión de información cualitativa en el contexto de información a revelar cuantitativa permite a los usuarios vincular revelaciones relacionadas y así formarse una imagen global de la naturaleza y alcance de los riesgos que surgen de los instrumentos financieros. La interacción entre información a revelar cualitativa y cuantitativa contribuirá a revelar información de forma que mejor permita a los usuarios evaluar la exposición de una entidad a los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cualitativa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Para cada tipo de riesgo que surja de los instrumentos financieros,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exposiciones al riesgo y la forma en que éstas surgen;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sus objetivos, políticas y procesos para la gestión del riesgo, así como los métodos utilizados para medirlo;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cualesquiera cambios habidos en (a) o (b) desde el período precedente.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cuantitativa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34 Para cada tipo de riesgo que surja de los instrumentos financieros,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Datos cuantitativos resumidos acerca de su exposición al riesgo al final del periodo sobre el que se informa. Esta información a revelar estará basada en la que se suministre internamente al personal clave de la dirección de la entidad (tal como se lo define en la NIC 24 </w:t>
      </w:r>
      <w:r w:rsidRPr="00401DFF">
        <w:rPr>
          <w:rFonts w:ascii="Times New Roman" w:eastAsia="Times New Roman" w:hAnsi="Times New Roman" w:cs="Times New Roman"/>
          <w:i/>
          <w:iCs/>
          <w:sz w:val="24"/>
          <w:szCs w:val="24"/>
          <w:lang w:eastAsia="es-CO"/>
        </w:rPr>
        <w:t>Información a Revelar sobre Partes Relacionadas),</w:t>
      </w:r>
      <w:r w:rsidRPr="00401DFF">
        <w:rPr>
          <w:rFonts w:ascii="Times New Roman" w:eastAsia="Times New Roman" w:hAnsi="Times New Roman" w:cs="Times New Roman"/>
          <w:sz w:val="24"/>
          <w:szCs w:val="24"/>
          <w:lang w:eastAsia="es-CO"/>
        </w:rPr>
        <w:t xml:space="preserve"> por ejemplo al consejo de administración de la entidad o a su ejecutivo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información a revelar requerida por los párrafos 36 a 42, en la medida en que no haya sido suministrada siguiendo el apartado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concentraciones de riesgo, si no resultan aparentes de la información a revelar realizada de acuerdo con los apartados (a)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Si los datos cuantitativos revelados al final del periodo sobre el que se informa fueran poco representativos de la exposición al riesgo de la entidad durante el período, una entidad suministrará información adicional que sea representativa.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Una entidad informará, para cada clase de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que mejor represente su máximo nivel de exposición al riesgo de crédito al final del periodo sobre el que se informa, sin tener en cuenta ninguna garantía colateral tomada ni otras mejoras crediticias (por ejemplo, acuerdos de liquidación por el neto que no cumplan las condiciones para su compensación de acuerdo con la NIC 32); esta información a revelar no se requiere para instrumentos financieros cuyo importe en libros sea la mejor forma de representar la máxima exposición al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descripción de las garantías colaterales tomadas para asegurar el cobro y de otras mejoras para reducir el riesgo de crédito y sus efectos financieros (por ejemplo una cuantificación de la medida en que las garantías colaterales y otras mejoras que mitiguen el riesgo de crédito) con respecto al importe que mejor represente la exposición máxima al </w:t>
      </w:r>
      <w:r w:rsidRPr="00401DFF">
        <w:rPr>
          <w:rFonts w:ascii="Times New Roman" w:eastAsia="Times New Roman" w:hAnsi="Times New Roman" w:cs="Times New Roman"/>
          <w:sz w:val="24"/>
          <w:szCs w:val="24"/>
          <w:lang w:eastAsia="es-CO"/>
        </w:rPr>
        <w:lastRenderedPageBreak/>
        <w:t>riesgo de crédito (si se revela de acuerdo con (a) o si se representa mediante el importe en libros de un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Información acerca de la calidad crediticia de los activos financieros que no estén </w:t>
      </w:r>
      <w:r w:rsidRPr="00401DFF">
        <w:rPr>
          <w:rFonts w:ascii="Times New Roman" w:eastAsia="Times New Roman" w:hAnsi="Times New Roman" w:cs="Times New Roman"/>
          <w:i/>
          <w:iCs/>
          <w:sz w:val="24"/>
          <w:szCs w:val="24"/>
          <w:lang w:eastAsia="es-CO"/>
        </w:rPr>
        <w:t>en mora</w:t>
      </w:r>
      <w:r w:rsidRPr="00401DFF">
        <w:rPr>
          <w:rFonts w:ascii="Times New Roman" w:eastAsia="Times New Roman" w:hAnsi="Times New Roman" w:cs="Times New Roman"/>
          <w:sz w:val="24"/>
          <w:szCs w:val="24"/>
          <w:lang w:eastAsia="es-CO"/>
        </w:rPr>
        <w:t xml:space="preserve"> ni deteriorados en su valor.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Activos financieros en mora o deteriorados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37 Una entidad revelará, para cada clase de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análisis de la antigüedad de los activos financieros que al final del periodo sobre el que se informa estén en mora pero no deteriorados;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análisis de los activos financieros que se hayan determinado individualmente como deteriorados al final del periodo sobre el que se informa, incluyendo los factores que la entidad ha considerado para determinar su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Garantías colaterales y otras mejoras crediticias obtenidas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Cuando una entidad obtenga, durante el período, activos financieros o no financieros mediante la toma de posesión de garantías colaterales para asegurar el cobro, o ejecute otras mejoras crediticias (por ejemplo avales), y tales activos cumplan los criterios de reconocimiento contenidos en otras NIIF, una entidad revelará sobre estos activos poseídos en la fecha sobre la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e importe en libros de los activos obtenidos;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los activos no sean fácilmente convertibles en efectivo, sus políticas para disponer de tales activos, o para utilizarlos en sus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análisis de vencimientos para pasivos financieros no derivados (incluyendo contratos de garantía financiera emitidos) que muestre los vencimientos contractuales remanentes.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análisis de vencimientos para pasivos financieros derivados. El análisis de vencimientos incluirá los vencimientos contractuales remanentes para aquellos pasivos financieros derivados en los que dichos vencimientos contractuales sean esenciales para comprender el calendario de los flujos de efectivo (véase el párrafo B11B).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Una descripción de cómo gestiona el riesgo de liquidez inherente en (a)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Análisis de sensibilidad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40 Salvo que una entidad cumpla lo establecido en el párrafo 41,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análisis de sensibilidad para cada tipo de riesgo de mercado al que la entidad esté expuesta al final del periodo sobre el que se informa, mostrando cómo podría verse afectado el resultado del período y el patrimonio debido a cambios en la variable relevante de riesgo, que sean razonablemente posibles en dicha fecha;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métodos e hipótesis utilizados al elaborar el análisis de sensibilidad;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cambios habidos desde el período anterior en los métodos e hipótesis utilizados, así como las razones de tales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Si una entidad elaborase un análisis de sensibilidad, tal como el del valor en riesgo, que reflejase las interdependencias entre las variables de riesgo (por ejemplo, entre las tasas de interés y de cambio) y lo utilizase para gestionar riesgos financieros, podrá utilizar ese análisis de sensibilidad en lugar del especificado en el párrafo 40. La entidad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explicación del método utilizado al elaborar dicho análisis de sensibilidad, así como de los principales parámetros e hipótesis subyacentes en los datos suministrados;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explicación del objetivo del método utilizado, así como de las limitaciones que pudieran hacer que la información no reflejase plenamente el valor razonable de los activos y pasivos implicados.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Otra información a revelar sobre el riesgo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 Cuando los análisis de sensibilidad, revelados de acuerdo con los párrafos 40 o 41, no fuesen representativos del riesgo inherente a un instrumento financiero (por ejemplo, porque la exposición al final de año no refleja la exposición mantenida durante el mismo), la entidad revelará este hecho, así como la razón por la que cree que los análisis de sensibilidad carecen de representatividad.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42A Los requerimientos de información a revelar de los párrafos 42B a 42H relativos a transferencias de activos financieros complementan los otros requerimientos a este respecto de esta NIIF. Una entidad presentará la información a revelar requerida en los párrafos 42B a 42H en una nota única en sus estados financieros. Una entidad proporcionará la información a revelar requerida para todos los activos financieros transferidos que no se </w:t>
      </w:r>
      <w:r w:rsidRPr="00401DFF">
        <w:rPr>
          <w:rFonts w:ascii="Times New Roman" w:eastAsia="Times New Roman" w:hAnsi="Times New Roman" w:cs="Times New Roman"/>
          <w:sz w:val="24"/>
          <w:szCs w:val="24"/>
          <w:lang w:eastAsia="es-CO"/>
        </w:rPr>
        <w:lastRenderedPageBreak/>
        <w:t>den de baja en cuentas y para toda implicación continuada en un activo transferido, que exista en la fecha de presentación, independientemente del momento en que tenga lugar la transacción de transferencia relacionada. A efectos de la aplicación de los requerimientos de información a revelar de esos párrafos, una entidad transfiere total o parcialmente un activo financiero (el activo financiero transferido) si y solo si se da, al menos, una de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transfiere los derechos contractuales a recibir los flujos de efectivo de ese activo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retiene los derechos contractuales a recibir los flujos de efectivo de ese activo financiero, pero asume en un acuerdo, una obligación contractual de pagar dichos flujos de efectivo a uno o más receptores.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42B Una entidad revelará información que permita a los usuarios de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 comprender la relación entre los activos financieros transferidos que no se dan de baja en su totalidad y los pasivos asociados;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evaluar la naturaleza, y el riesgo asociado, de la implicación continuada de la entidad en los activos financieros dados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42C A efectos de la aplicación de los requerimientos sobre información a revelar de los párrafos 42E a 42H, una entidad tiene implicación continuada en un activo financiero transferido si, como parte de la transferencia, la entidad retiene cualquiera de los derechos contractuales u obligaciones inherentes del activo financiero transferido u obtiene nuevos derechos u obligaciones contractuales relacionados con el activo financiero transferido. A efectos de la aplicación de los requerimientos de información a revelar de los párrafos 42E a 42H, lo siguiente no constituye implicación continuada: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representaciones y garantías normales relacionadas con transferencias fraudulentas y conceptos de razonabilidad, buena fe y tratos justos que podrían invalidar una transferencia como resultado de una acción legal;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contratos a término, opciones y otros contratos para readquirir el activo financiero transferido para los cuales el precio del contrato (o precio de ejercicio) es el valor razonable del activo financiero transferido;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acuerdo mediante el cual una entidad retiene los derechos contractuales a recibir los flujos de efectivo de un activo financiero pero asume una obligación contractual de pagar los flujos de efectivo a una o más entidades y se cumplen las condiciones del párrafo 3.2.5(a) a (c)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transferidos que no se dan de baja en cuentas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42D Una entidad puede haber transferido activos financieros de tal forma que los activos financieros transferidos total o parcialmente no cumplen los requisitos para su baja en cuentas. Para cumplir los objetivos establecidos en el párrafo 42B(a), la entidad revelará en cada fecha de presentación para cada clase de activos financieros transferidos que no se dan de baja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 los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naturaleza de los riesgos y ventajas inherentes a la propiedad a los que la entidad está expuesta.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la naturaleza de la relación entre los activos transferidos y los pasivos asociados, incluyendo restricciones que surgen de la transferencia sobre el uso de los activos transferidos de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lista que establezca el valor razonable de los activos transferidos, el valor razonable de los pasivos asociados y la posición neta (la diferencia entre el valor razonable de los activos transferidos y los pasivos asociados), cuando la contraparte (contrapartes) a los pasivos asociados esté respaldada solo por los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importes en libros de éstos y de los pasivos asociados, cuando la entidad continúa reconociendo la totalidad de los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El importe en libros total de los activos originales antes de la transferencia, el importe en libros de los activos que la entidad continúa reconociendo, y el importe en libros de los pasivos asociados, cuando la entidad continúa reconociendo los activos en la medida de su implicación continuada (véase los párrafos 3.2.6(c)(ii) y 3.2.16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transferidos que se dan de baja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42E Para cumplir con los objetivos establecidos en el párrafo 42B(b), cuando una entidad dé de baja en cuentas los activos financieros transferidos en su totalidad (véase el párrafo 3.2.6(a) y (c)(i) de la NIIF 9) pero tenga implicación continuada en ellos, la entidad revelará, como mínimo, para cada tipo de implicación continuada en cada de fecha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en libros de los activos y pasivos que se reconocen en el estado de situación financiera de la entidad y que representan la implicación continuada de la entidad en los activos financieros dados de baja en cuentas, y las partidas en las que se reconoce el importe en libros de esos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valor razonable de los activos y pasivos que representan la implicación continuada de la entidad en la baja en cuentas de los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El importe que mejor representa la exposición máxima de la entidad a pérdidas procedentes de su implicación continuada en los activos financieros dados de baja en </w:t>
      </w:r>
      <w:r w:rsidRPr="00401DFF">
        <w:rPr>
          <w:rFonts w:ascii="Times New Roman" w:eastAsia="Times New Roman" w:hAnsi="Times New Roman" w:cs="Times New Roman"/>
          <w:sz w:val="24"/>
          <w:szCs w:val="24"/>
          <w:lang w:eastAsia="es-CO"/>
        </w:rPr>
        <w:lastRenderedPageBreak/>
        <w:t>cuentas, e información que muestre la forma en que se ha determinado dicha exposición máxima a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flujos de salida de efectivo no descontados que serían o podrían ser requeridos para recomprar los activos financieros dados de baja en cuentas (por ejemplo, el precio de ejercicio en un acuerdo de opciones) u otros importes a pagar al receptor de los activos transferidos con respecto a los mismos. Si el flujo de salida de efectivo es variable, entonces el importe a revelar debe basarse en las condiciones que existan en cada fecha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 desglose de vencimientos de los flujos de salida de efectivo no descontados que serían o podrían ser requeridos para recomprar los activos financieros dados de baja en cuentas u otros importes a pagar al receptor de los activos transferidos con respecto a los mismos, mostrando los vencimientos contractuales restantes de la implicación continuada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Información cualitativa que explique y dé soporte a la información cuantitativa requerida en (a) a (e).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42F Una entidad puede agregar la información requerida por el párrafo 42E con respecto a un activo en particular si ésta tiene más de un tipo de implicación continuada en ese activo financiero dado de baja en cuentas, e informar sobre el mismo según un tipo de implicación continuada.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42G Además, una entidad revelará para cada tipo de implicación continuada: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ganancia o pérdida reconocida en la fecha de la transferencia de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ingresos y gastos reconocidos, ambos en el periodo sobre el que se informa y de forma acumulada, procedentes de la implicación continuada de la entidad en los activos financieros dados de baja en cuentas (por ejemplo cambios en el valor razonable de instrumentos 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el importe total de los recursos procedentes de la actividad de transferencia (que cumple los requisitos para la baja en cuentas) en el periodo sobre el que se informa no se distribuye de forma uniforme a lo largo de dicho periodo (por ejemplo si una proporción sustancial del importe total de la actividad de transferencia tiene lugar en los días de cierre de un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cuando la mayor parte de la actividad de transferencia tuvo lugar dentro de ese periodo sobre el que se informa (por ejemplo los últimos cinco días antes del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(por ejemplo las ganancias o pérdidas relacionadas) reconocido procedente de la actividad de transferencia en esa parte del periodo sobre el que se informa,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(iii) el importe total de los recursos procedentes de la actividad de transferencia en esa parte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proporcionará esta información para cada periodo para el cual se presente un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adicional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42H Una entidad revelará la información adicional que considere necesaria para cumplir con los objetivos de información a revelar del párrafo 42B.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Una entidad aplicará esta NIIF en los periodos anuales que comiencen a partir del 1 de enero de 2007. Se aconseja su aplicación anticipada. Si una entidad aplicase esta NIIF en un período anterior,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Si una entidad aplicase esta NIIF para períodos anuales que comiencen antes del 1 de enero de 2006, no será necesario que presente información comparativa para la información a revelar que requieren los párrafos 31 a 42, sobre la naturaleza y el alcance de los riesgos surgidos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44A La NIC 1 (revisada en 2007) modificó la terminología utilizada en las NIIF. Además, modificó los párrafos 20, 21, 23(c) y (d), 27(c) y B5 del Apéndice B. Una entidad aplicará esas modificaciones para los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44B La NIIF 3 (revisada en 2008) eliminó el párrafo 3(c). Una entidad aplicará esa modificación para los periodos anuales que comiencen a partir del 1 de julio de 2009. Cuando una entidad aplique la NIIF 3 (revisada en 2008) a periodos anteriores, la modificación se aplicará también a ellos. Sin embargo, la modificación no se aplicará a contraprestaciones contingentes que surgieron de una combinación de negocios para la que la fecha de adquisición era anterior a la aplicación de la NIIF 3 (revisada en 2008). En su lugar, una entidad contabilizará esta contraprestación de acuerdo con los párrafos 65A a 65E de la NIIF 3 (modificada en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44C Una entidad aplicará las modificaciones del párrafo 3 en los periodos anuales que comiencen a partir del 1 de enero de 2009. Si una entidad aplica a un periodo anterior </w:t>
      </w:r>
      <w:r w:rsidRPr="00401DFF">
        <w:rPr>
          <w:rFonts w:ascii="Times New Roman" w:eastAsia="Times New Roman" w:hAnsi="Times New Roman" w:cs="Times New Roman"/>
          <w:i/>
          <w:iCs/>
          <w:sz w:val="24"/>
          <w:szCs w:val="24"/>
          <w:lang w:eastAsia="es-CO"/>
        </w:rPr>
        <w:t xml:space="preserve">Instrumentos Financieros con Opción de Venta y Obligaciones que Surgen en la Liquidación </w:t>
      </w:r>
      <w:r w:rsidRPr="00401DFF">
        <w:rPr>
          <w:rFonts w:ascii="Times New Roman" w:eastAsia="Times New Roman" w:hAnsi="Times New Roman" w:cs="Times New Roman"/>
          <w:sz w:val="24"/>
          <w:szCs w:val="24"/>
          <w:lang w:eastAsia="es-CO"/>
        </w:rPr>
        <w:t>(Modificaciones a las NIC 32 y NIC 1), emitido en febrero de 2008, las modificaciones del párrafo 3 deberán aplicarse a dicho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44D El párrafo 3(a) fue modificado por el documento </w:t>
      </w:r>
      <w:r w:rsidRPr="00401DFF">
        <w:rPr>
          <w:rFonts w:ascii="Times New Roman" w:eastAsia="Times New Roman" w:hAnsi="Times New Roman" w:cs="Times New Roman"/>
          <w:i/>
          <w:iCs/>
          <w:sz w:val="24"/>
          <w:szCs w:val="24"/>
          <w:lang w:eastAsia="es-CO"/>
        </w:rPr>
        <w:t xml:space="preserve">Mejoras a las NIIF </w:t>
      </w:r>
      <w:r w:rsidRPr="00401DFF">
        <w:rPr>
          <w:rFonts w:ascii="Times New Roman" w:eastAsia="Times New Roman" w:hAnsi="Times New Roman" w:cs="Times New Roman"/>
          <w:sz w:val="24"/>
          <w:szCs w:val="24"/>
          <w:lang w:eastAsia="es-CO"/>
        </w:rPr>
        <w:t xml:space="preserve">emitido en mayo de 2008. Una entidad aplicará esa modificación para los periodos anuales que comiencen a partir del 1 de enero de 2009. Se permite su aplicación anticipada. Si una entidad aplicase </w:t>
      </w:r>
      <w:r w:rsidRPr="00401DFF">
        <w:rPr>
          <w:rFonts w:ascii="Times New Roman" w:eastAsia="Times New Roman" w:hAnsi="Times New Roman" w:cs="Times New Roman"/>
          <w:sz w:val="24"/>
          <w:szCs w:val="24"/>
          <w:lang w:eastAsia="es-CO"/>
        </w:rPr>
        <w:lastRenderedPageBreak/>
        <w:t>las modificaciones en un periodo anterior revelará ese hecho y aplicará en ese periodo las modificaciones del párrafo 1 de la NIC 28, el párrafo 1 de la NIC 31 y el párrafo 4 de la NIC 32 emitidas en mayo de 2008. Se permite que una entidad aplique las modificaciones de forma prospectiva.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44E-44F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44G </w:t>
      </w:r>
      <w:r w:rsidRPr="00401DFF">
        <w:rPr>
          <w:rFonts w:ascii="Times New Roman" w:eastAsia="Times New Roman" w:hAnsi="Times New Roman" w:cs="Times New Roman"/>
          <w:i/>
          <w:iCs/>
          <w:sz w:val="24"/>
          <w:szCs w:val="24"/>
          <w:lang w:eastAsia="es-CO"/>
        </w:rPr>
        <w:t>Mejora de la Información a Revelar sobre Instrumentos Financieros</w:t>
      </w:r>
      <w:r w:rsidRPr="00401DFF">
        <w:rPr>
          <w:rFonts w:ascii="Times New Roman" w:eastAsia="Times New Roman" w:hAnsi="Times New Roman" w:cs="Times New Roman"/>
          <w:sz w:val="24"/>
          <w:szCs w:val="24"/>
          <w:lang w:eastAsia="es-CO"/>
        </w:rPr>
        <w:t xml:space="preserve"> (Modificaciones a la NIIF 7), emitido en marzo de 2009, modificó los párrafos 27, 39 y B11 y añadió los párrafos 27A, 27B, B10A y B11A a B11F. Una entidad aplicará esas modificaciones a periodos anuales que comiencen a partir del 1 de enero de 2009. Una entidad no necesita proporcionar la información a revelar requerida por las modificaciones para: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periodos intermedios o anuales, incluyendo los estados de situación financiera, presentados dentro de un periodo comparativo anual que finalice antes del 31 de diciembre de 2009,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estados de situación financiera al comienzo del primer periodo comparativo a una fecha anterior al 31 de diciembre de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Se permite su aplicación anticipada. Si una entidad aplicase las modificaciones en un periodo que comience con anterioridad, revelará este hecho</w:t>
      </w:r>
      <w:hyperlink r:id="rId96" w:anchor="bf1e1294a2f2c5b4a608cd095a56af9f275nf9" w:tgtFrame="_self" w:history="1">
        <w:r w:rsidRPr="00401DFF">
          <w:rPr>
            <w:rFonts w:ascii="Times New Roman" w:eastAsia="Times New Roman" w:hAnsi="Times New Roman" w:cs="Times New Roman"/>
            <w:color w:val="0000FF"/>
            <w:sz w:val="20"/>
            <w:szCs w:val="20"/>
            <w:u w:val="single"/>
            <w:vertAlign w:val="superscript"/>
            <w:lang w:eastAsia="es-CO"/>
          </w:rPr>
          <w:t>(91)</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44H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44I Cuando una entidad aplique por primera vez la NIIF 9, revelará para cada clase de activos financieros y pasivos financieros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categoría de medición inicial y el importe en libros determinado de acuerdo con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nueva categoría de medición y el importe en libros determinado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de los activos financieros y pasivos financieros en el estado de situación financiera que estaban anteriormente designados como medidos al valor razonable con cambios en resultados pero que han dejado de estar designados de esa forma, distinguiendo entre los que la NIIF 9 requiere que una entidad reclasifique y los que una entidad elige reclasificar.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presentará esta información a revelar de tipo cuantitativo en forma de tabla, a menos que sea más apropiado otro formato.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44J Cuando una entidad aplique por primera vez la NIIF 9, revelará información cualitativa que permita a los usuarios comprender: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Cómo aplicó los requerimientos de clasificación de la NIIF 9 a los activos financieros cuya clasificación ha cambiado como resultado de aplicar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razones para cualquier designación o eliminación de la designación de activos financieros o pasivos financieros como medidos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44K El párrafo 44B fue modificado por el documento de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Una entidad aplicará esa modificación para los periodos anuales que comiencen a partir del 1 de julio de 2010.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44L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mayo de 2010 añadió el párrafo 32A y modificó los párrafos 34 y 36 a 38. Una entidad aplicará esas modificaciones a periodos anuales que comiencen a partir del 1 de enero de 2011. Se permite su aplicación anticipada. Si una entidad aplicase las modificaciones en un período que comience con anterioridad,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44M </w:t>
      </w:r>
      <w:r w:rsidRPr="00401DFF">
        <w:rPr>
          <w:rFonts w:ascii="Times New Roman" w:eastAsia="Times New Roman" w:hAnsi="Times New Roman" w:cs="Times New Roman"/>
          <w:i/>
          <w:iCs/>
          <w:sz w:val="24"/>
          <w:szCs w:val="24"/>
          <w:lang w:eastAsia="es-CO"/>
        </w:rPr>
        <w:t>Información a Revelar–Transferencias de Activos Financieros</w:t>
      </w:r>
      <w:r w:rsidRPr="00401DFF">
        <w:rPr>
          <w:rFonts w:ascii="Times New Roman" w:eastAsia="Times New Roman" w:hAnsi="Times New Roman" w:cs="Times New Roman"/>
          <w:sz w:val="24"/>
          <w:szCs w:val="24"/>
          <w:lang w:eastAsia="es-CO"/>
        </w:rPr>
        <w:t xml:space="preserve"> (Modificaciones a la NIIF 7), emitido en octubre de 2010, eliminó el párrafo 13 y añadió los párrafos 42A a 42H y B29 a B39. Una entidad aplicará esas modificaciones a periodos anuales que comiencen a partir del 1 de julio de 2011. Se permite su aplicación anticipada. Si una entidad aplicase las modificaciones en un periodo que comience con anterioridad, revelará este hecho. Una entidad no necesita proporcionar la información a revelar requerida por esas modificaciones para los periodos presentados que comiencen antes de la fecha de aplicación inicial de las modificaciones.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44N La NIIF 9 emitida en octubre de 2010 modificó los párrafos 2 a 5, 8 a 10, 11, 14, 20, 28, 30 y 42C a 42E, el Apéndice A, y los párrafos B1, B5, B10(a), B22 y B27, añadió los párrafos 10A, 11A, 11B, 12B a 12D, 20A, 44I y 44J, y eliminó los párrafos 12, 12A, 29(b), 44E, 44F, 44H, B4 y el Apéndice D. Una entidad aplicará esas modificaciones al aplicar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44O Las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el párrafo 3.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44P La NIIF 13, emitida en mayo de 2011, modificó los párrafos 3, 28 y 29 y el Apéndice A y eliminó los párrafos 27 a 27B.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44Q </w:t>
      </w:r>
      <w:r w:rsidRPr="00401DFF">
        <w:rPr>
          <w:rFonts w:ascii="Times New Roman" w:eastAsia="Times New Roman" w:hAnsi="Times New Roman" w:cs="Times New Roman"/>
          <w:i/>
          <w:iCs/>
          <w:sz w:val="24"/>
          <w:szCs w:val="24"/>
          <w:lang w:eastAsia="es-CO"/>
        </w:rPr>
        <w:t>Presentación de Partidas de Otro Resultado Integral</w:t>
      </w:r>
      <w:r w:rsidRPr="00401DFF">
        <w:rPr>
          <w:rFonts w:ascii="Times New Roman" w:eastAsia="Times New Roman" w:hAnsi="Times New Roman" w:cs="Times New Roman"/>
          <w:sz w:val="24"/>
          <w:szCs w:val="24"/>
          <w:lang w:eastAsia="es-CO"/>
        </w:rPr>
        <w:t xml:space="preserve"> (Modificaciones a la NIC 1) emitido en junio de 2011, modificó el párrafo 27B. Una entidad aplicará esas modificaciones cuando aplique la NIC 1 modificada en junio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44R </w:t>
      </w:r>
      <w:r w:rsidRPr="00401DFF">
        <w:rPr>
          <w:rFonts w:ascii="Times New Roman" w:eastAsia="Times New Roman" w:hAnsi="Times New Roman" w:cs="Times New Roman"/>
          <w:i/>
          <w:iCs/>
          <w:sz w:val="24"/>
          <w:szCs w:val="24"/>
          <w:lang w:eastAsia="es-CO"/>
        </w:rPr>
        <w:t xml:space="preserve">Información a Revelar—Compensación de Activos Financieros y Pasivos Financieros </w:t>
      </w:r>
      <w:r w:rsidRPr="00401DFF">
        <w:rPr>
          <w:rFonts w:ascii="Times New Roman" w:eastAsia="Times New Roman" w:hAnsi="Times New Roman" w:cs="Times New Roman"/>
          <w:sz w:val="24"/>
          <w:szCs w:val="24"/>
          <w:lang w:eastAsia="es-CO"/>
        </w:rPr>
        <w:t xml:space="preserve">(Modificaciones a la NIIF 7), emitido en diciembre de 2011, añadió los párrafos IN9, 13A a 13F y B40 a B53. Una entidad aplicará esas modificaciones a periodos anuales que </w:t>
      </w:r>
      <w:r w:rsidRPr="00401DFF">
        <w:rPr>
          <w:rFonts w:ascii="Times New Roman" w:eastAsia="Times New Roman" w:hAnsi="Times New Roman" w:cs="Times New Roman"/>
          <w:sz w:val="24"/>
          <w:szCs w:val="24"/>
          <w:lang w:eastAsia="es-CO"/>
        </w:rPr>
        <w:lastRenderedPageBreak/>
        <w:t>comiencen a partir del 1 de enero de 2013 y periodos intermedios incluidos en esos periodos anuales. Una entidad proporcionará la información a revelar requerida por esas modificaciones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44S Cuando una entidad aplique por primera vez los requerimientos de clasificación y medición de la NIIF 9, presentará la información a revelar establecida en los párrafos 44T a 44W de esta NIIF si elige revelar información, o está obligada a ello, de acuerdo con la NIIF 9 [véanse el párrafo 8.2.12 de la NIIF 9 (2009) y el párrafo 7.2.14 de la NIIF 9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44T Si se requiere por el párrafo 44S, en la fecha de aplicación inicial de la NIIF 9 una entidad revelará los cambios en las clasificaciones de los activos financieros y pasivos financieros, mostrando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cambios en los importes en libros sobre la base de sus categorías de medición de acuerdo con la NIC 39 (es decir no procedente de un cambio en el atributo de medición en la transición a la NIIF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cambios en los importes en libros que surgen de un cambio en el atributo de medición en la transición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información a revelar de este párrafo no necesita realizarse después del periodo anual en el que se aplica inicialmente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44U En el periodo sobre el que se informa en que se aplica inicialmente la NIIF 9, una entidad revelará lo siguiente para activos financieros y pasivos financieros que se han reclasificado de forma que son medidos al costo amortizado como consecuencia de la transición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razonable de los activos financieros o pasivos financieros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ganancia o pérdida del valor razonable que tendría que haber sido reconocida en el resultado del periodo o en otro resultado integral durante el periodo sobre el que se informa si los activos financieros o pasivos financieros no se hubieran reclasificado;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tasa de interés efectiva determinada en la fecha de la reclasificación;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ingreso o gasto por intereses reconocido.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una entidad trata el valor razonable de un activo financiero o un pasivo financiero como su costo amortizado en la fecha de aplicación inicial [véase el párrafo 8.2.10 de la NIIF 9 (2009) y el párrafo 7.2.10 de la NIIF 9 (2010)], se revelará la información de (c) y (d) de este párrafo para cada periodo sobre el que se informa siguiente a la reclasificación y hasta la baja en cuentas. En otro caso, no se necesitará revelar la información de este párrafo después del periodo sobre el que se informa que contenga la fecha de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44V Si una entidad presenta la información a revelar establecida en los párrafos 44S a 44U en la fecha de aplicación inicial de la NIIF 9, dicha información a revelar y la información a revelar del párrafo 28 de la NIC 8, durante el periodo sobre el que se informa que contenga la fecha de aplicación inicial, debe permitir la conciliación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categorías de medición de acuerdo con la NIC 39 y la NIIF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partidas presentadas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44W Si una entidad presenta la información a revelar establecida en los párrafos 44S a 44U en la fecha de aplicación inicial de la NIIF 9, esa información a revelar, y la información a revelar del párrafo 25 de esta NIIF en la fecha de aplicación inicial, debe permitir la conciliación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categorías de medición presentadas de acuerdo con la NIC 39 y la NIIF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clase de instrumento financiero en la fecha de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Esta NIIF reemplaza a la NIC 30 </w:t>
      </w:r>
      <w:r w:rsidRPr="00401DFF">
        <w:rPr>
          <w:rFonts w:ascii="Times New Roman" w:eastAsia="Times New Roman" w:hAnsi="Times New Roman" w:cs="Times New Roman"/>
          <w:i/>
          <w:iCs/>
          <w:sz w:val="24"/>
          <w:szCs w:val="24"/>
          <w:lang w:eastAsia="es-CO"/>
        </w:rPr>
        <w:t>Informaciones a Revelar en los Estados Financieros de Bancos e Instituciones Financieras Similares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279"/>
        <w:gridCol w:w="6649"/>
      </w:tblGrid>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 mora (past due)</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activo financiero está en mora cuando la contraparte ha dejado de efectuar un pago cuando contractualmente deba hacerlo.</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riesgos de precio (other price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riesgo de que el valor razonable o los flujos de efectivo futuros de un instrumento financiero puedan fluctuar como consecuencia de variaciones en los precios de mercado (diferentes de las que provienen del </w:t>
            </w:r>
            <w:r w:rsidRPr="00401DFF">
              <w:rPr>
                <w:rFonts w:ascii="Times New Roman" w:eastAsia="Times New Roman" w:hAnsi="Times New Roman" w:cs="Times New Roman"/>
                <w:b/>
                <w:bCs/>
                <w:sz w:val="24"/>
                <w:szCs w:val="24"/>
                <w:lang w:eastAsia="es-CO"/>
              </w:rPr>
              <w:t>riesgo de tasa de interés</w:t>
            </w:r>
            <w:r w:rsidRPr="00401DFF">
              <w:rPr>
                <w:rFonts w:ascii="Times New Roman" w:eastAsia="Times New Roman" w:hAnsi="Times New Roman" w:cs="Times New Roman"/>
                <w:sz w:val="24"/>
                <w:szCs w:val="24"/>
                <w:lang w:eastAsia="es-CO"/>
              </w:rPr>
              <w:t xml:space="preserve"> y del </w:t>
            </w:r>
            <w:r w:rsidRPr="00401DFF">
              <w:rPr>
                <w:rFonts w:ascii="Times New Roman" w:eastAsia="Times New Roman" w:hAnsi="Times New Roman" w:cs="Times New Roman"/>
                <w:b/>
                <w:bCs/>
                <w:sz w:val="24"/>
                <w:szCs w:val="24"/>
                <w:lang w:eastAsia="es-CO"/>
              </w:rPr>
              <w:t>riesgo de tasa de cambio),</w:t>
            </w:r>
            <w:r w:rsidRPr="00401DFF">
              <w:rPr>
                <w:rFonts w:ascii="Times New Roman" w:eastAsia="Times New Roman" w:hAnsi="Times New Roman" w:cs="Times New Roman"/>
                <w:sz w:val="24"/>
                <w:szCs w:val="24"/>
                <w:lang w:eastAsia="es-CO"/>
              </w:rPr>
              <w:t xml:space="preserve"> sea que ellas estén causadas por factores específicos al instrumento financiero en concreto o a su emisor, o por factores que afecten a todos los instrumentos financieros similares negociados en el mercado.</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préstamos por pagar (loans payable)</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Préstamos por pagar son pasivos financieros diferentes de las cuentas comerciales por pagar a corto plazo en condiciones normales de crédito.</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crédito (credit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de que una de las partes de un instrumento financiero cause una pérdida financiera a la otra parte por incumplir una obligación.</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riesgo de liquidez (liquidity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de que una entidad encuentre dificultad para cumplir con obligaciones asociadas con pasivos financieros que se liquiden mediante la entrega de efectivo u otro activo financiero.</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mercado (market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riesgo de que el valor razonable o los flujos de efectivo futuros de un instrumento financiero puedan fluctuar como consecuencia de variaciones en los precios de mercado. El riesgo de mercado comprende tres tipos de riesgo: </w:t>
            </w:r>
            <w:r w:rsidRPr="00401DFF">
              <w:rPr>
                <w:rFonts w:ascii="Times New Roman" w:eastAsia="Times New Roman" w:hAnsi="Times New Roman" w:cs="Times New Roman"/>
                <w:b/>
                <w:bCs/>
                <w:sz w:val="24"/>
                <w:szCs w:val="24"/>
                <w:lang w:eastAsia="es-CO"/>
              </w:rPr>
              <w:t>riesgo de tasa de cambio, riesgo de tasa de interés y otros riesgos de precio.</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tasa de cambio (currency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de que el valor razonable o los flujos de efectivo futuros de un instrumento financiero puedan fluctuar como consecuencia de variaciones en las tasas de cambio de una moneda extranjera.</w:t>
            </w:r>
          </w:p>
        </w:tc>
      </w:tr>
      <w:tr w:rsidR="00401DFF" w:rsidRPr="00401DFF" w:rsidTr="00401DFF">
        <w:trPr>
          <w:tblCellSpacing w:w="15" w:type="dxa"/>
          <w:jc w:val="center"/>
        </w:trPr>
        <w:tc>
          <w:tcPr>
            <w:tcW w:w="226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tasa de interés (interest rate risk)</w:t>
            </w:r>
          </w:p>
        </w:tc>
        <w:tc>
          <w:tcPr>
            <w:tcW w:w="673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de que el valor razonable o los flujos de efectivo futuros de un instrumento financiero puedan fluctuar como consecuencia de variaciones en las tasas de interés de mercado.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siguientes términos se definen en el párrafo 11 de la NIC 32, en el párrafo 9 de la NIC 39, o en el Apéndice A de la NIIF 9 y se utilizan en esta NIIF con el significado especificado en la NIC 32, la NIC 39 y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compra o venta convencional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contrato de garantía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costo amortizado de un activo financiero o de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derivado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fecha de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mantenido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método del interés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pasivos financieros que se contabilicen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transacción prevista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Clases de instrumentos financieros y nivel de detalle de la información a revelar (párrafo 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El párrafo 6 requiere que una entidad agrupe los instrumentos financieros en clases que sean apropiadas según la naturaleza de la información revelada y que tenga en cuenta las características de dichos instrumentos financieros. Las clases descritas en el párrafo 6 serán determinadas por la entidad y son distintas de las categorías de instrumentos financieros especificadas en la NIIF 9 (que determinan cómo se miden los instrumentos financieros y dónde se reconocen los cambios en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Al determinar las clases de instrumentos financieros, una entidad, como mínimo: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distinguirá los instrumentos medidos al costo amortizado de los medidos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tratará como clase separada o clases separadas a los instrumentos financieros que estén fuera del alcance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Una entidad decidirá, en función de sus circunstancias, el nivel de detalle que ha de suministrar para cumplir con los requerimientos de esta NIIF, el énfasis que dará a los diferentes aspectos de tales requerimientos y la manera en que agregará la información para presentar una imagen global sin combinar información que tenga diferentes características. Es necesario lograr un equilibrio entre la sobrecarga de los estados financieros con excesivos detalles que pudieran no ayudar a los usuarios, y el oscurecimiento de información importante como resultado de su agregación excesiva. Por ejemplo, una entidad no oscurecerá información importante incluyéndola entre una gran cantidad de detalles insignificantes. De forma similar, una entidad no revelará información que esté tan agregada que oscurezca diferencias importantes entre las transacciones individuales o los riesgos asociados.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Relevancia de los instrumentos financieros en la situación financiera y el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Otra información a revelar - políticas contables (párrafo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El párrafo 21 requiere que se revele la base (o bases) de medición utilizada(s) al elaborar los estados financieros y sobre las demás políticas contables empleadas que sean relevantes para la comprensión de ellos. Para los instrumentos financieros, esta información a revelar podrá incluir: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pasivos financieros designados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naturaleza de los pasivos financieros que la entidad haya designado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criterios para designar así a los pasivos financieros en el momento de su reconocimiento inicial;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forma en que la entidad ha satisfecho los criterios del párrafo 4.2.2 de la NIIF 9 para esta designación.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(aa) Para activos financieros designados como medidos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naturaleza de los activos financieros que la entidad haya designado como medidos al valor razonable con cambios en resultados;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forma en que la entidad ha satisfecho los criterios del párrafo 4.1.5 de la NIIF 9 para esta designación.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las compras y ventas convencionales de activos financieros se contabilizan aplicando la fecha de negociación o la fecha de liquidación (véase el párrafo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3.1.2 de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Cuando se utilice una cuenta correctora para reducir el importe en libros de los activos financieros deteriorados a causa de pérdidas crediticias: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criterios para determinar cuándo el importe en libros de un activo financiero deteriorado se reduce directamente (o, en el caso de reversión de un deterioro, se incrementa directamente ese importe en libros) y cuándo se utiliza una cuenta correctora;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criterios para dar de baja, contra la cuenta correctora, importes de los activos financieros deteriorados (véase el párrafo 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Cómo se han determinado las ganancias o pérdidas netas de cada categoría de instrumentos financieros [véase el apartado (a) del párrafo 20]; por ejemplo, si las </w:t>
      </w:r>
      <w:r w:rsidRPr="00401DFF">
        <w:rPr>
          <w:rFonts w:ascii="Times New Roman" w:eastAsia="Times New Roman" w:hAnsi="Times New Roman" w:cs="Times New Roman"/>
          <w:sz w:val="24"/>
          <w:szCs w:val="24"/>
          <w:lang w:eastAsia="es-CO"/>
        </w:rPr>
        <w:lastRenderedPageBreak/>
        <w:t>ganancias o pérdidas netas en partidas registradas a valor razonable con cambios en resultados incluyen ingresos por intereses o dividendos.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Los criterios que utiliza la entidad para determinar que existe evidencia objetiva de que se ha producido una pérdida por deterioro [véase el apartado (e) del párrafo 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Cuando se hayan renegociado las condiciones de los activos financieros que de otro modo estarían en mora, la política contable adoptada para los activos financieros sujetos a esas condiciones renegociadas [véase el apartado (d) del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párrafo 122 de la NIC 1 (revisada en 2007) también requiere que las entidades revelen, en el resumen de políticas contables significativas o en otras notas, los juicios, diferentes de los que implican estimaciones, que la dirección haya realizado en el proceso de aplicación de las políticas contables de la entidad y que tengan el efecto más significativo sobre los importes reconocidos en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y alcance de los riesgos que surgen de instrumentos financieros (párrafos 31 a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La información a revelar requerida por los párrafos 31 a 42 se incluirá en los estados financieros o mediante referencias cruzadas de los estados financieros con otro estado, como por ejemplo un comentario de la dirección o un informe sobre riesgos, que esté disponible para los usuarios de los estados financieros en las mismas condiciones y al mismo tiempo que éstos. Sin la información incorporada mediante referencias cruzadas, los estados financieros estarán incompletos.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cuantitativa (párrafo 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B7 El apartado (a) del párrafo 34 requiere la revelación de datos cuantitativos resumidos sobre la exposición de una entidad a los riesgos, basada en la información suministrada internamente al personal clave de la dirección de la entidad. Cuando una entidad utilice diversos métodos para gestionar su exposición al riesgo, informará aplicando el método o métodos que suministren la información más relevante y fiable. En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xml:space="preserve"> se discuten las características de relevancia y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 El apartado (c) del párrafo 34 requiere que se informe acerca de las concentraciones de riesgo. Estas surgen de los instrumentos financieros que tienen características similares y están afectados de forma similar por cambios en condiciones económicas o de otra índole. La identificación de concentraciones de riesgo requiere la realización de juicios que tengan en cuenta las circunstancias de la entidad. La revelación de concentraciones de riesgo incluirá: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la manera en que la dirección determina esas concentraciones;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una descripción de las características compartidas que identifican cada concentración (por ejemplo la contraparte, el área geográfica, la moneda o el mercado);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de la exposición al riesgo asociada con todos los instrumentos financieros que comparten esa característica.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Máximo nivel de exposición al riesgo de crédito [apartado (a) del párrafo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El apartado (a) del párrafo 36 requiere la revelación del importe que mejor represente el máximo nivel de exposición al riesgo de crédito de la entidad. En el caso de un activo financiero, generalmente es su importe bruto en libros, neto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cualquier importe compensado de acuerdo con la NIC 32;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cualquier pérdida por deterioro reconocida de acuerdo con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Las actividades que dan lugar al riesgo de crédito y al máximo nivel de exposición asociado al mismo incluyen, sin limitarse a ellas: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concesión de préstamos a los clientes, así como la realización de depósitos en otras entidades. En estos casos, el máximo nivel de exposición al riesgo de crédito será el importe en libros de los activos financieros relacionados.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realización de contratos de derivados, por ejemplo contratos sobre moneda extranjera, permutas de tasas de interés o derivados de crédito. Cuando el activo resultante se mida al valor razonable, el máximo nivel de exposición al riesgo de crédito al final del periodo sobre el que se informa será igual a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concesión de garantías financieras. En este caso, el máximo nivel de exposición al riesgo de crédito es el importe máximo que la entidad tendría que pagar si se ejecutara la garantía, que puede ser significativamente superior al importe reconocido como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emisión de un compromiso de préstamo que sea irrevocable a lo largo de la vida de la línea de crédito, o que sólo sea revocable en respuesta a un cambio adverso significativo. Si el emisor no pudiese liquidar el compromiso de préstamo en términos netos con efectivo u otro instrumento financiero, el máximo nivel de exposición al riesgo de crédito será el importe total del compromiso. Esto es así porque existe incertidumbre sobre si en el futuro se dispondrá de algún importe sobre la parte no dispuesta. El importe del riesgo puede ser significativamente mayor que el importe reconocido como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de tipo cuantitativo sobre el riesgo de liquidez [párrafos 34(a) y 39(a) y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B10A De acuerdo con el párrafo 34(a) una entidad revelará datos cuantitativos resumidos, acerca de su exposición al riesgo de liquidez, sobre la base de la información proporcionada internamente al personal clave de la gerencia. La entidad explicará cómo se determinan </w:t>
      </w:r>
      <w:r w:rsidRPr="00401DFF">
        <w:rPr>
          <w:rFonts w:ascii="Times New Roman" w:eastAsia="Times New Roman" w:hAnsi="Times New Roman" w:cs="Times New Roman"/>
          <w:sz w:val="24"/>
          <w:szCs w:val="24"/>
          <w:lang w:eastAsia="es-CO"/>
        </w:rPr>
        <w:lastRenderedPageBreak/>
        <w:t>esos datos. Si las salidas de efectivo (u otro activo financiero) incluidas en esos datos pueden: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tener lugar de forma significativa con anterioridad a lo indicado en los datos,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ser por importes significativamente diferentes de los indicados en los datos (por ejemplo para un derivado que está incluido en los datos sobre una base de liquidación neta pero para el cual la contraparte tiene la opción de requerir la liquidación bruta),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entidad señalará ese hecho, y proporcionará información cuantitativa que permita a los usuarios de sus estados financieros evaluar el alcance de este riesgo, a menos que esa información se incluya en los análisis de vencimientos contractuales requeridos por el párrafo 39(a) o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Al elaborar el análisis de los vencimientos contractuales requeridos por el párrafo 39(a) y (b), una entidad empleará su juicio para determinar un número apropiado de bandas de tiempo. Por ejemplo, una entidad podría determinar que resultan apropiadas las siguientes bandas de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hasta un mes;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más de un mes y no más de tres meses;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más de tres meses y no más de un año;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más de un año y no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B11A Para cumplir con el párrafo 39(a) y (b), una entidad no separará el derivado implícito de un instrumento financiero híbrido (combinado). Para tal instrumento, la entidad aplicará el párrafo 39(a).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B11B El párrafo 39(b) requiere que una entidad revele información conteniendo un análisis de vencimientos, de tipo cuantitativo, para pasivos financieros derivados, donde se muestren los vencimientos contractuales remanentes, en caso de que tales vencimientos contractuales sean esenciales para comprender el calendario de los flujos de efectivo. Por ejemplo, este podría ser el caso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permuta de tasas de interés con un vencimiento remanentes de cinco años, en una cobertura de flujo de efectivo de un activo o pasivo financiero con tasa de interés variable.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todos los compromisos de préstamo.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B11C El párrafo 39(a) y (b) requiere que una entidad revele información conteniendo un análisis de vencimientos de los pasivos financieros, donde se muestren los vencimientos contractuales remanentes para algunos pasivos financieros. Dentro de esta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Cuando una contraparte pueda elegir cuándo un importe ha de ser pagado, el pasivo se asignará al primer periodo en el que se pueda requerir a la entidad que pague. Por ejemplo, los pasivos financieros cuyo reembolso pueda ser requerido a la entidad de forma inmediata (por ejemplo los depósitos a la vista) se incluirán en la banda de tiempo más cercana.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una entidad esté comprometida a tener cantidades disponibles en parcialidades, cada parcialidad se asignará al primer periodo en que pueda ser requerido el pago. Por ejemplo, un compromiso de préstamo no dispuesto se incluirá en la banda de tiempo que contenga la primera fecha en la que se pueda disponer del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los contratos de garantía financiera emitidos, el importe máximo de la garantía se asignará al primer periodo en el que la garantía pueda ser requerida.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B11D Los importes contractuales a revelar en los análisis de vencimientos, tal como se requieren en el párrafo 39(a) y (b), son los flujos de efectivo contractuales no descontados,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obligaciones brutas a pagar por arrendamientos financieros (sin deducir los cargos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precios especificados en los acuerdos de compra en el futuro de activos financieros en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importes netos de las permutas de intereses por las que se intercambian flujos de efectivo netos;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importes contractuales a intercambiar en un instrumento financiero derivado (por ejemplo una permuta financiera de divisas) por los que se intercambian flujos de efectivo brutos;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los compromisos de préstamo, en términos brutos.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Estos flujos de efectivo no descontados difieren de los importes incluidos en el estado de situación financiera, porque las cantidades de ese estado se basan en flujos de efectivo descontados. Cuando el importe a pagar no sea fijo, el importe revelado se determinará por referencia a las condiciones existentes al final del periodo sobre el que se informa. Por ejemplo, cuando el importe a pagar varíe con los cambios de un índice, el importe revelado puede estar basado en el nivel del índice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B11E El párrafo 39(c) requiere que una entidad describa cómo gestiona el riesgo de liquidez inherente en las partidas incluidas dentro de la información a revelar, en términos cuantitativos, requerida en el párrafo 39(a) y (b). Una entidad incluirá en la información a revelar un análisis de los vencimientos de los activos financieros que mantiene para gestionar el riesgo de liquidez (por ejemplo activos financieros que son fácilmente realizables o se espera que generen entradas de efectivo para atender las salidas de efectivo </w:t>
      </w:r>
      <w:r w:rsidRPr="00401DFF">
        <w:rPr>
          <w:rFonts w:ascii="Times New Roman" w:eastAsia="Times New Roman" w:hAnsi="Times New Roman" w:cs="Times New Roman"/>
          <w:sz w:val="24"/>
          <w:szCs w:val="24"/>
          <w:lang w:eastAsia="es-CO"/>
        </w:rPr>
        <w:lastRenderedPageBreak/>
        <w:t>por pasivos financieros), si esa información es necesaria para permitir a los usuarios de sus estados financieros evaluar la naturaleza y alcance del riesgo de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B11F Otros factores que una entidad puede considerar al revelar la información requerida en el párrafo 39(c) incluyen, pero no se limitan a, si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tiene concedida la disposición de créditos (por ejemplo, créditos respaldados por papel comercial) u otras líneas de crédito (por ejemplo, línea de crédito de disposición inmediata) a las que puede acceder para satisfacer necesidades de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mantiene depósitos en bancos centrales para satisfacer necesidades de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tiene muy diversas fuentes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posee concentraciones significativas de riesgo de liquidez en sus activos o en sus fuentes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tiene procedimientos de control interno y planes de contingencias para gestionar el riesgo de liquidez;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tiene instrumentos con cláusulas que provocan el reembolso acelerado (por ejemplo en el caso de una rebaja en la calificación crediticia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tiene instrumentos que pueden requerir la prestación de garantías colaterales adicionales (por ejemplo aportación de garantías adicionales en caso de evolución desfavorable de precios en 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tiene instrumentos que permiten a la entidad elegir si liquida sus pasivos financieros mediante la entrega de efectivo (u otro activo financiero) o mediante la entrega de sus propias acciones;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tiene instrumentos que están sujetos a acuerdos básicos de 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B12-B16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mercado - análisis de sensibilidad (párrafos 40 y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El apartado (a) del párrafo 40 requiere un análisis de sensibilidad para cada tipo de riesgo de mercado al que la entidad esté expuesta. De acuerdo con el párrafo B3, una entidad decidirá la manera en que agregará la información para presentar una imagen global, sin combinar información con diferentes características acerca de las exposiciones a riesgos que surjan de entornos económicos significativamente diferentes.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que negocie con instrumentos financieros podría revelar esta información por separado para los instrumentos financieros mantenidos para negociar y para los no mantenidos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Una entidad no debería agregar su exposición a los riesgos de mercado en áreas de hiperinflación con su exposición a esos mismos riesgos de mercado en áreas de inflación muy baja.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una entidad estuviese expuesta a un único tipo de riesgo de mercado en un único entorno económico, podría no mostrar información desagregada.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El apartado (a) del párrafo 40 requiere que el análisis de sensibilidad muestre el efecto sobre el resultado del período y el patrimonio, de los cambios razonablemente posibles en la variable relevante de riesgo (por ejemplo, las tasas de interés prevalecientes en el mercado, las tasas de cambio, los precios de las acciones o los de materias primas cotizadas). Con este propósito: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se requiere que las entidades determinen qué resultado del período podría haberse obtenido si las variables relevantes hubieran sido diferentes. En su lugar, las entidades revelarán el efecto sobre el resultado del período y el patrimonio, al final del periodo sobre el que se informa, suponiendo que hubiese ocurrido un cambio razonablemente posible en la variable relevante de riesgo en esa fecha, que se hubiera aplicado a las exposiciones al riesgo existentes en ese momento. Por ejemplo, si una entidad tiene un pasivo a tasa de interés variable, al final del año la entidad revelaría el efecto en el resultado del período (es decir, en el gasto por intereses) para el período corriente si las tasas de interés hubiesen variado en importes razonablemente posibles.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No se requiere que las entidades revelen el efecto en el resultado del período y en el patrimonio para cada cambio dentro de un rango de variaciones posibles de la variable relevante de riesgo. Sería suficiente la revelación de los efectos de los cambios en los límites de un rango razonablemente posible.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Al determinar qué constituye un cambio razonablemente posible en la variable relevante de riesgo, una entidad deberá considerar: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entornos económicos en los que opera. Un cambio razonablemente posible no debe incluir escenarios remotos o de “caso más desfavorable”, ni “pruebas de tensión”. Además, si la tasa de cambio de la variable subyacente de riesgo es estable, la entidad no necesita alterar el patrón de cambio razonablemente posible escogido para la variable de riesgo. Por ejemplo, supóngase que las tasas de interés sean del 5 por ciento, y que la entidad ha determinado que es razonablemente posible una fluctuación en ellas de ±50 puntos básicos. En tal caso, revelaría el efecto en el resultado del período y en el patrimonio, de que las tasas de interés cambiasen al 4,5 por ciento o al 5,5 por ciento. En el período siguiente, las tasas de interés se han incrementado al 5,5 por ciento. La entidad continúa creyendo que las tasas de interés pueden fluctuar ±50 puntos básicos (es decir, que la tasa de variación de las tasas de interés es estable). La entidad revelaría el efecto en el resultado del período y en el patrimonio si las tasas de cambio cambiasen al 5 por ciento o al 6 por ciento. No se exigiría que la entidad revisase su evaluación de que las tasas de interés pueden fluctuar razonablemente en ±50 puntos básicos, salvo que existiera evidencia de que dichos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tasas se hubieran vuelto significativamente más volátiles.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marco temporal sobre el que está haciendo la evaluación. El análisis de sensibilidad mostrará los efectos de los cambios que se han considerado razonablemente posibles, sobre el período que medie hasta que la entidad vuelva a presentar estas informaciones, que es usualmente el próximo período anual sobre el que ella informe.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El párrafo 41 permite que una entidad utilice un análisis de sensibilidad que refleje interdependencias entre las variables de riesgo, como por ejemplo la metodología del valor en riesgo, si utilizase este análisis para gestionar su exposición a los riesgos financieros. Esto se aplicará aunque esa metodología midiese sólo el potencial de pérdidas pero no el de ganancias. La entidad que haga esto puede cumplir con el apartado (a) del párrafo 41 revelando el tipo de modelo de valor en riesgo utilizado (por ejemplo, informando si el modelo se basa en simulaciones de Montecarlo), una explicación acerca de cómo opera el modelo y sus principales hipótesis (por ejemplo, el período de tenencia y el nivel de confianza). Las entidades podrían también revelar el intervalo histórico que cubren las observaciones y las ponderaciones aplicadas a las observaciones dentro de dicho intervalo, una explicación de cómo se han tratado las opciones en los cálculos y qué volatilidades y correlaciones se han utilizado (o, alternativamente, qué distribuciones de probabilidad se han supuesto en las simulaciones de Montecarlo).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B21 Una entidad proporcionará un análisis de sensibilidad para la totalidad de su negocio, pero puede suministrar diferentes tipos de análisis de sensibilidad para diferentes clases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tasa de interés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B22 El </w:t>
      </w:r>
      <w:r w:rsidRPr="00401DFF">
        <w:rPr>
          <w:rFonts w:ascii="Times New Roman" w:eastAsia="Times New Roman" w:hAnsi="Times New Roman" w:cs="Times New Roman"/>
          <w:i/>
          <w:iCs/>
          <w:sz w:val="24"/>
          <w:szCs w:val="24"/>
          <w:lang w:eastAsia="es-CO"/>
        </w:rPr>
        <w:t>riesgo de tasa de interés</w:t>
      </w:r>
      <w:r w:rsidRPr="00401DFF">
        <w:rPr>
          <w:rFonts w:ascii="Times New Roman" w:eastAsia="Times New Roman" w:hAnsi="Times New Roman" w:cs="Times New Roman"/>
          <w:sz w:val="24"/>
          <w:szCs w:val="24"/>
          <w:lang w:eastAsia="es-CO"/>
        </w:rPr>
        <w:t xml:space="preserve"> surge de los instrumentos financieros con interés reconocidos en el estado de situación financiera (por ejemplo, instrumentos de deuda adquiridos o emitidos), y de algunos instrumentos financieros no reconocidos en el estado de situación financiera (por ejemplo, algunos compromisos de préstamo).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tasa de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B23 El </w:t>
      </w:r>
      <w:r w:rsidRPr="00401DFF">
        <w:rPr>
          <w:rFonts w:ascii="Times New Roman" w:eastAsia="Times New Roman" w:hAnsi="Times New Roman" w:cs="Times New Roman"/>
          <w:i/>
          <w:iCs/>
          <w:sz w:val="24"/>
          <w:szCs w:val="24"/>
          <w:lang w:eastAsia="es-CO"/>
        </w:rPr>
        <w:t>riesgo de tasa de cambio</w:t>
      </w:r>
      <w:r w:rsidRPr="00401DFF">
        <w:rPr>
          <w:rFonts w:ascii="Times New Roman" w:eastAsia="Times New Roman" w:hAnsi="Times New Roman" w:cs="Times New Roman"/>
          <w:sz w:val="24"/>
          <w:szCs w:val="24"/>
          <w:lang w:eastAsia="es-CO"/>
        </w:rPr>
        <w:t xml:space="preserve"> (o riesgo de cambio de la moneda extranjera) surge de instrumentos financieros denominados en una moneda extranjera, es decir, de una moneda diferente de la moneda funcional en que se miden. A efectos de esta NIIF, el riesgo de tasa de cambio no surge de instrumentos financieros que son partidas no monetarias ni de instrumentos financieros denominados en la moneda funcional.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Se presentará un análisis de sensibilidad para cada moneda en la que una entidad tenga una exposición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riesgos de precio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B25 Los </w:t>
      </w:r>
      <w:r w:rsidRPr="00401DFF">
        <w:rPr>
          <w:rFonts w:ascii="Times New Roman" w:eastAsia="Times New Roman" w:hAnsi="Times New Roman" w:cs="Times New Roman"/>
          <w:i/>
          <w:iCs/>
          <w:sz w:val="24"/>
          <w:szCs w:val="24"/>
          <w:lang w:eastAsia="es-CO"/>
        </w:rPr>
        <w:t>otros riesgos de precio</w:t>
      </w:r>
      <w:r w:rsidRPr="00401DFF">
        <w:rPr>
          <w:rFonts w:ascii="Times New Roman" w:eastAsia="Times New Roman" w:hAnsi="Times New Roman" w:cs="Times New Roman"/>
          <w:sz w:val="24"/>
          <w:szCs w:val="24"/>
          <w:lang w:eastAsia="es-CO"/>
        </w:rPr>
        <w:t xml:space="preserve"> de los instrumentos financieros surgen, por ejemplo, de variaciones en los precios de las materias primas cotizadas o de los precios de los instrumentos de patrimonio. Para cumplir con lo dispuesto en el párrafo 40, una entidad </w:t>
      </w:r>
      <w:r w:rsidRPr="00401DFF">
        <w:rPr>
          <w:rFonts w:ascii="Times New Roman" w:eastAsia="Times New Roman" w:hAnsi="Times New Roman" w:cs="Times New Roman"/>
          <w:sz w:val="24"/>
          <w:szCs w:val="24"/>
          <w:lang w:eastAsia="es-CO"/>
        </w:rPr>
        <w:lastRenderedPageBreak/>
        <w:t>puede revelar el efecto de un decremento en un determinado índice de precios de mercado de acciones, un precio de materias primas cotizadas u otra variable de riesgo. Por ejemplo, si una entidad concediese garantías sobre valores residuales que sean instrumentos financieros, dicha entidad revelará los incrementos o decrementos en el valor de los activos a los que se aplique la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Dos ejemplos de instrumentos financieros que dan lugar a riesgo de precio de los instrumentos de patrimonio son, (a) la tenencia de instrumentos de patrimonio de otra entidad y (b) la inversión en un fondo que, a su vez, posea inversiones en instrumentos de patrimonio. Otros ejemplos son los contratos a término y las opciones para comprar o vender cantidades específicas de un instrumento de patrimonio, así como las permutas que están indexadas sobre precios de instrumentos de patrimonio. Los valores razonables de tales instrumentos financieros están afectados por cambios en el precio de mercado de los instrumentos de patrimonio subyacentes.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De acuerdo con párrafo 40(a), la sensibilidad del resultado del período (que surge, por ejemplo, de instrumentos medidos al valor razonable con cambios en resultados) se revelará por separado de la sensibilidad de otro resultado integral (que procede, por ejemplo, de inversiones en instrumentos de patrimonio cuyos cambios en el valor razonable se presentan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Los instrumentos financieros que una entidad clasifique como instrumentos de patrimonio no vuelven a medirse. Ni el resultado del período ni el patrimonio se verán afectados por el riesgo de precio de tales instrumentos. En consecuencia, no se requiere un análisis de sensibilidad.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Baja en cuentas (párrafos 42C a 42H)</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Implicación continuada (párrafo 42C)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B29 La evaluación de la implicación continuada en un activo financiero transferido a efectos de los requerimientos de información a revelar de los párrafos 42E a 42H se realizará a nivel de la entidad que informa. Por ejemplo, si una subsidiaria transfiere a un tercero no relacionado un activo financiero en el cual la controladora de la subsidiaria tiene implicación continuada, la subsidiaria no incluirá la implicación de la controladora en la evaluación de si tiene o no implicación continuada en el activo transferido (es decir cuando la subsidiaria es la entidad que informa) en sus estados financieros separados o individuales. Sin embargo, una controladora incluiría su implicación continuada (o la de otro miembro del grupo) en un activo financiero transferido por su subsidiaria al determinar si tiene implicación continuada en el activo transferido en sus estados financieros consolidados (es decir cuando la entidad que informa es 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B30 Una entidad no tiene una implicación continuada en un activo financiero transferido si, como parte de la transferencia, no retiene parte alguna de los derechos contractuales u obligaciones inherentes en el activo financiero transferido ni adquiere nuevos derechos u obligaciones contractuales relacionadas con el activo financiero transferido. Una entidad no tiene implicación continuada en un activo financiero transferido si no tiene una </w:t>
      </w:r>
      <w:r w:rsidRPr="00401DFF">
        <w:rPr>
          <w:rFonts w:ascii="Times New Roman" w:eastAsia="Times New Roman" w:hAnsi="Times New Roman" w:cs="Times New Roman"/>
          <w:sz w:val="24"/>
          <w:szCs w:val="24"/>
          <w:lang w:eastAsia="es-CO"/>
        </w:rPr>
        <w:lastRenderedPageBreak/>
        <w:t>participación en el rendimiento futuro del activo financiero transferido ni tiene una responsabilidad bajo cualquier circunstancia de realizar pagos en el futuro con respecto al activo financiero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La implicación continuada en un activo financiero transferido puede proceder de disposiciones contractuales en el acuerdo de transferencia o en un acuerdo separado con la entidad receptora de la transferencia o un tercero involucrado en relación con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transferidos que no se dan de baja en cuentas en su totalidad (párrafo 42D)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El párrafo 42D requiere información a revelar cuando parte o la totalidad de los activos financieros transferidos no cumplen los requisitos para la baja en cuentas. Se requiere esa información a revelar en cada fecha de presentación en la cual la entidad continúe reconociendo los activos financieros transferidos, independientemente de cuándo tuvo lugar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Tipos de implicación continuada (párrafos 42E a 42H)</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Los párrafos 42E a 42H requieren que la información a revelar cualitativa y cuantitativa para cada tipo de implicación continuada en activos financieros dados de baja en cuentas. Una entidad agregará su implicación continuada en tipos que sean representativos de la exposición de la entidad al riesgo. Por ejemplo, una entidad puede agregar su implicación continuada por tipo de instrumento financiero (por ejemplo garantías u opciones de compra) o por tipo de transferencia (por ejemplo descuentos de cuentas por cobrar, titulizaciones y préstamos de valores).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Desglose de vencimientos para flujos de salida de efectivo no descontados para recomprar activos transferidos [párrafo 42E(e)]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El párrafo 42E(e) requiere que una entidad revele un desglose de vencimientos de los flujos de salida de efectivo no descontados para recomprar activos financieros dados de baja en cuentas u otros importes a pagar a la entidad receptora de la transferencia con respecto a los activos financieros dados de baja en cuentas, mostrando los vencimientos contractuales restantes de la implicación continuada de la entidad. Este desglose distingue flujos de efectivo que se requieren pagar (por ejemplo contratos a término), flujos de efectivo que se puede requerir pagar a la entidad (por ejemplo opciones de venta emitidas) y los flujos de efectivo que la entidad puede elegir pagar (por ejemplo opciones de compra adquiridas).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Una entidad empleará su juicio para determinar un número apropiado de bandas temporales para preparar el desglose de vencimientos requerido por el párrafo 42E(e). Por ejemplo, una entidad puede determinar que resultan apropiadas las siguientes bandas de tiempo de vencimientos: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hasta un mes;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más de un mes y no más de tres meses;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más de tres meses y no más de seis meses;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más de seis meses y no más de un año;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más de un año y no más de tres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más de tres años y no más de cinco años;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más de cinco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B36 Si existe un rango de posibles vencimientos, los flujos de efectivo se incluirán sobre la base de la fecha primera en que se puede requerir a la entidad pagar o se le permite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cualitativa [párrafo 42E(f)]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La información cualitativa requerida por el párrafo 42E(f) incluye una descripción de los activos financieros dados de baja en cuentas y la naturaleza y propósito de la implicación continuada retenida después de transferir esos activos. También incluirá una descripción de los riesgos a los que se expone una entidad,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 la forma en que la entidad gestiona el riesgo inherente a su implicación continuada en los activos financieros dados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se requiere o no que la entidad cargue con pérdidas antes que otras partes, y la clasificación e importes de pérdidas asumidas por las partes cuya participación está clasificada más baja que la participación de la entidad en el activo (es decir su implicación continuada en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descripción de cualquier desencadenante asociado con obligaciones de proporcionar apoyo financiero o recomprar un activo financiero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o pérdidas en la baja de cuentas [párrafo 42G(a)]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B38 El párrafo 42G(a) requiere que una entidad revele la ganancia o pérdida en la baja en cuentas relacionada con los activos financieros en los que la entidad tiene implicación continuada. La entidad revelará si una ganancia o pérdida en la baja en cuentas surgió porque los valores razonables de los componentes del activo reconocido con anterioridad (es decir la participación en el activo dado de baja en cuentas y la participación retenida por la entidad) eran diferentes del valor razonable del activo reconocido anteriormente como un todo. En esa situación, la entidad también revelará si las mediciones del valor razonable incluían datos de entrada significativos que no estaban basadas en información de mercado observable, como se describe el párrafo 27A.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adicional (párrafo 42H)</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B39 La información a revelar requerida en los párrafos 42D a 42G puede no ser suficiente para cumplir con los objetivos de información a revelar del párrafo 42B. Si este fuera el caso, la entidad revelará la información que sea necesaria para cumplir con los objetivos de información a revelar. La entidad decidirá, a la luz de sus circunstancias, cuánta información adicional se necesita proporcionar para satisfacer las necesidades de información de los usuarios y cuánto énfasis concede a los diferentes aspectos de la información adicional. Es necesario lograr un equilibrio entre la sobrecarga de los estados financieros con excesivos detalles que pudieran no ayudar a sus usuarios, y la ocultación de información como resultado de su acumulación excesiva.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Compensación de activos financieros y pasivos financieros (párrafos 13A a 13F)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Alcance (párrafo 13A)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B40 La información a revelar de los párrafos 13B a 13E se requiere para todos los instrumentos financieros reconocidos que se compensan de acuerdo con el párrafo 42 de la NIC 32. Además, los instrumentos financieros que quedan dentro del alcance de los requerimientos de información a revelar de los párrafos 13B a 13E si están sujetos a un acuerdo maestro de compensación exigible o acuerdo similar que cubre instrumentos financieros y transacciones similares, independientemente de si los instrumentos financieros se compensan de acuerdo con el párrafo 42 de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 Los acuerdos similares a los que se refieren los párrafos 13A y B40 incluyen acuerdos de compensación de derivados, acuerdos maestros de recompra globales, acuerdos maestros de préstamo de títulos valores globales, y cualquier derecho relacionado con garantías colaterales financieras. Los instrumentos financieros y transacciones similares a los que hace referencia el párrafo B40 incluyen derivados, acuerdos de venta y recompra, acuerdos de venta inversa y recompra, acuerdos de préstamos recibidos de títulos valores, y de préstamos entregados de títulos valores. Ejemplos de instrumentos financieros que no quedan dentro del alcance del párrafo 13A son los préstamos y depósitos de clientes en la misma institución (a menos que se compensen en el estado de situación financiera), e instrumentos financieros que están sujetos solo a un acuerdo de garantía colateral.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información cuantitativa para activos financieros reconocidos y pasivos financieros reconocidos dentro del alcance del párrafo 13A (párrafo 13C)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B42 Los instrumentos financieros revelados de acuerdo con el párrafo 13C pueden estar sujetos a requerimientos de medición diferentes (por ejemplo, una cuenta por pagar relacionada con un acuerdo de recompra puede medirse al costo amortizado, mientras que un derivado se medirá a valor razonable). Una entidad incluirá instrumentos por sus importes reconocidos y describirá las diferencias de medición resultantes en la información a revelar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a revelar sobre los importes brutos de los activos financieros reconocidos y pasivos financieros reconocidos dentro del alcance del párrafo 13A [párrafo 13C(a)]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 Los importes requeridos por el párrafo 13C(a) relacionados con los instrumentos financieros reconocidos que se compensan de acuerdo con el párrafo 42 de la NIC 32. Los importes requeridos por el párrafo 13C(a) también se relacionan con los instrumentos financieros reconocidos que están sujetos a un acuerdo maestro de compensación exigible o acuerdo similar independientemente de si cumplen los criterios de compensación. Sin embargo, la información a revelar requerida por el párrafo 13C(a) no se relaciona con los importes reconocidos como consecuencia de acuerdos de garantía colateral que no cumplen los criterios de compensación del párrafo 42 de la NIC 32. En su lugar, se requiere que estos importes se revelen de acuerdo con el párrafo 13C(d).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los importes que se compensan de acuerdo con los criterios del párrafo 42 de la NIC 32 [párrafo 13C(b)]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 El párrafo 13C(b) requiere que las entidades revelen los importes compensados de acuerdo con el párrafo 42 de la NIC 32 cuando se determinen los importes netos presentados en el estado de situación financiera. Los importes de los activos financieros reconocidos y pasivos financieros reconocidos que están sujetos a compensación según el mismo acuerdo se revelarán en la información a revelar sobre activos financieros y pasivos financieros. Sin embargo, los importes revelados (en, por ejemplo, una tabla) se limitarán a los importes que están sujetos a compensación. Por ejemplo, una entidad puede tener un activo derivado reconocido y un pasivo derivado reconocido que cumplen los criterios de compensación del párrafo 42 de la NIC 32. Si el importe bruto del activo derivado es mayor que el importe bruto del pasivo derivado, la tabla de información a revelar del activo financiero incluirá el importe completo del activo derivado [de acuerdo con el párrafo 13C(a)] y el importe completo del pasivo derivado [de acuerdo con el párrafo 13C(b)]. Sin embargo, mientras que la tabla de información a revelar del pasivo financiero incluirá el importe completo del pasivo derivado [de acuerdo con el párrafo 13C(a), únicamente incluirá el importe del activo derivado [de acuerdo con el párrafo 13C(b)] que es igual al importe del pasivo derivado.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los importes netos presentados en el estado de situación financiera [párrafo 13C(c)]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B45 Si una entidad tiene instrumentos que quedan dentro del alcance de esta información a revelar (como se especifica en el párrafo 13A) pero no cumplen los criterios de compensación del párrafo 42 de la NIC 32, los importes que el párrafo 13C(c) requiere que se revelen serían iguales a los importes que requiere revelar el párrafo 13C(a).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B46 Los importes que el párrafo 13C(c) requiere revelar deben conciliarse con los importes de las partidas individuales presentadas en el estado de situación financiera. Por ejemplo, si una entidad determina que la acumulación o desglose de los importes de partidas individuales de los estados financieros proporciona información más relevante, debe conciliar los importes acumulados o desglosados revelados según el párrafo 13C(c) con los importes de partidas individuales presentados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a revelar sobre los importes sujetos a un acuerdo maestro de compensación exigible o acuerdo similar que no está incluido de otra forma en el párrafo 13C(b) [párrafo 13C(d)]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B47 El párrafo 13C(d) requiere que las entidades revelen los importes sujetos a un acuerdo maestro de compensación exigible o acuerdo similar que no estén incluidos de otra forma en el párrafo 13C(b). El párrafo 13C(d)(i) hace referencia a los importes relacionados con los instrumentos financieros reconocidos que no cumplen alguno o todos los criterios de compensación del párrafo 42 de la NIC 32 (por ejemplo, derechos actuales de compensación que no cumplen el criterio del párrafo 42(b) de la NIC 32, o derechos condicionales de compensación que son exigibles y ejercitables solo en el caso de incumplimiento, o solo en el caso de insolvencia o quiebra de cualquiera de las contrapartes).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B48 El párrafo 13C(d)(ii) hace referencia a los importes relacionados con garantías colaterales financieras, incluyendo las garantías de efectivo colaterales, tanto recibidas como pignoradas. Una entidad revelará el valor razonable de los instrumentos financieros que han sido pignorados o recibidos como garantía colateral. Los importes revelados de acuerdo con el párrafo 13C(d)(ii) deberían referirse a las garantías colaterales reales recibidas o pignoradas y no a cualquier cuenta por cobrar o cuenta por pagar reconocida resultante de recuperar o devolver esta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Límites a los importes revelados en el párrafo 13C(d) (párrafo 13D)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B49 Cuando se revelen los importes de acuerdo con el párrafo 13C(d), una entidad debe tener en cuenta los efectos del exceso de garantía colateral por instrumento financiero. Si es así, la entidad debe en primer lugar deducir los importes revelados de acuerdo con el párrafo 13C(d)(i) del importe revelado de acuerdo con el párrafo 13C(c). La entidad limitará entonces los importes revelados de acuerdo con el párrafo 13C(d)(ii) al importe restante del párrafo 13C(c) para el instrumento financiero relacionado. Sin embargo, si los derechos a garantía colateral pueden ser exigibles para todos los instrumentos financieros, estos derechos pueden incluirse en la información a revelar proporcionada de acuerdo con el párrafo 13D.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Descripción de los derechos de compensación sujetos a acuerdos maestros de compensación exigibles y acuerdos similares (párrafo 13E)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B50 Una entidad describirá los tipos de derechos de compensación y acuerdos similares revelados de acuerdo con el párrafo 13C(d), incluyendo la naturaleza de esos derechos. Por ejemplo, una entidad describirá sus derechos condicionales. Para instrumentos sujetos a derechos de compensación que no dependen de un suceso futuro pero que no cumplen los criterios restantes del párrafo 42 de la NIC 32, la entidad describirá las razones por las que no se cumplen los criterios. Para cualquier garantía colateral financiera recibida o pignorada, la entidad describirá los términos del acuerdo de garantía colateral (por ejemplo, cuando la garantía está restringida).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por tipo de instrumento financiero o por contraparte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B51 La información a revelar cuantitativa requerida por el párrafo 13(a) a (e) puede agruparse por tipo de instrumento financiero o transacción (por ejemplo, derivados, acuerdos de recompra y recompra inversa o acuerdos de recibir prestados y prestar títulos valores).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 De forma alternativa, una entidad puede agrupar la información a revelar cuantitativa requerida por el párrafo 13C(a) a (c) por tipo de instrumento financiero, y la información a revelar cuantitativa requerida por el párrafo 13C(c) a (e) por contraparte. Si una entidad proporciona la información requerida por contraparte, no se requiere que la entidad identifique las contrapartes por nombre. Sin embargo, la designación de contrapartes (Contraparte A, Contraparte B, Contraparte C, etc.) permanecerá congruente de año a año para los años presentados para mantener la comparabilidad. La información a revelar cualitativa se considerará de forma que se pueda facilitar información adicional sobre los tipos de contrapartes. Cuando la información a revelar sobre los importes del párrafo 13C(c) a (e) se proporcione por contraparte, los importes que sean significativos individualmente en términos de los importes de las contrapartes totales se revelarán por separado y los importes individuales insignificantes de las contrapartes restantes se agruparán en una partida.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B53 La información a revelar específica requerida por los párrafos 13C a 13E son requerimientos mínimos. Para cumplir el objetivo del párrafo 13B una entidad puede necesitar ampliarlos con información a revelar (cualitativa) adicional, dependiendo de las condiciones de los acuerdos maestros de compensación exigibles y acuerdos relacionados, incluyendo la naturaleza de los derechos de compensación, y sus efectos o efectos potenciales sobre la situación financiera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(91) El párrafo 44G se modificó como consecuencia de</w:t>
      </w:r>
      <w:r w:rsidRPr="00401DFF">
        <w:rPr>
          <w:rFonts w:ascii="Times New Roman" w:eastAsia="Times New Roman" w:hAnsi="Times New Roman" w:cs="Times New Roman"/>
          <w:i/>
          <w:iCs/>
          <w:sz w:val="24"/>
          <w:szCs w:val="24"/>
          <w:lang w:eastAsia="es-CO"/>
        </w:rPr>
        <w:t xml:space="preserve"> Exención Limitada de la Información a Revelar Comparativa de la NIIF 7 para Entidades que Adoptan por Primera vez las NIIF </w:t>
      </w:r>
      <w:r w:rsidRPr="00401DFF">
        <w:rPr>
          <w:rFonts w:ascii="Times New Roman" w:eastAsia="Times New Roman" w:hAnsi="Times New Roman" w:cs="Times New Roman"/>
          <w:sz w:val="24"/>
          <w:szCs w:val="24"/>
          <w:lang w:eastAsia="es-CO"/>
        </w:rPr>
        <w:t xml:space="preserve">(Modificación a la NIIF 1) emitido en enero de 2010. El Consejo modificó el párrafo 44G para aclarar sus conclusiones y la transición pretendida para </w:t>
      </w:r>
      <w:r w:rsidRPr="00401DFF">
        <w:rPr>
          <w:rFonts w:ascii="Times New Roman" w:eastAsia="Times New Roman" w:hAnsi="Times New Roman" w:cs="Times New Roman"/>
          <w:i/>
          <w:iCs/>
          <w:sz w:val="24"/>
          <w:szCs w:val="24"/>
          <w:lang w:eastAsia="es-CO"/>
        </w:rPr>
        <w:t>Mejora de la Información a Revelar sobre Instrumentos Financieros</w:t>
      </w:r>
      <w:r w:rsidRPr="00401DFF">
        <w:rPr>
          <w:rFonts w:ascii="Times New Roman" w:eastAsia="Times New Roman" w:hAnsi="Times New Roman" w:cs="Times New Roman"/>
          <w:sz w:val="24"/>
          <w:szCs w:val="24"/>
          <w:lang w:eastAsia="es-CO"/>
        </w:rPr>
        <w:t xml:space="preserve"> (Modificaciones a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 básico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Una entidad revelará información que permita que los usuarios de sus estados financieros evalúen la naturaleza y los efectos financieros de las actividades de negocio que desarrolla y los entornos económicos en los que opera.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2 Esta NIIF se aplicará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estados financieros separados o individuales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cuyos instrumentos de deuda o de patrimonio se negocien en un mercado público (ya sea una bolsa de valores nacional o extranjera, o un mercado no organizado, incluyendo los mercados locales y regionales),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que registre, o esté en proceso de registrar, sus estados financieros en una comisión de valores u otra organización reguladora, con el fin de emitir algún tipo de instrumento en un mercado público;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estados financieros consolidados de un grupo con una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cuyos instrumentos de deuda o de patrimonio se negocien en un mercado público (ya sea una bolsa de valores nacional o extranjera, o un mercado no organizado, incluyendo los mercados locales y regionales),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que registre, o esté en proceso de registrar, los estados financieros consolidados en una comisión de valores u otra organización reguladora, con el fin de emitir algún tipo de instrumento en un mercado público.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Cuando una entidad que no esté obligada a aplicar esta NIIF opte por revelar información sobre segmentos que no cumpla con ella, no describirá esa información como información por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Si un informe financiero de una entidad controladora que se encuentre dentro del alcance de por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esta NIIF incluyese tanto sus estados financieros consolidados como sus estados financieros separados, sólo se requerirá información por segmentos en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Un segmento de operación es un componente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que desarrolla actividades de negocio de las que puede obtener ingresos de las actividades ordinarias e incurrir en gastos (incluidos los ingresos de las actividades ordinarias y los gastos por transacciones con otros componentes de la misma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cuyos resultados de operación son revisados de forma regular por la máxima autoridad en la toma de decisiones de operación de la entidad, para decidir sobre los recursos que deben asignarse al segmento y evaluar su rendimiento;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sobre el cual se dispone de información financiera diferenciada.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Un segmento de operación podrá comprender actividades de negocio de las que aún no se obtengan ingresos, por ejemplo, los negocios de nueva creación pueden ser segmentos de operación antes de que se obtengan ingresos de sus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No todas las partes de una entidad son necesariamente segmentos de operación o integrantes de ellos. Por ejemplo, es posible que la sede social o algunos departamentos funcionales no obtengan ingresos de las actividades ordinarias o los obtengan con un carácter meramente accesorio a las actividades de la entidad, en cuyo caso no serían segmentos de operación. A efectos de la presente NIIF, los planes de beneficios post-empleo de una entidad no son 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expresión “máxima autoridad en la toma de decisiones de operación” designa una función y no necesariamente a un directivo con un cargo específico. Esa función consiste en la asignación de recursos a los segmentos de operación de una entidad y la evaluación de su rendimiento. Con frecuencia, la máxima autoridad en la toma de decisiones de operación de una entidad es su presidente ejecutivo o su director de operaciones, pero podría ser también, por ejemplo, un grupo de directores ejecutivos u otros.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En muchas entidades, las tres características de los segmentos de operación descritas en el párrafo 5 identifican claramente a sus segmentos de operación. No obstante, una entidad puede elaborar informes en los que sus actividades de negocio se presenten de diversas formas. Si la máxima autoridad en la toma de decisiones de operación utilizase más de un tipo de información segmentada, otros factores podrían servir para identificar a un determinado conjunto de componentes como segmentos de operación de una entidad, entre ellos la naturaleza de las actividades de negocio de cada componente, la existencia de gestores responsables de los mismos y la información presentada al consejo de administración.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Generalmente, un segmento de operación tiene un responsable del segmento que rinde cuentas directamente a la máxima autoridad en la toma de decisiones de operación y se mantiene regularmente en contacto con ella, para tratar sobre las actividades de operación, los resultados financieros, las previsiones o los planes para el segmento. El término “responsable del segmento” identifica una función, y no necesariamente a un directivo con un cargo específico. En algunos segmentos de operación, la máxima autoridad en la toma de decisiones de operación podría ser también el responsable del segmento. Un mismo directivo podría actuar como responsable del segmento para varios segmentos de operación. Cuando en una organización haya más de un conjunto de componentes que cumplen las características descritas en el párrafo 5, pero sólo uno de ellos cuente con responsable del segmento, este conjunto constituirá los 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Las características descritas en el párrafo 5 pueden aplicarse a dos o más conjuntos de componentes que se solapen y para los que existan responsables. Esta estructura es referida a veces como organización matricial. Por ejemplo, en algunas entidades, ciertos directivos son responsables de diferentes líneas de productos y servicios en todo el mundo, mientras que otros lo son de zonas geográficas específicas. La máxima autoridad en la toma de decisiones de operación examina de forma regular los resultados de operación de ambos conjuntos de componentes y cuenta con información financiera sobre ambos. En esa </w:t>
      </w:r>
      <w:r w:rsidRPr="00401DFF">
        <w:rPr>
          <w:rFonts w:ascii="Times New Roman" w:eastAsia="Times New Roman" w:hAnsi="Times New Roman" w:cs="Times New Roman"/>
          <w:sz w:val="24"/>
          <w:szCs w:val="24"/>
          <w:lang w:eastAsia="es-CO"/>
        </w:rPr>
        <w:lastRenderedPageBreak/>
        <w:t>situación, la entidad determinará cuál es el conjunto cuyos componentes definen los segmentos de operación por referencia al principio básico.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Segmentos sobre los que debe informarse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Una entidad revelará por separado información sobre cada uno de los segmentos de operación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haya identificado de conformidad con los párrafos 5 a 10 o resulte de la agregación de dos o más de esos segmentos de acuerdo con lo señalado en el párrafo 12,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exceda de los umbrales cuantitativos fijados en el párrafo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párrafos 14 a 19 especifican otras situaciones en las que se presentará información separada sobre un segmento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Criterios de Agregación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Con frecuencia, los segmentos de operación con características económicas similares muestran un rendimiento financiero a largo plazo que es similar. Por ejemplo, cabría esperar promedios de márgenes brutos a largo plazo similares en dos segmentos de operación con características económicas similares. Pueden agregarse dos o más segmentos de operación en uno solo cuando la agregación resulte coherente con el principio básico de esta NIIF y los segmentos tengan características económicas parecidas y sean similares en cada uno de los siguientes aspectos: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 los productos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naturaleza de los procesos de producción;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tipo o categoría de clientes a los que se destina sus productos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métodos usados para distribuir sus productos o prestar los servicios;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si fuera aplicable, la naturaleza del marco normativo, por ejemplo, bancario, de seguros, o de servicios públicos.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Umbrales cuantitativos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entidad informará por separado sobre cada uno de los segmentos de operación que alcance alguno de los siguientes umbrales cuantitativos: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Sus ingresos de las actividades ordinarias informados, incluyendo tanto las ventas a clientes externos como las ventas o transferencias inter-segmentos, son iguales o superiores al 10 por ciento de los ingresos de las actividades ordinarias combinados, internos y externos, de todos los 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importe absoluto de sus resultados informados es, en términos absolutos, igual o superior al 10 por ciento del importe que sea mayor entre (i) la ganancia combinada informada por todos los segmentos de operación que no hayan presentado pérdidas; (ii) la pérdida combinada informada por todos los segmentos de operación que hayan presentado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Sus activos son iguales o superiores al 10 por ciento de los activos combinados de todos los segmentos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segmentos de operación que no alcancen ninguno de los umbrales cuantitativos podrán considerarse segmentos sobre los que deba informarse, en cuyo caso se revelará información separada sobre los mismos, si la dirección estima que ella podría ser útil para los usuarios de los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entidad podrá combinar la información sobre segmentos de operación que no alcancen los umbrales cuantitativos, con la referida a otros segmentos de operación que tampoco lo hagan, para formar un segmento sobre el que deba informarse, sólo si unos y otros segmentos de operación tienen características económicas similares y comparten la mayoría de los criterios de agregación enumerados en el párrafo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el total de los ingresos externos de las actividades ordinarias informados por los segmentos de operación es inferior al 75 por ciento de los ingresos de las actividades ordinarias de la entidad, se identificarán segmentos de operación adicionales sobre los que deba informarse (incluso si éstos no cumplen las condiciones señaladas en el párrafo 13), hasta que no menos del 75 por ciento de los ingresos de las actividades ordinarias de la entidad provenga de segmentos sobre los que deba informarse.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La información relativa a otras actividades de negocio y a los segmentos de operación sobre los que no deba informarse se combinará y se revelará dentro de la categoría “resto de los segmentos” colocándola por separado de otras partidas de conciliación en las conciliaciones requeridas por el párrafo 28. Deberán describirse las fuentes de los ingresos de las actividades ordinarias incluidos en la categoría “resto de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Si la dirección juzgase que un segmento de operación identificado como un segmento sobre el que debió informarse en el período inmediatamente anterior continúa siendo significativo, la información sobre ese segmento seguirá revelándose por separado en el período actual, aunque no cumpla los criterios para informar sobre el mismo que se definen en el párrafo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Si un segmento de operación se identifica como segmento sobre el que debe informarse en el período actual de conformidad con los umbrales cuantitativos, la información segmentada del período anterior presentada a efectos comparativos deberá reexpresarse para contemplar el nuevo segmento sobre el que debe informarse como un segmento separado, incluso cuando ese segmento, en el período anterior, no haya cumplido los criterios para informar sobre el mismo definidos en el párrafo 13, a menos que no se disponga de la información necesaria y su costo de obtención resulte excesivo.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19 En la práctica, podría existir un límite al número de segmentos sobre los que la entidad debe informar por separado, más allá del cual la información segmentada podría ser excesivamente detallada. Aunque no se haya determinado un límite preciso, cuando el número de segmentos sobre los que deba informarse de conformidad con los párrafos 13 a 18 exceda de diez, la entidad debe considerar si se ha alcanzado ese límite.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Una entidad revelará información que permita que los usuarios de sus estados financieros evalúen la naturaleza y los efectos financieros de las actividades de negocio que desarrolla y los entornos económicos en los que opera.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Con el objeto de dar cumplimiento al principio enunciado en el párrafo 20, una entidad revelará la siguiente información para cada período por el que presente un estado del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información general indicada en el párrafo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información sobre el resultado de los segmentos que se presentan, incluyendo los ingresos de las actividades ordinarias y los gastos específicos incluidos en dicho resultado, los activos de los segmentos, los pasivos de ellos y la base de medición, según lo indicado en los párrafos 23 a 27;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conciliaciones entre los totales de los ingresos de las actividades ordinarias de los segmentos, de sus resultados informados, de sus activos, de sus pasivos y de otras partidas significativas de ellos, con los importes correspondientes de la entidad, según lo indicado en el párrafo 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Conciliaciones de los importes en el estado de situación financiera para los segmentos sobre los que debe informarse con los importes en el estado de situación financiera de la entidad que se requieren para cada fecha en la que se presenta este estado. La información sobre periodos anteriores deberá reexpresarse según se describe en los párrafos 29 y 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entidad revelará la siguiente información general: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factores que han servido para identificar los segmentos sobre los que debe informarse, incluyendo la base de organización (por ejemplo, si la dirección ha optado por organizar la entidad según las diferencias entre productos y servicios, por zonas geográficas, por marcos normativos o con arreglo a una combinación de factores, y si se han agregado varios segmentos de operación);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tipos de productos y servicios de los que cada segmento sobre el que se debe informar obtiene sus ingresos de las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Información sobre resultados,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Una entidad informará sobre la medición de los resultados de cada segmento sobre el que deba informar. Una entidad deberá informar sobre la medición de los activos y pasivos totales para cada segmento sobre el que se deba informar, si estos importes se facilitan con regularidad a la máxima autoridad en la toma de decisiones de operación. Una entidad revelará, asimismo, la siguiente información acerca de cada segmento sobre el que deba informar, cuando los importes especificados estén incluidos en la medida del resultado de los segmentos que examina la máxima autoridad en la toma de decisiones de operación, o cuando se le faciliten de otra forma con regularidad, aunque no se incluyan en esa medida del resultado de los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ingresos de actividades ordinarias procedentes de clientes externos;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ingresos de las actividades ordinarias procedentes de transacciones con otros segmentos de operación de la misma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ingresos de actividades ordinarias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gastos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depreciación y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las partidas significativas de ingresos y gastos reveladas de acuerdo con el párrafo 97 de la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la participación de la entidad en el resultado de asociadas y de negocios conjuntos contabilizados según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el gasto o el ingreso por el impuesto sobre las ganancias;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partidas significativas no monetarias distintas de las de depreciación y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 cada segmento sobre el que deba informar, una entidad deberá informar sobre los ingresos por intereses separadamente de los gastos por intereses, salvo cuando la mayor parte de los ingresos de las actividades ordinarias del segmento proceda de intereses y la máxima autoridad en la toma de decisiones de operación evalúe el rendimiento del segmento y decida acerca de los recursos que deben asignársele teniendo en consideración, ante todo, los ingresos netos por intereses. En tal caso, una entidad podrá informar los ingresos por intereses de ese segmento netos de sus gastos por intereses, indicando esta circunstancia.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24 Una entidad revelará la siguiente información respecto de cada segmento sobre el que deba informar, siempre que los importes especificados se incluyan en la medida de los activos de los segmentos que examina la máxima autoridad en la toma de decisiones de </w:t>
      </w:r>
      <w:r w:rsidRPr="00401DFF">
        <w:rPr>
          <w:rFonts w:ascii="Times New Roman" w:eastAsia="Times New Roman" w:hAnsi="Times New Roman" w:cs="Times New Roman"/>
          <w:sz w:val="24"/>
          <w:szCs w:val="24"/>
          <w:lang w:eastAsia="es-CO"/>
        </w:rPr>
        <w:lastRenderedPageBreak/>
        <w:t>operación, o se le faciliten de otra forma con regularidad, aunque no se incluyan en la medida de los activos de los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de las inversiones en asociadas y en los negocios conjuntos que se contabilicen según el método de la participación,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de las adiciones de activos no corrientes</w:t>
      </w:r>
      <w:hyperlink r:id="rId97" w:anchor="bf1b35de0b239d243f4af511524ba7d7619nf9" w:tgtFrame="_self" w:history="1">
        <w:r w:rsidRPr="00401DFF">
          <w:rPr>
            <w:rFonts w:ascii="Times New Roman" w:eastAsia="Times New Roman" w:hAnsi="Times New Roman" w:cs="Times New Roman"/>
            <w:color w:val="0000FF"/>
            <w:sz w:val="20"/>
            <w:szCs w:val="20"/>
            <w:u w:val="single"/>
            <w:vertAlign w:val="superscript"/>
            <w:lang w:eastAsia="es-CO"/>
          </w:rPr>
          <w:t>(92)</w:t>
        </w:r>
      </w:hyperlink>
      <w:r w:rsidRPr="00401DFF">
        <w:rPr>
          <w:rFonts w:ascii="Times New Roman" w:eastAsia="Times New Roman" w:hAnsi="Times New Roman" w:cs="Times New Roman"/>
          <w:sz w:val="24"/>
          <w:szCs w:val="24"/>
          <w:lang w:eastAsia="es-CO"/>
        </w:rPr>
        <w:t xml:space="preserve"> que no sean instrumentos financieros, activos por impuestos diferidos, activos de beneficios definidos (véase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 xml:space="preserve"> y derechos derivados de contratos de seguros.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El importe de cada partida presentada por los segmentos se corresponderá con la medida informada a la máxima autoridad en la toma de decisiones de operación con el objeto de decidir sobre la asignación de recursos al segmento y evaluar su rendimiento. Los ajustes y eliminaciones efectuados en la elaboración de los estados financieros de una entidad, así como la asignación de los ingresos de las actividades ordinarias, gastos, y pérdidas o ganancias sólo se tendrán en cuenta al determinar las pérdidas o ganancias a presentar por los segmentos cuando se incluyan en la medida de los resultados del segmento utilizados por la máxima autoridad en la toma de decisiones de operación. De forma similar, sólo se informarán, en relación con un determinado segmento, los activos y pasivos que se incluyan en la medida de los activos y pasivos de ese segmento utilizados por la máxima autoridad en la toma de decisiones de operación. Si se asignasen importes a los resultados, activos o pasivos presentados por los segmentos, deberá hacérselo con un criterio razonable de reparto.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Si la máxima autoridad en la toma de decisiones de operación sólo utilizase una medida del resultado de un segmento de operación o de los activos o pasivos del mismo al evaluar el rendimiento de los segmentos y decidir sobre la asignación de recursos, los resultados, los activos y los pasivos de los segmentos se presentarán con arreglo a esas medidas. Si la máxima autoridad en la toma de decisiones de operación utilizase más de una medida de los resultados de un segmento de operación o de los activos o pasivos del mismo, las medidas sobre las que se informe serán las que la dirección considere que se hayan obtenido con arreglo a los principios de medición más coherentes con los utilizados en la medición de los importes correspondientes de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Para cada segmento sobre el que deba informar, una entidad explicará las mediciones de los resultados, los activos y los pasivos del segmento. Como mínimo,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criterios de contabilización de cualesquiera transacciones entre los segmentos sobre los que deba informar.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La naturaleza de cualesquiera diferencias entre las mediciones de los resultados de los segmentos sobre los que deba informar y los resultados de la entidad, antes de tener en cuenta el gasto o ingreso por el impuesto sobre las ganancias y las operaciones discontinuadas (si no se deducen claramente de las conciliaciones indicadas en el párrafo 28). Estas diferencias podrían incluir las políticas contables y los métodos de asignación de </w:t>
      </w:r>
      <w:r w:rsidRPr="00401DFF">
        <w:rPr>
          <w:rFonts w:ascii="Times New Roman" w:eastAsia="Times New Roman" w:hAnsi="Times New Roman" w:cs="Times New Roman"/>
          <w:sz w:val="24"/>
          <w:szCs w:val="24"/>
          <w:lang w:eastAsia="es-CO"/>
        </w:rPr>
        <w:lastRenderedPageBreak/>
        <w:t>los costos centralizados que resulten necesarios para la comprensión de la información segmentada proporcionada.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naturaleza de cualesquiera diferencias entre las mediciones de los activos de los segmentos sobre los que deba informar y los activos de la entidad (si no aparecen claramente en las conciliaciones indicadas en el párrafo 28). Estas diferencias podrían incluir las políticas contables y los métodos de asignación de activos utilizados conjuntamente que resulten necesarios para la comprensión de la información segmentada proporcionada.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naturaleza de cualesquiera diferencias entre las mediciones de los pasivos de los segmentos sobre los que deba informar y los pasivos de la entidad (si no aparecen claramente en las conciliaciones indicadas en el párrafo 28). Estas diferencias podrían incluir las políticas contables y los métodos de asignación de pasivos utilizados conjuntamente que resulten necesarios para la comprensión de la información segmentada proporcionada.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naturaleza de cualesquiera cambios con respecto a períodos anteriores en los métodos de medición empleados para determinar los resultados presentados por los segmentos y, en su caso, el efecto de tales cambios en la medida de los resultados de los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 naturaleza y el efecto de cualesquiera asignaciones asimétricas a los segmentos sobre los que deba informar. Por ejemplo, una entidad podría asignar gastos por depreciación a un segmento sin asignarle los correspondientes activos depreciables.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Conciliaciones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facilitará todas las conciliaciones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total de los ingresos de las actividades ordinarias de los segmentos sobre los que deba informar con los ingresos de las actividades ordinarias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total de la medida de los resultados de los segmentos sobre los que deba informar con los resultados de la entidad, antes de tener en cuenta el gasto (ingreso) por impuestos y las operaciones discontinuadas. No obstante, si una entidad asignase a segmentos sobre los que deba informar partidas tales como el gasto (ingreso) por impuestos, podrá conciliar el total de la medida de los resultados de los segmentos con los resultados de la entidad después de tener en cuenta tales 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total de los activos de los segmentos sobre los que deba informar con los activos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total de los pasivos de los segmentos sobre los que deba informar con los pasivos de la entidad, cuando los pasivos de los segmentos se presentan con arreglo al párrafo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El total de los importes de cualquier otra partida significativa presentada por los segmentos sobre los que deba informar con el correspondiente importe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Todas las partidas significativas de conciliación se identificarán y describirán por separado. Por ejemplo, se identificará y describirá por separado el importe de todo ajuste significativo que resulte necesario para conciliar los resultados de los segmentos sobre los que deba informar con los resultados de la entidad, que tenga su origen en la aplicación de diferentes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Reexpresión de información presentada anteriormente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Si una entidad modificase la estructura de su organización interna, de tal modo que la composición de los segmentos sobre los que deba informarse se viera modificada, la información correspondiente de períodos anteriores, incluidos los períodos intermedios, deberá reexpresarse, salvo cuando no se disponga de la información necesaria y su costo de obtención resulte excesivo. La determinación acerca de si la información no está disponible y su costo de obtención es excesivo deberá efectuarse con referencia a cada partida individual de información a revelar. Tras una modificación de la composición de los segmentos de una entidad sobre los que deba informar, una entidad deberá revelar si ha reexpresado la correspondiente información segmentada de períodos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Si una entidad ha modificado la estructura de su organización interna de tal modo que la composición de los segmentos sobre los que deba informar se haya visto modificada y la información segmentada de períodos anteriores, incluidos los períodos intermedios, no se ha reexpresado para reflejar la modificación, la entidad, en el período en que se produzca dicha modificación, revelará la información segmentada del período actual con arreglo tanto al criterio de segmentación anterior como al nuevo, salvo cuando no se disponga de la información necesaria y su costo de obtención resulte excesivo.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 sobre la entidad en su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Los párrafos 32 a 34 se aplican a todas las entidades sujetas a la presente NIIF, incluidas aquéllas con un solo segmento sobre el que se deba informar. Las actividades de negocio de algunas entidades no están organizadas en función de sus diferentes productos o servicios ni en función de las diferentes áreas geográficas en las que operan. Es posible que los segmentos sobre los que deba informar una entidad presenten los ingresos de las actividades ordinarias procedentes de una amplia gama de productos y servicios muy distintos o que varios de tales segmentos ofrezcan esencialmente los mismos productos y servicios. De forma similar, puede ocurrir que los segmentos sobre los que deba informar una entidad tengan activos en distintas áreas geográficas y presenten ingresos de las actividades ordinarias procedentes de clientes de distintas áreas geográficas o que varios de tales segmentos operen en la misma área geográfica. La información exigida en los párrafos 32 a 34 sólo se facilitará si no está ya contenida en la información exigida por esta NIIF en relación con los segmentos sobre los que deba informar.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productos y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32 Una entidad revelará los ingresos de las actividades ordinarias procedentes de clientes externos por cada producto y servicio, o por cada grupo de productos y servicios similares, salvo cuando no se disponga de la información necesaria y su costo de obtención resulte excesivo, en cuyo caso se indicará este hecho. Los importes de los ingresos de las actividades ordinarias presentados se basarán en la información financiera utilizada en la elaboración de los estados financieros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áreas geográficas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Una entidad revelará la siguiente información geográfica, salvo cuando no se disponga de la información necesaria y su costo de obtención resulte excesivo: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ingresos de las actividades ordinarias procedentes de clientes externos (i) atribuidos al país de domicilio de la entidad y (ii) atribuidos, en total, a todos los países extranjeros en los que la entidad obtenga ingresos de las actividades ordinarias. Cuando los ingresos de las actividades ordinarias procedentes de clientes externos atribuidos a un país extranjero en particular sean significativos, se los revelará por separado. Una entidad revelará los criterios de asignación, a los distintos países, de los ingresos de las actividades ordinarias procedentes de clientes externos.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no corrientes</w:t>
      </w:r>
      <w:hyperlink r:id="rId98" w:anchor="bf10c82b445c6bf420794190f846d287922nf9" w:tgtFrame="_self" w:history="1">
        <w:r w:rsidRPr="00401DFF">
          <w:rPr>
            <w:rFonts w:ascii="Times New Roman" w:eastAsia="Times New Roman" w:hAnsi="Times New Roman" w:cs="Times New Roman"/>
            <w:color w:val="0000FF"/>
            <w:sz w:val="20"/>
            <w:szCs w:val="20"/>
            <w:u w:val="single"/>
            <w:vertAlign w:val="superscript"/>
            <w:lang w:eastAsia="es-CO"/>
          </w:rPr>
          <w:t>(93)</w:t>
        </w:r>
      </w:hyperlink>
      <w:r w:rsidRPr="00401DFF">
        <w:rPr>
          <w:rFonts w:ascii="Times New Roman" w:eastAsia="Times New Roman" w:hAnsi="Times New Roman" w:cs="Times New Roman"/>
          <w:sz w:val="24"/>
          <w:szCs w:val="24"/>
          <w:lang w:eastAsia="es-CO"/>
        </w:rPr>
        <w:t xml:space="preserve"> que no sean instrumentos financieros, activos por impuestos diferidos, activos correspondientes a beneficios post-empleo y derechos derivados de contratos de seguros, (i) localizados en el país de domicilio de la entidad y (ii) localizados, en total, en todos los países extranjeros donde la entidad tenga activos. Cuando los activos en un país extranjero en particular sean significativos, se los revelará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importes informados se determinarán con arreglo a la información financiera utilizada en la elaboración de los estados financieros de la entidad. Cuando no se disponga de la información necesaria y su costo de obtención resultase excesivo, se revelará este hecho. Una entidad podrá facilitar, además de la información exigida en este párrafo, subtotales correspondientes a la información geográfica por grupos de países.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sobre los principales clientes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34 Una entidad facilitará información sobre el grado en que dependa de sus principales clientes. Si los ingresos de las actividades ordinarias procedentes de transacciones con un solo cliente externo representan el 10 por ciento o más de sus ingresos de las actividades ordinarias, la entidad revelará este hecho, así como el total de los ingresos de las actividades ordinarias procedentes de cada uno de estos clientes y la identidad del segmento o segmentos que proporcionan esos ingresos. La entidad no necesitará revelar la identidad de los clientes importantes o el importe de los ingresos de las actividades ordinarias que presenta cada segmento por ese cliente. A efectos de esta NIIF, un grupo de entidades sobre las que la entidad que informa conoce que están bajo control común se considerará como un único cliente. Sin embargo, se requiere juicio para evaluar si un gobierno (incluyendo agencias gubernamentales y organismos similares ya sean internacionales, nacionales o locales) y las entidades que la entidad que informa conoce que están bajo el control de ese </w:t>
      </w:r>
      <w:r w:rsidRPr="00401DFF">
        <w:rPr>
          <w:rFonts w:ascii="Times New Roman" w:eastAsia="Times New Roman" w:hAnsi="Times New Roman" w:cs="Times New Roman"/>
          <w:sz w:val="24"/>
          <w:szCs w:val="24"/>
          <w:lang w:eastAsia="es-CO"/>
        </w:rPr>
        <w:lastRenderedPageBreak/>
        <w:t>gobierno se consideran como un único cliente. Al evaluar esto, la entidad que informa considerará el alcance de la integración económica entre esas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 y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Una entidad aplicará esta NIIF en los períodos anuales que comiencen a partir del 1 de enero de 2009. Se permite su aplicación anticipada. Si una entidad aplicase la NIIF para periodos que comiencen con anterioridad al 1 de enero de 2009,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35A </w:t>
      </w:r>
      <w:r w:rsidRPr="00401DFF">
        <w:rPr>
          <w:rFonts w:ascii="Times New Roman" w:eastAsia="Times New Roman" w:hAnsi="Times New Roman" w:cs="Times New Roman"/>
          <w:i/>
          <w:iCs/>
          <w:sz w:val="24"/>
          <w:szCs w:val="24"/>
          <w:lang w:eastAsia="es-CO"/>
        </w:rPr>
        <w:t>Mejoras a las NIIF</w:t>
      </w:r>
      <w:r w:rsidRPr="00401DFF">
        <w:rPr>
          <w:rFonts w:ascii="Times New Roman" w:eastAsia="Times New Roman" w:hAnsi="Times New Roman" w:cs="Times New Roman"/>
          <w:sz w:val="24"/>
          <w:szCs w:val="24"/>
          <w:lang w:eastAsia="es-CO"/>
        </w:rPr>
        <w:t xml:space="preserve"> emitido en abril de 2009, modificó el párrafo 23. Una entidad aplicará esa modificación para los periodos anuales que comiencen a partir del 1 de enero de 2010. Se permite su aplicación anticipada. Si una entidad aplicase la modificación en un periodo que comience con anterioridad,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La información segmentada de periodos anteriores que se revele a efectos comparativos con respecto al periodo inicial de aplicación (incluyendo la aplicación de la modificación del párrafo 23 realizada en abril de 2009), deberá reexpresarse de tal forma que cumpla los requerimientos de esta NIIF, salvo que no se disponga de la información necesaria y su costo de obtención resulte excesivo.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36A La NIC 1 (revisada en 2007) modificó la terminología utilizada en las NIIF. Además, modificó el párrafo 23(f).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36B La NIC 24 </w:t>
      </w:r>
      <w:r w:rsidRPr="00401DFF">
        <w:rPr>
          <w:rFonts w:ascii="Times New Roman" w:eastAsia="Times New Roman" w:hAnsi="Times New Roman" w:cs="Times New Roman"/>
          <w:i/>
          <w:iCs/>
          <w:sz w:val="24"/>
          <w:szCs w:val="24"/>
          <w:lang w:eastAsia="es-CO"/>
        </w:rPr>
        <w:t xml:space="preserve">Información a Revelar sobre Partes Relacionadas </w:t>
      </w:r>
      <w:r w:rsidRPr="00401DFF">
        <w:rPr>
          <w:rFonts w:ascii="Times New Roman" w:eastAsia="Times New Roman" w:hAnsi="Times New Roman" w:cs="Times New Roman"/>
          <w:sz w:val="24"/>
          <w:szCs w:val="24"/>
          <w:lang w:eastAsia="es-CO"/>
        </w:rPr>
        <w:t>(revisada en 2009) modificó el párrafo 34 para los periodos anuales que comience a partir del 1 de enero de 2011. Si una entidad aplica la NIC 24 (revisada en 2009) a un periodo anterior, la modificación del párrafo 34 se aplicará también a ese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la NIC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37 Esta NIIF sustituye a la NIC 14 </w:t>
      </w:r>
      <w:r w:rsidRPr="00401DFF">
        <w:rPr>
          <w:rFonts w:ascii="Times New Roman" w:eastAsia="Times New Roman" w:hAnsi="Times New Roman" w:cs="Times New Roman"/>
          <w:i/>
          <w:iCs/>
          <w:sz w:val="24"/>
          <w:szCs w:val="24"/>
          <w:lang w:eastAsia="es-CO"/>
        </w:rPr>
        <w:t>Información Financiera por Segmentos.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Definición de término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2150" w:type="pct"/>
        <w:jc w:val="center"/>
        <w:tblCellSpacing w:w="0" w:type="dxa"/>
        <w:tblCellMar>
          <w:left w:w="0" w:type="dxa"/>
          <w:right w:w="0" w:type="dxa"/>
        </w:tblCellMar>
        <w:tblLook w:val="04A0" w:firstRow="1" w:lastRow="0" w:firstColumn="1" w:lastColumn="0" w:noHBand="0" w:noVBand="1"/>
      </w:tblPr>
      <w:tblGrid>
        <w:gridCol w:w="1605"/>
        <w:gridCol w:w="2195"/>
      </w:tblGrid>
      <w:tr w:rsidR="00401DFF" w:rsidRPr="00401DFF" w:rsidTr="00401DFF">
        <w:trPr>
          <w:tblCellSpacing w:w="0" w:type="dxa"/>
          <w:jc w:val="center"/>
        </w:trPr>
        <w:tc>
          <w:tcPr>
            <w:tcW w:w="321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Segmentos de operación (operating segment)</w:t>
            </w:r>
          </w:p>
        </w:tc>
        <w:tc>
          <w:tcPr>
            <w:tcW w:w="502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segmento de operación es un componente de una entidad:</w:t>
            </w:r>
            <w:r w:rsidRPr="00401DFF">
              <w:rPr>
                <w:rFonts w:ascii="Times New Roman" w:eastAsia="Times New Roman" w:hAnsi="Times New Roman" w:cs="Times New Roman"/>
                <w:sz w:val="24"/>
                <w:szCs w:val="24"/>
                <w:lang w:eastAsia="es-CO"/>
              </w:rPr>
              <w:br/>
              <w:t xml:space="preserve">(a) que desarrolla actividades de negocio </w:t>
            </w:r>
            <w:r w:rsidRPr="00401DFF">
              <w:rPr>
                <w:rFonts w:ascii="Times New Roman" w:eastAsia="Times New Roman" w:hAnsi="Times New Roman" w:cs="Times New Roman"/>
                <w:sz w:val="24"/>
                <w:szCs w:val="24"/>
                <w:lang w:eastAsia="es-CO"/>
              </w:rPr>
              <w:lastRenderedPageBreak/>
              <w:t>de las que puede obtener ingresos de las actividades ordinarias e incurrir en gastos (incluidos los ingresos de las actividades ordinarias y los gastos por transacciones con otros componentes de la misma entidad),</w:t>
            </w:r>
            <w:r w:rsidRPr="00401DFF">
              <w:rPr>
                <w:rFonts w:ascii="Times New Roman" w:eastAsia="Times New Roman" w:hAnsi="Times New Roman" w:cs="Times New Roman"/>
                <w:sz w:val="24"/>
                <w:szCs w:val="24"/>
                <w:lang w:eastAsia="es-CO"/>
              </w:rPr>
              <w:br/>
              <w:t>(b) cuyos resultados de operación son revisados de forma regular por la máxima autoridad en la toma de decisiones de operación de la entidad, para decidir sobre los recursos que deben asignarse al segmento y evaluar su rendimiento; y</w:t>
            </w:r>
            <w:r w:rsidRPr="00401DFF">
              <w:rPr>
                <w:rFonts w:ascii="Times New Roman" w:eastAsia="Times New Roman" w:hAnsi="Times New Roman" w:cs="Times New Roman"/>
                <w:sz w:val="24"/>
                <w:szCs w:val="24"/>
                <w:lang w:eastAsia="es-CO"/>
              </w:rPr>
              <w:br/>
              <w:t>(c) sobre el cual se dispone de información financiera diferenciada.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(92) Para activos clasificados de acuerdo con la presentación en función del grado de liquidez, los activos no corrientes son aquéllos que incluyen importes que se esperen recuperar en más de doce meses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(93) Para activos clasificados de acuerdo con la presentación en función del grado de liquidez, los activos no corrientes son aquéllos que incluyen importes que se esperen recuperar en más de doce meses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1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El objetivo de esta NIIF es establecer los principios para la información financiera sobre </w:t>
      </w:r>
      <w:r w:rsidRPr="00401DFF">
        <w:rPr>
          <w:rFonts w:ascii="Times New Roman" w:eastAsia="Times New Roman" w:hAnsi="Times New Roman" w:cs="Times New Roman"/>
          <w:i/>
          <w:iCs/>
          <w:sz w:val="24"/>
          <w:szCs w:val="24"/>
          <w:lang w:eastAsia="es-CO"/>
        </w:rPr>
        <w:t>activos financieros</w:t>
      </w:r>
      <w:r w:rsidRPr="00401DFF">
        <w:rPr>
          <w:rFonts w:ascii="Times New Roman" w:eastAsia="Times New Roman" w:hAnsi="Times New Roman" w:cs="Times New Roman"/>
          <w:sz w:val="24"/>
          <w:szCs w:val="24"/>
          <w:lang w:eastAsia="es-CO"/>
        </w:rPr>
        <w:t xml:space="preserve"> y </w:t>
      </w:r>
      <w:r w:rsidRPr="00401DFF">
        <w:rPr>
          <w:rFonts w:ascii="Times New Roman" w:eastAsia="Times New Roman" w:hAnsi="Times New Roman" w:cs="Times New Roman"/>
          <w:i/>
          <w:iCs/>
          <w:sz w:val="24"/>
          <w:szCs w:val="24"/>
          <w:lang w:eastAsia="es-CO"/>
        </w:rPr>
        <w:t>pasivo financieros</w:t>
      </w:r>
      <w:r w:rsidRPr="00401DFF">
        <w:rPr>
          <w:rFonts w:ascii="Times New Roman" w:eastAsia="Times New Roman" w:hAnsi="Times New Roman" w:cs="Times New Roman"/>
          <w:sz w:val="24"/>
          <w:szCs w:val="24"/>
          <w:lang w:eastAsia="es-CO"/>
        </w:rPr>
        <w:t xml:space="preserve"> de forma que presente información útil y relevante para los usuarios de los estados financieros para la evaluación de los importes, calendario e incertidumbre de los flujos de efectivo futuros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2 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2.1 Una entidad aplicará esta NIIF a todas las partidas dentro del alcance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3 Reconocimiento y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3.1.1 Una entidad reconocerá un activo financiero o un pasivo financiero en su estado de situación financiera cuando, y sólo cuando, se convierta en parte de las cláusulas contractuales del instrumento (véanse los párrafos B3.1.1 y B3.1.2). Cuando una entidad reconozca por primera vez un activo financiero, lo clasificará de acuerdo con los párrafos 4.1.1 a 4.1.5 y lo medirá de acuerdo con los párrafos 5.1.1 y 5.1.2. Cuando una entidad reconozca por primera vez un pasivo financiero, lo clasificará de acuerdo con los párrafos 4.2.1 y 4.2.2 y lo medirá de acuerdo con el párrafo 5.1.1.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Compra o venta convencional de un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3.1.2 Una</w:t>
      </w:r>
      <w:r w:rsidRPr="00401DFF">
        <w:rPr>
          <w:rFonts w:ascii="Times New Roman" w:eastAsia="Times New Roman" w:hAnsi="Times New Roman" w:cs="Times New Roman"/>
          <w:b/>
          <w:bCs/>
          <w:i/>
          <w:iCs/>
          <w:sz w:val="24"/>
          <w:szCs w:val="24"/>
          <w:lang w:eastAsia="es-CO"/>
        </w:rPr>
        <w:t xml:space="preserve"> compra o venta convencional</w:t>
      </w:r>
      <w:r w:rsidRPr="00401DFF">
        <w:rPr>
          <w:rFonts w:ascii="Times New Roman" w:eastAsia="Times New Roman" w:hAnsi="Times New Roman" w:cs="Times New Roman"/>
          <w:b/>
          <w:bCs/>
          <w:sz w:val="24"/>
          <w:szCs w:val="24"/>
          <w:lang w:eastAsia="es-CO"/>
        </w:rPr>
        <w:t xml:space="preserve"> de activos financieros se reconocerá y dará de baja, según corresponda, aplicando la contabilidad de la fecha de contratación o la de la fecha de liquidación (véanse los párrafos B3.1.3 a B3.1.6).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 Baja en cuentas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3.2.1 En los estados financieros consolidados, los párrafos 3.2.2 a 3.2.9, B3.1.1, B3.1.2 y B3.2.1 a B3.2.17 se aplicarán a nivel consolidado. Por lo tanto, una entidad primero consolidará todas las subsidiarias de acuerdo con la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y después aplicará dichos párrafos al grupo resultante.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3.2.2 Antes de evaluar si, y en qué medida, la </w:t>
      </w:r>
      <w:r w:rsidRPr="00401DFF">
        <w:rPr>
          <w:rFonts w:ascii="Times New Roman" w:eastAsia="Times New Roman" w:hAnsi="Times New Roman" w:cs="Times New Roman"/>
          <w:b/>
          <w:bCs/>
          <w:i/>
          <w:iCs/>
          <w:sz w:val="24"/>
          <w:szCs w:val="24"/>
          <w:lang w:eastAsia="es-CO"/>
        </w:rPr>
        <w:t>baja en cuentas</w:t>
      </w:r>
      <w:r w:rsidRPr="00401DFF">
        <w:rPr>
          <w:rFonts w:ascii="Times New Roman" w:eastAsia="Times New Roman" w:hAnsi="Times New Roman" w:cs="Times New Roman"/>
          <w:b/>
          <w:bCs/>
          <w:sz w:val="24"/>
          <w:szCs w:val="24"/>
          <w:lang w:eastAsia="es-CO"/>
        </w:rPr>
        <w:t xml:space="preserve"> es adecuada según los párrafos 3.2.3 a 3.2.9, una entidad determinará si estos párrafos se deben aplicar a una parte o a la totalidad de un activo financiero (o una parte de un grupo de activos financieros similares),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Los párrafos 3.2.3 a 3.2.9 se aplicarán a una parte del activo financiero (o de un grupo de activos financieros similares) si, y solo si, la parte del activo que se considera para la baja en cuentas cumple alguna de las tres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parte abarca únicamente flujos de efectivo específicamente identificados de un activo financiero (o de un grupo de activos financieros similares). Por ejemplo, cuando una entidad realice una segregación de un importe representativo del interés que otorgue a la contraparte el derecho de recibir los flujos de efectivo por intereses pero no los flujos de efectivo derivados del principal de un instrumento de deuda, los párrafos 3.2.3 a 3.2.9 se aplicarán a los flujos de efectivo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 La parte comprende solo una participación proporcional completa (prorrata) de los flujos de efectivo del activo financiero (o del grupo de activos financieros </w:t>
      </w:r>
      <w:r w:rsidRPr="00401DFF">
        <w:rPr>
          <w:rFonts w:ascii="Times New Roman" w:eastAsia="Times New Roman" w:hAnsi="Times New Roman" w:cs="Times New Roman"/>
          <w:b/>
          <w:bCs/>
          <w:sz w:val="24"/>
          <w:szCs w:val="24"/>
          <w:lang w:eastAsia="es-CO"/>
        </w:rPr>
        <w:lastRenderedPageBreak/>
        <w:t>similares). Por ejemplo, cuando una entidad realice un acuerdo por el que la contraparte obtenga el derecho a una cuota del 90 por ciento de los flujos de efectivo totales de un instrumento de deuda, los párrafos 3.2.3 a 3.2.9 se aplicarán al 90 por ciento de dichos flujos de efectivo. Si existiese más de una contraparte, no se requiere que cada una de ellas tenga una participación proporcional en los flujos de efectivo, siempre que la entidad que transfiere tenga una participación proporcional completa.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La parte comprende una cuota proporcional completa (prorrata) de flujos de efectivo específicamente identificados del activo financiero (o del grupo de activos financieros similares). Por ejemplo, cuando una entidad realice un acuerdo por el que la contraparte obtenga el derecho a una cuota del 90 por ciento de los flujos de efectivo por intereses totales de un activo financiero, los párrafos 3.2.3 a 3.2.9 se aplicarán al 90 por ciento de dichos flujos de efectivo por intereses. Si existiese más de una contraparte, no se requiere que cada una de ellas tenga una participación proporcional en los flujos de efectivo específicamente identificados, siempre que la entidad que transfiere tenga una participación proporcional completa.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En cualquier otro caso, los párrafos 3.2.3 a 3.2.9 se aplicarán al activo financiero en su integridad (o al grupo de activos financieros similares en su integridad). Por ejemplo, cuando una entidad transfiera (i) el derecho al primer o al último 90 por ciento de los cobros de un activo financiero (o de un grupo de activos financieros), o (ii) el derecho al 90 por ciento de los flujos de efectivo de un grupo de cuentas por cobrar, pero otorgue una garantía para compensar al comprador por las pérdidas crediticias hasta el 8 por ciento del principal de las cuentas por cobrar, los párrafos 3.2.3 a 3.2.9 se aplicarán en su integridad al activo financiero (o al grupo de activos financieros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 los párrafos 3.2.3 a 3.2.12, el término “activo financiero” se refiere tanto a una parte de un activo financiero (o a una parte de un grupo de activos financieros similares), tal como se identifica en el apartado (a) anterior, como a un activo financiero (o a un grupo de activos financieros similares) en su integridad.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3.2.3 Una entidad dará de baja en cuentas un activo financiero cuando, y sólo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expiren los derechos contractuales sobre los flujos de efectivo del activo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se transfiera el activo financiero, como establecen los párrafos 3.2.4 y 3.2.5 y la transferencia cumpla con los requisitos para la baja en cuentas, de acuerdo con el párrafo 3.2.6.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(Véase el párrafo 3.1.2 para ventas convencionales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3.2.4 Una entidad habrá transferido un activo financiero si, y solo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ha transferido los derechos contractuales a recibir los flujos de efectivo de un activo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retiene los derechos contractuales a recibir los flujos de efectivo del activo financiero, pero asume la obligación contractual de pagarlos a uno o más perceptores, dentro de un acuerdo que cumpla las condiciones establecidas en el párrafo 3.2.5.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3.2.5 Cuando una entidad retenga los derechos contractuales a recibir los flujos de efectivo de un activo financiero (el “activo original”), pero asuma la obligación contractual de pagarlos a una o más entidades (los “perceptores posibles”), la entidad tratará la operación como si fuese una transferencia de activos financieros si, y solo si, se cumplen las tres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entidad no está obligada a pagar ningún importe a los perceptores posibles, a menos que cobre importes equivalentes del activo original. Los anticipos a corto plazo hechos por la entidad, con el derecho a la recuperación total del importe más el interés acumulado (devengado) a tasas de mercado, no violan esta condición.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entidad tiene prohibido, según las condiciones del contrato de transferencia, la venta o la pignoración del activo original, excepto como garantía con los perceptores posibles de la obligación de pagarles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La entidad tiene una obligación de remitir sin retraso significativo cualquier flujo de efectivo que cobre en nombre de los perceptores posibles. Además, la entidad no está facultada para reinvertir los flujos de efectivo, excepto en inversiones en efectivo o equivalentes al efectivo (tal como están definidas en la NIC 7 </w:t>
      </w:r>
      <w:r w:rsidRPr="00401DFF">
        <w:rPr>
          <w:rFonts w:ascii="Times New Roman" w:eastAsia="Times New Roman" w:hAnsi="Times New Roman" w:cs="Times New Roman"/>
          <w:b/>
          <w:bCs/>
          <w:i/>
          <w:iCs/>
          <w:sz w:val="24"/>
          <w:szCs w:val="24"/>
          <w:lang w:eastAsia="es-CO"/>
        </w:rPr>
        <w:t>Estados de Flujos de Efectivo)</w:t>
      </w:r>
      <w:r w:rsidRPr="00401DFF">
        <w:rPr>
          <w:rFonts w:ascii="Times New Roman" w:eastAsia="Times New Roman" w:hAnsi="Times New Roman" w:cs="Times New Roman"/>
          <w:b/>
          <w:bCs/>
          <w:sz w:val="24"/>
          <w:szCs w:val="24"/>
          <w:lang w:eastAsia="es-CO"/>
        </w:rPr>
        <w:t xml:space="preserve"> durante el corto periodo de liquidación que va desde la fecha de cobro a la fecha de remisión pactada con los perceptores posibles, y los intereses generados por dichas inversiones se entregarán a los perceptores posibles.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3.2.6 Cuando una entidad transfiera un activo financiero (véase el párrafo 3.2.4), evaluará en qué medida retiene los riesgos y las recompensas inherentes a su propiedad. En este caso: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la entidad transfiere de forma sustancial los riesgos y recompensas inherentes a la propiedad del activo financiero, lo dará de baja en cuentas y reconocerá separadamente, como activos o pasivos, cualesquiera derechos y obligaciones creados o retenidos en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la entidad retiene de forma sustancial los riesgos y recompensas inherentes a la propiedad de un activo financiero, continuará reconociéndolo.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Si la entidad no transfiere ni retiene de forma sustancial todos los riesgos y recompensas inherentes a la propiedad del activo financiero, determinará si ha retenido el control sobre el activo financiero. En este caso: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 Si la entidad no ha retenido el control, dará de baja el activo financiero y reconocerá por separado, como activos o pasivos, cualesquiera derechos u obligaciones creados o retenidos por efecto de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Si la entidad ha retenido el control, continuará reconociendo el activo financiero en la medida de su implicación continuada en el activo financiero (véase el párrafo 3.2.16).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3.2.7 La transferencia de riesgos y recompensas (véase el párrafo 3.2.6) se evaluará comparando la exposición de la entidad, antes y después de la transferencia, a la variación en los importes y en el calendario de los flujos de efectivo netos del activo transferido. Una entidad ha retenido de manera sustancial todos los riesgos y recompensas inherentes a la propiedad de un activo financiero, si su exposición a la variación en el valor presente de los flujos de efectivo futuros netos del mismo no varía de forma significativa como resultado de la transferencia (por ejemplo, porque la entidad ha vendido un activo financiero sujeto a un acuerdo para la recompra a un precio fijo o al precio de venta más la rentabilidad habitual de un prestamista). Una entidad ha transferido de forma sustancial los riesgos y recompensas inherentes a la propiedad de un activo financiero si su exposición a tal variabilidad deja de ser significativa en relación con la variabilidad total del valor presente de los flujos de efectivo futuros netos asociados con el activo financiero (por ejemplo, porque la entidad ha vendido un activo financiero sujeto sólo a una opción de recompra por su </w:t>
      </w:r>
      <w:r w:rsidRPr="00401DFF">
        <w:rPr>
          <w:rFonts w:ascii="Times New Roman" w:eastAsia="Times New Roman" w:hAnsi="Times New Roman" w:cs="Times New Roman"/>
          <w:i/>
          <w:iCs/>
          <w:sz w:val="24"/>
          <w:szCs w:val="24"/>
          <w:lang w:eastAsia="es-CO"/>
        </w:rPr>
        <w:t>valor razonable</w:t>
      </w:r>
      <w:r w:rsidRPr="00401DFF">
        <w:rPr>
          <w:rFonts w:ascii="Times New Roman" w:eastAsia="Times New Roman" w:hAnsi="Times New Roman" w:cs="Times New Roman"/>
          <w:sz w:val="24"/>
          <w:szCs w:val="24"/>
          <w:lang w:eastAsia="es-CO"/>
        </w:rPr>
        <w:t xml:space="preserve"> en el momento de ejercerla o ha transferido una parte proporcional completa de los flujos de efectivo de un activo financiero mayor en un acuerdo, tal como la subparticipación en un préstamo, que cumpla las condiciones del párrafo 3.2.5).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3.2.8 A menudo resultará obvio si la entidad ha transferido o retenido de forma sustancial todos los riesgos y recompensas inherentes a la propiedad, y no habrá necesidad de realizar ningún cálculo. En otros casos, será necesario calcular y comparar la exposición de la entidad a la variabilidad en el valor presente de los flujos de efectivo futuros netos, antes y después de la transferencia. El cálculo y la comparación se realizarán utilizando como tasa de descuento una tasa de interés de mercado actual que sea adecuada. Se considerará cualquier tipo de variación en los flujos de efectivo netos, dando mayor ponderación a aquellos escenarios con mayor probabilidad de que ocurran.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3.2.9 El que la entidad haya retenido o no el control [véase el párrafo 3.2.6(c)] del activo transferido, dependerá de la capacidad del receptor de la transferencia para venderlo. Si el receptor de la transferencia tiene la capacidad práctica de venderlo en su integridad a una tercera parte no relacionada, y es capaz de ejercerla unilateralmente y sin necesidad de imponer restricciones adicionales sobre la transferencia, la entidad no ha retenido el control. En cualquier otro caso, la entidad ha retenido 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que cumplen los requisitos para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3.2.10 Si una entidad transfiere un activo financiero, en una transferencia que cumple los requisitos para la baja en cuentas en su integridad, y retiene el derecho de administración del activo financiero a cambio de una comisión, reconocerá un activo o un pasivo por tal contrato de servicio de administración del activo financiero. Si no se </w:t>
      </w:r>
      <w:r w:rsidRPr="00401DFF">
        <w:rPr>
          <w:rFonts w:ascii="Times New Roman" w:eastAsia="Times New Roman" w:hAnsi="Times New Roman" w:cs="Times New Roman"/>
          <w:b/>
          <w:bCs/>
          <w:sz w:val="24"/>
          <w:szCs w:val="24"/>
          <w:lang w:eastAsia="es-CO"/>
        </w:rPr>
        <w:lastRenderedPageBreak/>
        <w:t>espera que la comisión a recibir compense adecuadamente a la entidad por la prestación de este servicio, se reconocerá un pasivo por la obligación de administración del activo financiero, que medirá por su valor razonable. Si se espera que la comisión a recibir sea superior a una adecuada compensación por la prestación de este servicio de administración del activo financiero, se reconocerá un activo por los derechos de administración, por un importe que se determinará sobre la base de una distribución del importe en libros del activo financiero mayor, de acuerdo con lo establecido en el párrafo 3.2.13.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3.2.11 Si, como resultado de una transferencia, un activo financiero se da de baja totalmente pero la transferencia conlleva la obtención de un nuevo activo financiero o la asunción de un nuevo pasivo financiero, o un pasivo por prestación del servicio de administración del activo financiero, la entidad reconocerá el nuevo activo financiero, el nuevo pasivo financiero o el nuevo pasivo por la obligación de administración a sus valores razonables.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3.2.12 Al dar de baja en cuentas un activo financiero en su integridad,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en libros (medido en la fecha de la baja en cuentas)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contraprestación recibida (incluyendo los nuevos activos obtenidos menos los nuevos pasivos asumidos)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3.2.13 Si el activo transferido es parte de un activo financiero mayor (por ejemplo, cuando una entidad transfiere los flujos de efectivo por intereses que forman parte de un instrumento de deuda [véase el párrafo 3.2.2(a)], y la parte transferida cumple con los requisitos para la baja en cuentas en su totalidad, el anterior importe en libros del activo financiero mayor se distribuirá entre la parte que continúa reconociéndose y la parte que se haya dado de baja, sobre la base de los valores razonables relativos de dichas partes en la fecha de la transferencia. A estos efectos, un activo retenido a consecuencia de la prestación del servicio de administración del activo financiero, se tratará como una parte que continúa reconociéndose.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en libros (medido en la fecha de la baja en cuentas) imputable a la parte que se ha dado de baja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contraprestación recibida por la parte dada de baja en cuentas (incluyendo los nuevos activos obtenidos menos los nuevos pasivos asumidos)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3.2.14 Cuando una entidad distribuye el importe en libros previo de un activo financiero mayor, entre la parte que seguirá siendo reconocido y la parte que se da de baja, necesita medir el valor razonable de la parte que continuará reconociendo. Cuando la entidad tenga una experiencia histórica de venta de partes de activos financieros similares a la que continúa reconociendo, o existan transacciones de mercado para dichas partes, los precios recientes de las transacciones realizadas proporcionan la mejor estimación del valor </w:t>
      </w:r>
      <w:r w:rsidRPr="00401DFF">
        <w:rPr>
          <w:rFonts w:ascii="Times New Roman" w:eastAsia="Times New Roman" w:hAnsi="Times New Roman" w:cs="Times New Roman"/>
          <w:sz w:val="24"/>
          <w:szCs w:val="24"/>
          <w:lang w:eastAsia="es-CO"/>
        </w:rPr>
        <w:lastRenderedPageBreak/>
        <w:t>razonable. Cuando no existan precios cotizados ni transacciones de mercado recientes que ayuden a determinar el valor razonable de las partes que continúan siendo reconocidas, la mejor estimación del valor razonable será la diferencia entre el valor razonable del activo financiero mayor, considerado en su conjunto, y la contraprestación recibida del receptor de la transferencia por la parte que se da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que no cumplen los requisitos para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3.2.15 Si una transferencia no produce una baja en cuentas porque la entidad ha retenido sustancialmente todos los riesgos y recompensas inherentes a la propiedad del activo transferido, la entidad continuará reconociendo dicho activo transferido en su integridad, y reconocerá un pasivo financiero por la contraprestación recibida. En periodos posteriores, la entidad reconocerá cualquier ingreso por el activo transferido y cualquier gasto incurrido por el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Implicación continuada en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3.2.16 Si una entidad no transfiere ni retiene sustancialmente todos los riesgos y recompensas inherentes a la propiedad de un activo transferido, y retiene el control sobre éste, continuará reconociendo el activo transferido en la medida de su implicación continuada. La medida de la implicación continuada de la entidad en el activo transferido es la medida en que está expuesta a cambios de valor del activo transferido.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Cuando la implicación continuada de la entidad tome la forma de garantía del activo transferido, la cuantía de la implicación continuada de la entidad será el menor entre (i) el importe del activo y (ii) el importe máximo de la contraprestación recibida que se podría requerir devolver a la entidad (“el importe de la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Cuando la implicación continuada de la entidad tome la forma de una opción comprada o emitida (o ambas) sobre el activo transferido, la cuantía de la implicación continuada de la entidad será el importe del activo transferido que la entidad pueda volver a comprar. Sin embargo, en el caso de una opción de venta emitida sobre un activo que se mida a su valor razonable, la cuantía de la implicación continuada de la entidad estará limitado al menor entre el valor razonable del activo transferido y el precio de ejercicio de la opción (véase el párrafo B3.2.13).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Cuando la implicación continuada de la entidad tome la forma de una opción que se liquide en efectivo, o de una cláusula similar sobre el activo transferido, la cuantía de la implicación continuada se medirá de la misma forma que si se tratase de opciones no liquidadas en efectivo, tal como se establece en el apartado (b)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3.2.17 Cuando una entidad continúe reconociendo un activo en la medida de su implicación continuada, reconocerá también un pasivo asociado. Sin perjuicio de otros requerimientos de medición contenidos en esta NIIF, el activo transferido y el pasivo asociado se medirán sobre una base que refleje los derechos y obligaciones que </w:t>
      </w:r>
      <w:r w:rsidRPr="00401DFF">
        <w:rPr>
          <w:rFonts w:ascii="Times New Roman" w:eastAsia="Times New Roman" w:hAnsi="Times New Roman" w:cs="Times New Roman"/>
          <w:b/>
          <w:bCs/>
          <w:sz w:val="24"/>
          <w:szCs w:val="24"/>
          <w:lang w:eastAsia="es-CO"/>
        </w:rPr>
        <w:lastRenderedPageBreak/>
        <w:t>la entidad haya retenido. El pasivo asociado se medirá de forma que el neto entre los importes en libros del activo transferido y del pasivo asociado sea: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el </w:t>
      </w:r>
      <w:r w:rsidRPr="00401DFF">
        <w:rPr>
          <w:rFonts w:ascii="Times New Roman" w:eastAsia="Times New Roman" w:hAnsi="Times New Roman" w:cs="Times New Roman"/>
          <w:b/>
          <w:bCs/>
          <w:i/>
          <w:iCs/>
          <w:sz w:val="24"/>
          <w:szCs w:val="24"/>
          <w:lang w:eastAsia="es-CO"/>
        </w:rPr>
        <w:t>costo amortizado</w:t>
      </w:r>
      <w:r w:rsidRPr="00401DFF">
        <w:rPr>
          <w:rFonts w:ascii="Times New Roman" w:eastAsia="Times New Roman" w:hAnsi="Times New Roman" w:cs="Times New Roman"/>
          <w:b/>
          <w:bCs/>
          <w:sz w:val="24"/>
          <w:szCs w:val="24"/>
          <w:lang w:eastAsia="es-CO"/>
        </w:rPr>
        <w:t xml:space="preserve"> de los derechos y obligaciones retenidos por la entidad, si el activo transferido se mide al costo amortizado;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igual al valor razonable de los derechos y obligaciones retenidos por la entidad, cuando se midan independientemente, si el activo transferido se mide por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3.2.18 La entidad seguirá reconociendo cualquier ingreso que surja del activo transferido en la medida de su implicación continuada, y reconocerá cualquier gasto incurrido por causa del pasivo asociado.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3.2.19 A los efectos de mediciones posteriores, los cambios reconocidos en el valor razonable del activo transferido y del pasivo asociado se contabilizarán de forma coherente, de acuerdo con lo establecido en el párrafo 5.7.1, y no podrán ser compensados entre sí.</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3.2.20 Si la implicación continuada de una entidad es únicamente sobre una parte de un activo financiero (por ejemplo, cuando una entidad retiene una opción para recomprar parte de un activo transferido o retiene un interés residual que no conlleva la retención sustancial de todos los riesgos y recompensas inherentes a la propiedad pero conserva el control), la entidad imputará el importe previo en libros del activo financiero entre la parte que continúa reconociendo, bajo la implicación continuada, y la parte que ha dejado de reconocer, a partir de los valores razonables relativos de esas partes en la fecha de transferencia. A este efecto, se aplicarán los requerimientos del párrafo 3.2.14. La diferencia entre: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importe en libros (medido en la fecha de la baja en cuentas) asignado a la parte que ha dejado de reconocerse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contraprestación recibida por la parte que deja de reconocerse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3.2.21 Si el activo transferido se midiese al costo amortizado, la opción incluida en esta NIIF para designar un pasivo financiero como contabilizado al valor razonable con cambios en el resultado del periodo no será aplicable al pasivo asociado.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Todas las transferencias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3.2.22 Si se continúa reconociendo un activo transferido, ni éste ni el pasivo asociado podrán ser compensados. De forma similar, la entidad no podrá compensar ningún ingreso que surja del activo transferido con ningún gasto incurrido por causa del pasivo asociado (véase la NIC 32 </w:t>
      </w:r>
      <w:r w:rsidRPr="00401DFF">
        <w:rPr>
          <w:rFonts w:ascii="Times New Roman" w:eastAsia="Times New Roman" w:hAnsi="Times New Roman" w:cs="Times New Roman"/>
          <w:b/>
          <w:bCs/>
          <w:i/>
          <w:iCs/>
          <w:sz w:val="24"/>
          <w:szCs w:val="24"/>
          <w:lang w:eastAsia="es-CO"/>
        </w:rPr>
        <w:t>Instrumentos Financieros: Presentación,</w:t>
      </w:r>
      <w:r w:rsidRPr="00401DFF">
        <w:rPr>
          <w:rFonts w:ascii="Times New Roman" w:eastAsia="Times New Roman" w:hAnsi="Times New Roman" w:cs="Times New Roman"/>
          <w:b/>
          <w:bCs/>
          <w:sz w:val="24"/>
          <w:szCs w:val="24"/>
          <w:lang w:eastAsia="es-CO"/>
        </w:rPr>
        <w:t xml:space="preserve"> párrafo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3.2.23 Si el transferidor otorgase garantías colaterales distintas del efectivo (tales como instrumentos de deuda o de patrimonio) al receptor de la transferencia, la contabilización de la garantía colateral por ambas partes dependerá de si la segunda tiene el derecho a vender o volver a pignorar la garantía colateral y de si la primera ha incurrido en incumplimiento. Ambos contabilizarán la garantía colateral de la siguiente 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Si el receptor de la transferencia tuviese, por contrato o costumbre, el derecho de vender o volver a pignorar la garantía colateral, el transferidor reclasificará el activo en su estado de situación financiera (por ejemplo, como un activo prestado, un instrumento de patrimonio pignorado o una cuenta por cobrar recomprada) separadamente de otros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Si el receptor de la transferencia vendiese la garantía colateral pignorada, reconocerá los ingresos procedentes de la venta y un pasivo medido a su valor razonable por su obligación de devolver la garantía colateral.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Si el transferidor incumpliese de acuerdo con los términos del contrato y dejase de estar capacitado para rescatar la garantía colateral, la dará de baja en cuentas y el receptor de la transferencia la reconocerá como su activo medido inicialmente al valor razonable, o, si ya la hubiese vendido, dará de baja su obligación de devolver la garantía.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Excepto por lo dispuesto en el apartado (c), el transferidor continuará registrando la garantía colateral como su activo y el receptor de la transferencia no reconocerá la garantía colateral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 Baja en cuentas de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3.3.1 Una entidad eliminará de su estado de situación financiera un pasivo financiero (o una parte del mismo) cuando, y sólo cuando, se haya extinguido —esto es, cuando la obligación especificada en el correspondiente contrato haya sido pagada o cancelada, o haya expirado.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3.3.2 Una permuta entre un prestamista y un prestatario de instrumentos de deuda con condiciones sustancialmente diferentes, se contabilizará como una cancelación del pasivo financiero original, reconociéndose un nuevo pasivo financiero. De forma similar, una modificación sustancial de las condiciones actuales de un pasivo financiero existente o de una parte del mismo (con independencia de si es atribuible o no a las dificultades financieras del deudor) se contabilizará como una cancelación del pasivo financiero original y el reconocimiento de un nuevo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3.3.3 La diferencia entre el importe en libros de un pasivo financiero (o de una parte del mismo) que ha sido cancelado o transferido a un tercero y la contraprestación pagada, incluyendo cualquier activo transferido diferente del efectivo o pasivo asumido,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3.3.4 Si una entidad recompra una parte de un pasivo financiero, distribuirá su importe en libros previo entre la parte que continúa reconociendo y la parte que da de baja en cuentas, en función de los valores razonables relativos de una y otra en la fecha de recompra. En el resultado del periodo se reconocerá la diferencia entre (a) el importe en libros asignado a la parte que se da de baja en cuentas y (b) la contraprestación pagada, incluyendo cualquier activo transferido diferente del efectivo y cualquier pasivo asumido, por la parte dada de baja.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4 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 Clasificación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4.1.1 A menos de que aplique el párrafo 4.1.5, una entidad clasificará los activos financieros según se midan posteriormente a costo amortizado o al valor razonable sobre la base del: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modelo de negocio de la entidad para gestionar los activos financieros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de las características de los flujos de efectivo contractuales del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4.1.2 Un activo financiero deberá medirse al costo amortizado si se cumplen las dos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activo se mantiene dentro de un modelo de negocio cuyo objetivo es mantener los activos para obtener los flujos de efectivo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Las condiciones contractuales del activo financiero dan lugar, en fechas especificadas, a flujos de efectivo que son únicamente pagos del principal e intereses sobre el importe del principal 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párrafos B4.1.1 a B4.1.26 proporcionan guías sobre cómo aplicar estas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4.1.3 A efectos de la aplicación del párrafo 4.1.2(b), el interés es la contraprestación por el valor temporal del dinero y por el riesgo de crédito asociado con el importe del principal pendiente durante un periodo de tiempo concreto.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4.1.4 Un activo financiero deberá medirse al valor razonable, a menos que se mida al costo amortizado de acuerdo con el párrafo 4.1.2.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Opción de designar un activo financiero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4.1.5 Sin perjuicio de lo señalado en los párrafos 4.1.1 a 4.1.4, una entidad puede, en el reconocimiento inicial, designar un activo financiero de forma irrevocable como medido al valor razonable con cambios en resultados si haciéndolo elimina o reduce significativamente una incoherencia de medición o reconocimiento (algunas veces </w:t>
      </w:r>
      <w:r w:rsidRPr="00401DFF">
        <w:rPr>
          <w:rFonts w:ascii="Times New Roman" w:eastAsia="Times New Roman" w:hAnsi="Times New Roman" w:cs="Times New Roman"/>
          <w:b/>
          <w:bCs/>
          <w:sz w:val="24"/>
          <w:szCs w:val="24"/>
          <w:lang w:eastAsia="es-CO"/>
        </w:rPr>
        <w:lastRenderedPageBreak/>
        <w:t>denominada “asimetría contable”) que surgiría en otro caso de la medición de los activos o pasivos o del reconocimiento de las ganancias y pérdidas de los mismos sobre bases diferentes (véanse los párrafos B4.1.29 a B4.1.32).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4.1.6 La NIIF 7 </w:t>
      </w:r>
      <w:r w:rsidRPr="00401DFF">
        <w:rPr>
          <w:rFonts w:ascii="Times New Roman" w:eastAsia="Times New Roman" w:hAnsi="Times New Roman" w:cs="Times New Roman"/>
          <w:i/>
          <w:iCs/>
          <w:sz w:val="24"/>
          <w:szCs w:val="24"/>
          <w:lang w:eastAsia="es-CO"/>
        </w:rPr>
        <w:t>Instrumentos Financieros: Información a Revelar</w:t>
      </w:r>
      <w:r w:rsidRPr="00401DFF">
        <w:rPr>
          <w:rFonts w:ascii="Times New Roman" w:eastAsia="Times New Roman" w:hAnsi="Times New Roman" w:cs="Times New Roman"/>
          <w:sz w:val="24"/>
          <w:szCs w:val="24"/>
          <w:lang w:eastAsia="es-CO"/>
        </w:rPr>
        <w:t xml:space="preserve"> requiere que la entidad proporcione información a revelar sobre activos financieros que haya designado como a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4.2 Clasificación de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4.2.1 Una entidad clasificará todos los pasivos financieros como medidos posteriormente al costo amortizado utilizando el </w:t>
      </w:r>
      <w:r w:rsidRPr="00401DFF">
        <w:rPr>
          <w:rFonts w:ascii="Times New Roman" w:eastAsia="Times New Roman" w:hAnsi="Times New Roman" w:cs="Times New Roman"/>
          <w:b/>
          <w:bCs/>
          <w:i/>
          <w:iCs/>
          <w:sz w:val="24"/>
          <w:szCs w:val="24"/>
          <w:lang w:eastAsia="es-CO"/>
        </w:rPr>
        <w:t>método de interés efectivo,</w:t>
      </w:r>
      <w:r w:rsidRPr="00401DFF">
        <w:rPr>
          <w:rFonts w:ascii="Times New Roman" w:eastAsia="Times New Roman" w:hAnsi="Times New Roman" w:cs="Times New Roman"/>
          <w:b/>
          <w:bCs/>
          <w:sz w:val="24"/>
          <w:szCs w:val="24"/>
          <w:lang w:eastAsia="es-CO"/>
        </w:rPr>
        <w:t xml:space="preserve"> excepto por: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Los </w:t>
      </w:r>
      <w:r w:rsidRPr="00401DFF">
        <w:rPr>
          <w:rFonts w:ascii="Times New Roman" w:eastAsia="Times New Roman" w:hAnsi="Times New Roman" w:cs="Times New Roman"/>
          <w:b/>
          <w:bCs/>
          <w:i/>
          <w:iCs/>
          <w:sz w:val="24"/>
          <w:szCs w:val="24"/>
          <w:lang w:eastAsia="es-CO"/>
        </w:rPr>
        <w:t>pasivos financieros que se contabilicen al valor razonable con cambios en resultados</w:t>
      </w:r>
      <w:r w:rsidRPr="00401DFF">
        <w:rPr>
          <w:rFonts w:ascii="Times New Roman" w:eastAsia="Times New Roman" w:hAnsi="Times New Roman" w:cs="Times New Roman"/>
          <w:b/>
          <w:bCs/>
          <w:sz w:val="24"/>
          <w:szCs w:val="24"/>
          <w:lang w:eastAsia="es-CO"/>
        </w:rPr>
        <w:t xml:space="preserve">. Estos pasivos, incluyendo los </w:t>
      </w:r>
      <w:r w:rsidRPr="00401DFF">
        <w:rPr>
          <w:rFonts w:ascii="Times New Roman" w:eastAsia="Times New Roman" w:hAnsi="Times New Roman" w:cs="Times New Roman"/>
          <w:b/>
          <w:bCs/>
          <w:i/>
          <w:iCs/>
          <w:sz w:val="24"/>
          <w:szCs w:val="24"/>
          <w:lang w:eastAsia="es-CO"/>
        </w:rPr>
        <w:t>derivados</w:t>
      </w:r>
      <w:r w:rsidRPr="00401DFF">
        <w:rPr>
          <w:rFonts w:ascii="Times New Roman" w:eastAsia="Times New Roman" w:hAnsi="Times New Roman" w:cs="Times New Roman"/>
          <w:b/>
          <w:bCs/>
          <w:sz w:val="24"/>
          <w:szCs w:val="24"/>
          <w:lang w:eastAsia="es-CO"/>
        </w:rPr>
        <w:t xml:space="preserve"> que sean pasivos, se medirán con posterioridad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pasivos financieros que surjan por una transferencia de activos financieros que no cumpla con los requisitos para su baja en cuentas o que se contabilicen utilizando el enfoque de la implicación continuada. Los párrafos 3.2.15 y 3.2.17 se aplicarán a la medición de dichos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Los </w:t>
      </w:r>
      <w:r w:rsidRPr="00401DFF">
        <w:rPr>
          <w:rFonts w:ascii="Times New Roman" w:eastAsia="Times New Roman" w:hAnsi="Times New Roman" w:cs="Times New Roman"/>
          <w:b/>
          <w:bCs/>
          <w:i/>
          <w:iCs/>
          <w:sz w:val="24"/>
          <w:szCs w:val="24"/>
          <w:lang w:eastAsia="es-CO"/>
        </w:rPr>
        <w:t>contratos de garantía financiera,</w:t>
      </w:r>
      <w:r w:rsidRPr="00401DFF">
        <w:rPr>
          <w:rFonts w:ascii="Times New Roman" w:eastAsia="Times New Roman" w:hAnsi="Times New Roman" w:cs="Times New Roman"/>
          <w:b/>
          <w:bCs/>
          <w:sz w:val="24"/>
          <w:szCs w:val="24"/>
          <w:lang w:eastAsia="es-CO"/>
        </w:rPr>
        <w:t xml:space="preserve"> tal como se definen en el Apéndice A. Después del reconocimiento inicial, un emisor de dichos contratos los medirá posteriormente [salvo que sea de aplicación el párrafo 4.2.1(a) o (b)] por el mayor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 el importe determinado de acuerdo con la NIC 37 </w:t>
      </w:r>
      <w:r w:rsidRPr="00401DFF">
        <w:rPr>
          <w:rFonts w:ascii="Times New Roman" w:eastAsia="Times New Roman" w:hAnsi="Times New Roman" w:cs="Times New Roman"/>
          <w:b/>
          <w:bCs/>
          <w:i/>
          <w:iCs/>
          <w:sz w:val="24"/>
          <w:szCs w:val="24"/>
          <w:lang w:eastAsia="es-CO"/>
        </w:rPr>
        <w:t xml:space="preserve">Provisiones, Pasivos Contingentes y Activos Contingentes </w:t>
      </w:r>
      <w:r w:rsidRPr="00401DFF">
        <w:rPr>
          <w:rFonts w:ascii="Times New Roman" w:eastAsia="Times New Roman" w:hAnsi="Times New Roman" w:cs="Times New Roman"/>
          <w:b/>
          <w:bCs/>
          <w:sz w:val="24"/>
          <w:szCs w:val="24"/>
          <w:lang w:eastAsia="es-CO"/>
        </w:rPr>
        <w:t>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(ii) el importe inicialmente reconocido (véase el párrafo 5.1.1) menos, cuando proceda, la amortización acumulada reconocida de acuerdo con la NIC 18 </w:t>
      </w:r>
      <w:r w:rsidRPr="00401DFF">
        <w:rPr>
          <w:rFonts w:ascii="Times New Roman" w:eastAsia="Times New Roman" w:hAnsi="Times New Roman" w:cs="Times New Roman"/>
          <w:b/>
          <w:bCs/>
          <w:i/>
          <w:iCs/>
          <w:sz w:val="24"/>
          <w:szCs w:val="24"/>
          <w:lang w:eastAsia="es-CO"/>
        </w:rPr>
        <w:t>Ingresos de actividades ordinarias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 Compromisos de concesión de un préstamo a una tasa de interés inferior a la de mercado. Después del reconocimiento inicial, un emisor de dichos contratos los medirá [a menos que sea de aplicación el párrafo 4.2.1(a)] por el mayor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el importe determinado de acuerdo con la NIC 37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el importe inicialmente reconocido (véase el párrafo 5.1.1) menos, cuando proceda, la amortización acumulada reconocida de acuerdo con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Opción de designar un pasivo financiero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4.2.2 Una entidad puede, en el reconocimiento inicial, designar de forma irrevocable un pasivo financiero como medido a valor razonable con cambios en resultados cuando lo permita el párrafo 4.3.5, o cuando hacerlo así dé lugar a información más relevante, porque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con ello se elimine o reduzca significativamente alguna incoherencia en la medición o en el reconocimiento (a veces denominada “asimetría contable”) que de otra forma surgiría al utilizar diferentes criterios para medir activos y pasivos, o para reconocer ganancias y pérdidas en los mismos sobre bases diferentes;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un grupo de pasivos financieros o de activos financieros y pasivos financieros, se gestione y su rendimiento se evalúe según la base del valor razonable, de acuerdo con una estrategia de inversión o de gestión del riesgo documentada, y se proporcione internamente información sobre ese grupo, sobre la base del personal clave de la gerencia de la entidad (según se define en la NIC 24 </w:t>
      </w:r>
      <w:r w:rsidRPr="00401DFF">
        <w:rPr>
          <w:rFonts w:ascii="Times New Roman" w:eastAsia="Times New Roman" w:hAnsi="Times New Roman" w:cs="Times New Roman"/>
          <w:b/>
          <w:bCs/>
          <w:i/>
          <w:iCs/>
          <w:sz w:val="24"/>
          <w:szCs w:val="24"/>
          <w:lang w:eastAsia="es-CO"/>
        </w:rPr>
        <w:t>Información a Revelar sobre Partes Relacionadas)</w:t>
      </w:r>
      <w:r w:rsidRPr="00401DFF">
        <w:rPr>
          <w:rFonts w:ascii="Times New Roman" w:eastAsia="Times New Roman" w:hAnsi="Times New Roman" w:cs="Times New Roman"/>
          <w:b/>
          <w:bCs/>
          <w:sz w:val="24"/>
          <w:szCs w:val="24"/>
          <w:lang w:eastAsia="es-CO"/>
        </w:rPr>
        <w:t xml:space="preserve"> como por ejemplo el consejo de administración y el director general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4.2.3 La NIIF 7 requiere que la entidad proporcione información a revelar sobre pasivos financieros que haya designado como a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 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4.3.1 Un derivado implícito es un componente de un contrato híbrido, en el que también se incluye un contrato anfitrión que no es un derivado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con el efecto de que algunos de los flujos de efectivo del instrumento combinado varían de forma similar a un derivado sin anfitrión. Un derivado implícito provoca que algunos o todos los flujos de efectivo que de otra manera serían requeridos por el contrato se modifiquen de acuerdo con una tasa de interés especificada, el precio de un instrumento financiero, el de una materia prima cotizada, una tasa de cambio, un índice de precios o de tasas de interés, una calificación u otro índice de carácter crediticio, o en función de otra variable, que en el caso de no ser financiera no sea específica para una de las partes del contrato. Un derivado que se adjunte a un </w:t>
      </w:r>
      <w:r w:rsidRPr="00401DFF">
        <w:rPr>
          <w:rFonts w:ascii="Times New Roman" w:eastAsia="Times New Roman" w:hAnsi="Times New Roman" w:cs="Times New Roman"/>
          <w:i/>
          <w:iCs/>
          <w:sz w:val="24"/>
          <w:szCs w:val="24"/>
          <w:lang w:eastAsia="es-CO"/>
        </w:rPr>
        <w:t>instrumento financiero</w:t>
      </w:r>
      <w:r w:rsidRPr="00401DFF">
        <w:rPr>
          <w:rFonts w:ascii="Times New Roman" w:eastAsia="Times New Roman" w:hAnsi="Times New Roman" w:cs="Times New Roman"/>
          <w:sz w:val="24"/>
          <w:szCs w:val="24"/>
          <w:lang w:eastAsia="es-CO"/>
        </w:rPr>
        <w:t xml:space="preserve"> pero que sea contractualmente transferible de forma independiente o tenga una contraparte distinta a la del instrumento, no es un derivado implícito sino un instrumento financiero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Contratos híbridos con anfitriones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4.3.2 Si un contrato híbrido contiene un anfitrión que está dentro del alcance de esta NIIF, una entidad aplicará los requerimientos de los párrafos 4.1.1 a 4.1.5 al contrato híbrido completo.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Otros contratos híbridos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4.3.3 Si un contrato híbrido contiene un anfitrión que no es un activo que quede dentro del alcance de esta NIIF, un derivado implícito deberá separarse del anfitrión y contabilizarse como un derivado según esta NIIF si, y solo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las características económicas y los riesgos del derivado implícito no están relacionados estrechamente con los correspondientes al contrato anfitrión (véanse los párrafos B4.3.5 y B4.3.8);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instrumento separado con las mismas condiciones del derivado implícito cumpliría con la definición de un derivado;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contrato híbrido no se mide al valor razonable con cambios en el valor razonable reconocidos en el resultado del periodo (es decir, un derivado que se encuentre implícito en un pasivo financiero medido al valor razonable con cambios en resultados, no se separa).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4.3.4 Si un derivado implícito se separa, el contrato anfitrión se contabilizará de acuerdo con la NIIF adecuada. Esta NIIF no aborda si un derivado implícito se deberá presentar de forma separada en el estado de situación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4.3.5 Sin perjuicio de los párrafos 4.3.3 y 4.3.4, si un contrato contiene uno o más derivados implícitos y el anfitrión no es un activo dentro del alcance de esta NIIF, una entidad puede designar el contrato híbrido en su totalidad como a valor razonable con cambios en resultados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el derivado o derivados implícitos no modifiquen de forma significativa los flujos de efectivo que, en otro caso, serían requeridos por el contrato;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resulte claro, con un pequeño análisis o sin él, que al considerar por primera vez un instrumento híbrido similar, está prohibida esa separación del derivado o derivados implícitos, tal como una opción de pago anticipada implícita en un préstamo que permita a su tenedor reembolsar por anticipado el préstamo por aproximadamente su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4.3.6 Si se requiere por esta NIIF que una entidad separe un derivado implícito de su contrato anfitrión, pero no pudiese medir ese derivado implícito de forma separada, ya sea en la fecha de adquisición o al final de un periodo contable posterior sobre el que se informa, designará la totalidad del contrato híbrido como a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4.3.7 Si una entidad es incapaz de medir con fiabilidad el valor razonable de un derivado implícito sobre la base de sus plazos y condiciones, el valor razonable del derivado implícito será la diferencia entre el valor razonable del contrato híbrido y el valor razonable del contrato anfitrión. Si la entidad es incapaz de medir el valor razonable del derivado implícito utilizando el método descrito, se aplicará lo dispuesto en el párrafo 4.3.6 y el contrato híbrido se designará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4.4 Reclasificación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4.4.1 Cuando, y solo cuando, una entidad cambie su modelo de negocio para la gestión de los activos financieros, reclasificará todos los activos financieros afectados de acuerdo con los párrafos 4.1.1 a 4.1.4.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4.4.2 Una entidad no reclasificará pasivo financiero alguno.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4.4.3 Los siguientes cambios en las circunstancias no son reclasificaciones para los propósitos de los párrafos 4.4.1 y 4.4.2: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derivado que fuera anteriormente designado como un instrumento de cobertura eficaz, en la cobertura de flujo de efectivo o una cobertura de inversión neta que hayan dejado de cumplir los requisitos para ser consideradas como 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derivado que haya pasado a ser un instrumento de cobertura designado y eficaz en una cobertura de flujo de efectivo o una cobertura de inversión neta.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 Medición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5.1.1 En el reconocimiento inicial, una entidad medirá un activo financiero o pasivo financiero, por su valor razonable más o menos, en el caso de un activo financiero o un pasivo financiero que no se contabilice al valor razonable con cambios en resultados, los costos de transacción que sean directamente atribuibles a la adquisición o emisión del activo financiero o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5.1.1A Sin embargo, si el valor razonable del activo financiero o pasivo financiero en el reconocimiento inicial difiere del precio de transacción, una entidad aplicará el párrafo B5.1.2A.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5.1.2 Cuando una entidad utilice la contabilidad de la fecha de liquidación para un activo que sea posteriormente medido al costo amortizado, el activo se reconocerá inicialmente por su valor razonable en la fecha de contratación (véanse los párrafos B3.1.3 a B3.1.6).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 Medición posterior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5.2.1 Después del reconocimiento inicial, una entidad medirá un activo financiero de acuerdo con los párrafos 4.1.1 a 4.1.5 a valor razonable o costo amortizado (véanse los párrafos 9 y GA5 a GA8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5.2.2 Una entidad aplicará los requerimientos de deterioro de valor, contenidos en los párrafos 58 a 65 y GA84 a GA93 de la NIC 39, a los activos financieros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5.2.3 Una entidad aplicará los requerimientos de la contabilidad de coberturas, contenidos en los párrafos 89 a 102 de la NIC 39 a un activo financiero que se designe como partida cubierta (véanse los párrafos 78 a 84 y GA98 a GA101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 Medición posterior de pasivos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5.3.1 Después del reconocimiento inicial, una entidad medirá un pasivo financiero de acuerdo con los párrafos 4.2.1 a 4.2.2 (véanse los párrafos 5.4.1 a 5.4.3 y B5.4.1 a B5.4.17 y los párrafos 9 y GA5 a GA8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5.3.2 Una entidad aplicará los requerimientos de la contabilidad de coberturas, de los párrafos 89 a 102 de la NIC 39 a un pasivo financiero que se designe como partida cubierta (véanse los párrafos 78 a 84 y GA98 a GA101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5.4.1-5.4.3</w:t>
      </w:r>
      <w:r w:rsidRPr="00401DFF">
        <w:rPr>
          <w:rFonts w:ascii="Times New Roman" w:eastAsia="Times New Roman" w:hAnsi="Times New Roman" w:cs="Times New Roman"/>
          <w:sz w:val="24"/>
          <w:szCs w:val="24"/>
          <w:lang w:eastAsia="es-CO"/>
        </w:rPr>
        <w:t>[Eliminados]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5.5 Medición del costo amortizado - sin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5.6 Reclasificación de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5.6.1 Si una entidad reclasifica los activos financieros de acuerdo con el párrafo 4.4.1, aplicará dicha reclasificación prospectivamente desde la </w:t>
      </w:r>
      <w:r w:rsidRPr="00401DFF">
        <w:rPr>
          <w:rFonts w:ascii="Times New Roman" w:eastAsia="Times New Roman" w:hAnsi="Times New Roman" w:cs="Times New Roman"/>
          <w:b/>
          <w:bCs/>
          <w:i/>
          <w:iCs/>
          <w:sz w:val="24"/>
          <w:szCs w:val="24"/>
          <w:lang w:eastAsia="es-CO"/>
        </w:rPr>
        <w:t>fecha de reclasificación</w:t>
      </w:r>
      <w:r w:rsidRPr="00401DFF">
        <w:rPr>
          <w:rFonts w:ascii="Times New Roman" w:eastAsia="Times New Roman" w:hAnsi="Times New Roman" w:cs="Times New Roman"/>
          <w:b/>
          <w:bCs/>
          <w:sz w:val="24"/>
          <w:szCs w:val="24"/>
          <w:lang w:eastAsia="es-CO"/>
        </w:rPr>
        <w:t>. La entidad no reexpresará las ganancias, pérdidas o intereses previamente reconocidos.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5.6.2 Si, de acuerdo con el párrafo 4.4.1, una entidad reclasifica un activo financiero de forma que se mida al valor razonable, su valor razonable se medirá en la fecha de la reclasificación. Cualquier ganancia o pérdida que surja, por diferencias entre el importe en libros previo y el valor razonable, se reconocerá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5.6.3 Si, de acuerdo con el párrafo 4.4.1, una entidad reclasifica un activo financiero de forma que se mida al costo amortizado, su valor razonable en la fecha de la reclasificación pasará a ser su nuevo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 Ganancias y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5.7.1 Una ganancia o pérdida en un activo financiero o en un pasivo financiero que se mida al valor razonable se reconocerá en el resultado del periodo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sea parte de una relación de cobertura (véanse los párrafos 89 a 102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 xml:space="preserve">(b) sea una inversión en un </w:t>
      </w:r>
      <w:r w:rsidRPr="00401DFF">
        <w:rPr>
          <w:rFonts w:ascii="Times New Roman" w:eastAsia="Times New Roman" w:hAnsi="Times New Roman" w:cs="Times New Roman"/>
          <w:b/>
          <w:bCs/>
          <w:i/>
          <w:iCs/>
          <w:sz w:val="24"/>
          <w:szCs w:val="24"/>
          <w:lang w:eastAsia="es-CO"/>
        </w:rPr>
        <w:t>instrumento de patrimonio</w:t>
      </w:r>
      <w:r w:rsidRPr="00401DFF">
        <w:rPr>
          <w:rFonts w:ascii="Times New Roman" w:eastAsia="Times New Roman" w:hAnsi="Times New Roman" w:cs="Times New Roman"/>
          <w:b/>
          <w:bCs/>
          <w:sz w:val="24"/>
          <w:szCs w:val="24"/>
          <w:lang w:eastAsia="es-CO"/>
        </w:rPr>
        <w:t xml:space="preserve"> y la entidad haya elegido presentar las ganancias y pérdidas de esa inversión en otro resultado integral de acuerdo con el párrafo 5.7.5;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(c) sea un pasivo financiero designado como a valor razonable con cambios en resultados y se requiera que la entidad presente los efectos de los cambios en el </w:t>
      </w:r>
      <w:r w:rsidRPr="00401DFF">
        <w:rPr>
          <w:rFonts w:ascii="Times New Roman" w:eastAsia="Times New Roman" w:hAnsi="Times New Roman" w:cs="Times New Roman"/>
          <w:b/>
          <w:bCs/>
          <w:i/>
          <w:iCs/>
          <w:sz w:val="24"/>
          <w:szCs w:val="24"/>
          <w:lang w:eastAsia="es-CO"/>
        </w:rPr>
        <w:t>riesgo de crédito</w:t>
      </w:r>
      <w:r w:rsidRPr="00401DFF">
        <w:rPr>
          <w:rFonts w:ascii="Times New Roman" w:eastAsia="Times New Roman" w:hAnsi="Times New Roman" w:cs="Times New Roman"/>
          <w:b/>
          <w:bCs/>
          <w:sz w:val="24"/>
          <w:szCs w:val="24"/>
          <w:lang w:eastAsia="es-CO"/>
        </w:rPr>
        <w:t xml:space="preserve"> del pasivo en otro resultado integral de acuerdo con el párrafo 5.7.7.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5.7.2 Una ganancia o pérdida en un activo financiero que se mida al costo amortizado y no forme parte de una relación de cobertura (véanse los párrafos 89 a 102 de la NIC 39) deberá reconocerse en el resultado del periodo cuando el activo financiero se dé de baja en cuentas, haya sufrido un deterioro de valor o se reclasifique de acuerdo con el párrafo 5.6.2, así como mediante el proceso de amortización. Una ganancia o pérdida en un pasivo financiero que se mida al costo amortizado y no forme parte de una relación de cobertura (véanse los párrafos 89 a 102 de la NIC 39) deberá reconocerse en el resultado del periodo cuando el pasivo financiero se dé de baja en cuentas, así como mediante el proceso de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5.7.3 Una ganancia o pérdida en activos financieros o pasivos financieros que sean partidas cubiertas (véanse los párrafos 78 a 84 y GA98 a GA101 de la NIC 39) deberá reconocerse de acuerdo con los párrafos 89 a 102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5.7.4 Si una entidad reconociese activos financieros utilizando la contabilidad de la fecha de liquidación (véanse el párrafo 3.1.2 y los párrafos B3.1.3 y B3.1.6), no reconocerá los cambios en el valor razonable del activo a recibir durante el periodo que hayan ocurrido entre la fecha de contratación y la de liquidación para activos medidos al costo amortizado (siempre que no se trate de pérdidas por deterioro del valor). En el caso de los activos medidos al valor razonable, sin embargo, el cambio en el valor razonable se reconocerá en el resultado del periodo o en otro resultado integral, lo que sea adecuado de acuerdo con el párrafo 5.7.1.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Inversiones en instrumentos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5.7.5 En su reconocimiento inicial, una entidad puede realizar una elección irrevocable para presentar en otro resultado integral los cambios posteriores en el valor razonable de una inversión en un instrumento de patrimonio que, estando dentro del alcance de esta NIIF, no sea </w:t>
      </w:r>
      <w:r w:rsidRPr="00401DFF">
        <w:rPr>
          <w:rFonts w:ascii="Times New Roman" w:eastAsia="Times New Roman" w:hAnsi="Times New Roman" w:cs="Times New Roman"/>
          <w:b/>
          <w:bCs/>
          <w:i/>
          <w:iCs/>
          <w:sz w:val="24"/>
          <w:szCs w:val="24"/>
          <w:lang w:eastAsia="es-CO"/>
        </w:rPr>
        <w:t>mantenida para negociar</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5.7.6 Si una entidad lleva a cabo la elección del párrafo 5.7.5, reconocerá en el resultado del periodo los dividendos procedentes de esa inversión cuando se establezca el derecho de la entidad a recibir el pago del dividendo, de acuerdo con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designados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5.7.7 Una entidad presentará una ganancia o pérdida sobre un pasivo financiero designado como a valor razonable con cambios en resultados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El importe del cambio en el valor razonable del pasivo financiero que sea atribuible a cambios en el riesgo de crédito de ese pasivo deberá presentarse en otro resultado integral (véanse los párrafos B5.7.13 a B5.7.20),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importe restante del cambio en el valor razonable del pasivo se presentará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menos que el tratamiento de los efectos de los cambios en el riesgo de crédito del pasivo descritos en (a) crearan o aumentaran una asimetría contable en el resultado del periodo (en cuyo caso se aplicará el párrafo 5.7.8). Los párrafos B5.7.5 a B5.7.7 y B5.7.10 a B5.7.12 proporcionan guías para determinar de si se pudiera crear o aumentar una asimetría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5.7.8 Si los requerimientos del párrafo 5.7.7 pudieran crear o aumentar una asimetría contable en el resultado del periodo, una entidad presentará todas las ganancias o pérdida de ese pasivo (incluyendo los efectos de cambios en el riesgo de crédito de ese pasivo)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5.7.9 A pesar de los requerimientos de los párrafos 5.7.7 y 5.7.8, una entidad presentará en el resultado del periodo todas las ganancias o pérdidas sobre los compromisos del préstamo y los contratos de garantía financiera que estén designados como a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6 Contabilidad de coberturas - sin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Capítulo 7 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7.1 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7.1.1 Una entidad aplicará esta NIIF en los periodos anuales que comiencen a partir del 1 de enero de 2015. Se permite su aplicación anticipada. Sin embargo, si una entidad elige aplicar esta NIIF de forma anticipada y todavía no ha aplicado la NIIF 9 emitida en 2009, deberá aplicar todos los requerimientos de esta NIIF al mismo tiempo (pero véase también el 7.3.2). Si una entidad aplica esta NIIF en sus estados financieros para un periodo que comience con anterioridad al 1 de enero de 2015, revelará este hecho y al mismo tiempo aplicará las modificaciones del 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7.1.2 NIIF 10 y NIIF 11 </w:t>
      </w:r>
      <w:r w:rsidRPr="00401DFF">
        <w:rPr>
          <w:rFonts w:ascii="Times New Roman" w:eastAsia="Times New Roman" w:hAnsi="Times New Roman" w:cs="Times New Roman"/>
          <w:i/>
          <w:iCs/>
          <w:sz w:val="24"/>
          <w:szCs w:val="24"/>
          <w:lang w:eastAsia="es-CO"/>
        </w:rPr>
        <w:t>Acuerdos Conjuntos,</w:t>
      </w:r>
      <w:r w:rsidRPr="00401DFF">
        <w:rPr>
          <w:rFonts w:ascii="Times New Roman" w:eastAsia="Times New Roman" w:hAnsi="Times New Roman" w:cs="Times New Roman"/>
          <w:sz w:val="24"/>
          <w:szCs w:val="24"/>
          <w:lang w:eastAsia="es-CO"/>
        </w:rPr>
        <w:t xml:space="preserve"> emitidas en mayo de 2011, modificaron los párrafos 3.2.1, B3.2.1 a B3.2.3, B4.3.12(c), B5.7.15, C11 y C30 y eliminaron los párrafos C23 a C28 y los encabezamientos relacionados. Una entidad aplicará esas modificaciones cuando aplique las NIIF 10 y NIIF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7.1.3 La NIIF 13 </w:t>
      </w:r>
      <w:r w:rsidRPr="00401DFF">
        <w:rPr>
          <w:rFonts w:ascii="Times New Roman" w:eastAsia="Times New Roman" w:hAnsi="Times New Roman" w:cs="Times New Roman"/>
          <w:i/>
          <w:iCs/>
          <w:sz w:val="24"/>
          <w:szCs w:val="24"/>
          <w:lang w:eastAsia="es-CO"/>
        </w:rPr>
        <w:t>Medición del Valor Razonable,</w:t>
      </w:r>
      <w:r w:rsidRPr="00401DFF">
        <w:rPr>
          <w:rFonts w:ascii="Times New Roman" w:eastAsia="Times New Roman" w:hAnsi="Times New Roman" w:cs="Times New Roman"/>
          <w:sz w:val="24"/>
          <w:szCs w:val="24"/>
          <w:lang w:eastAsia="es-CO"/>
        </w:rPr>
        <w:t xml:space="preserve"> emitida en mayo de 2011, modificó los párrafos 3.2.14, 4.3.7, 5.1.1, 5.2.1, 5.4.1, 5.6.2, 7.2.5, 7.2.11, 7.2.12, modificó la definición de valor razonable del Apéndice A, modificó los párrafos B3.2.11, B3.2.17, B5.1.1, B5.2.2, B5.4.8, B5.4.14, B5.4.16, B5.7.20, C3, C11, C26, C28, C30, C49 y C53, eliminó los </w:t>
      </w:r>
      <w:r w:rsidRPr="00401DFF">
        <w:rPr>
          <w:rFonts w:ascii="Times New Roman" w:eastAsia="Times New Roman" w:hAnsi="Times New Roman" w:cs="Times New Roman"/>
          <w:sz w:val="24"/>
          <w:szCs w:val="24"/>
          <w:lang w:eastAsia="es-CO"/>
        </w:rPr>
        <w:lastRenderedPageBreak/>
        <w:t>párrafos 5.4.2, B5.4.1 a B5.4.13 y añadió los párrafos 5.1.1A, B5.1.2A y B5.2.2A. Una entidad aplicará esas modificaciones cuando aplique la NIIF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7.2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7.2.1 Una entidad aplicará esta NIIF retroactivamente, de acuerdo con la NIC 8 </w:t>
      </w:r>
      <w:r w:rsidRPr="00401DFF">
        <w:rPr>
          <w:rFonts w:ascii="Times New Roman" w:eastAsia="Times New Roman" w:hAnsi="Times New Roman" w:cs="Times New Roman"/>
          <w:i/>
          <w:iCs/>
          <w:sz w:val="24"/>
          <w:szCs w:val="24"/>
          <w:lang w:eastAsia="es-CO"/>
        </w:rPr>
        <w:t>Políticas Contables, Cambios en Estimaciones Contables y Errores,</w:t>
      </w:r>
      <w:r w:rsidRPr="00401DFF">
        <w:rPr>
          <w:rFonts w:ascii="Times New Roman" w:eastAsia="Times New Roman" w:hAnsi="Times New Roman" w:cs="Times New Roman"/>
          <w:sz w:val="24"/>
          <w:szCs w:val="24"/>
          <w:lang w:eastAsia="es-CO"/>
        </w:rPr>
        <w:t xml:space="preserve"> excepto por lo especificado en los párrafos 7.2.4 a 7.2.15. Esta NIIF no deberá aplicarse a partidas que estén dadas ya de baja en cuentas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7.2.2 A efectos de las disposiciones transitorias de los párrafos 7.2.1 y 7.2.3 a 7.2.16, la fecha de la aplicación inicial es la fecha en que una entidad aplica por primera vez los requerimientos de esta NIIF. La fecha de la aplicación inicial puede ser: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cualquier fecha entre la emisión de esta NIIF y el 31 de diciembre de 2010, para las entidades que apliquen inicialmente esta NIIF antes del 1 de enero de 2011;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comienzo del primer periodo sobre el que se informa en el que la entidad adopta esta NIIF, para las entidades que apliquen inicialmente esta NIIF a partir del 1 de enero de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7.2.3 Si la fecha de la aplicación inicial no es la del comienzo de un periodo sobre el que se informa, la entidad revelará ese hecho y las razones para utilizar esa fecha de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7.2.4 En la fecha de la aplicación inicial, una entidad evaluará si un activo financiero cumple la condición del párrafo 4.1.2(a) sobre la base de los hechos y circunstancias existentes en la fecha de la aplicación inicial. La clasificación resultante deberá aplicarse retroactivamente independientemente del modelo de negocio de la entidad en los periodos anteriores sobre los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7.2.5 Si una entidad mide un contrato híbrido al valor razonable de acuerdo con el párrafo 4.1.4 o el párrafo 4.1.5 pero el valor razonable del contrato híbrido no se ha medido en periodos comparativos sobre los que se informa, el valor razonable del contrato híbrido en los periodos comparativos sobre los que se informa será la suma de los valores razonables de los componentes (es decir el anfitrión que no es un derivado y el derivado implícito) al final de cada periodo comparativo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7.2.6 En la fecha de la aplicación inicial, una entidad reconocerá cualquier diferencia entre el valor razonable del contrato híbrido completo en la fecha de la aplicación inicial y la suma de los valores razonables de los componentes del contrato híbrido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las ganancias acumuladas iniciales del periodo sobre el que se informa de la aplicación inicial, si la entidad aplica por primera vez esta NIIF al comienzo de un periodo sobre el que se informa;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en el resultado del periodo, si la entidad aplica inicialmente esta NIIF a lo largo de un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7.2.7 En la fecha de la aplicación inicial, una entidad puede designar: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activo financiero como medido al valor razonable con cambios en resultados, de acuerdo el párrafo 4.1.5;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inversión en un instrumento de patrimonio como al valor razonable con cambios en otro resultado integral, de acuerdo con el párrafo 5.7.5.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designación deberá realizarse sobre la base de los hechos y circunstancias que existan en la fecha de la aplicación inicial. Esa clasificación deberá aplicarse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7.2.8 En la fecha de la aplicación inicial,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Revocará su designación anterior de un activo financiero como medido al valor razonable con cambios en resultados si ese activo financiero no cumple la condición del párrafo 4.1.5.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Podrá revocar su designación anterior de un activo financiero como medido al valor razonable con cambios en resultados si ese activo financiero cumple la condición del párrafo 4.1.5.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revocación deberá realizarse sobre la base de los hechos y circunstancias que existan en la fecha de la aplicación inicial. Esa clasificación deberá aplicarse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7.2.9 En la fecha de la aplicación inicial,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Podrá designar un pasivo financiero como medido al valor razonable con cambios en resultados, de acuerdo el párrafo 4.2.2(a).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Revocará su designación anterior de un pasivo financiero como medido al valor razonable con cambios en resultados si esta designación se realizó en el reconocimiento inicial de acuerdo con la condición actual del párrafo 4.2.2(a) y esta designación no satisface esa condición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Revocará su designación anterior de un pasivo financiero como medido al valor razonable con cambios en resultados si esta designación se realizó en el reconocimiento inicial de acuerdo con la condición actual del párrafo 4.2.2(a) y esta designación satisface esa condición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designación y revocación deberá realizarse sobre la base de los hechos y circunstancias que existan en la fecha de la aplicación inicial. Esa clasificación deberá aplicarse de forma retroactiva.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7.2.10 Si para una entidad es impracticable (como se define en la NIC 8) aplicar retroactivamente el método del interés efectivo o los requerimientos de deterioro de valor de los párrafos 58 a 65 y GA84 a GA93 de la NIC 39, dicha entidad, si reexpresa periodos anteriores, tratará el valor razonable del activo financiero o pasivo financiero al final de cada periodo comparativo presentado como su costo amortizado. Si para una entidad es impracticable (como se define en la NIC 8) aplicar retroactivamente el método del interés efectivo o los requerimientos de deterioro de valor de los párrafos 58 a 65 y GA84 a GA93 de la NIC 39, el valor razonable del activo financiero o pasivo financiero en la fecha de aplicación inicial se tratará como el nuevo costo amortizado de ese activo financiero o pasivo financiero en la fecha de aplicación inicial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7.2.11 Si una entidad contabilizó con anterioridad una inversión en un instrumento de patrimonio que no tiene un precio cotizado en un mercado activo para un instrumento idéntico (es decir, un dato de entrada de Nivel 1) (o un activo derivado que está vinculado y debe ser liquidado mediante la entrega de este instrumento de patrimonio) al costo de acuerdo con la NIC 39, medirá ese instrumento al valor razonable en la fecha de la aplicación inicial. Cualquier diferencia entre el importe en libros anterior y el valor razonable deberá reconocerse en las ganancias acumuladas iniciales del periodo sobre el que se informa que incluya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7.2.12 Si una entidad contabilizaba anteriormente un pasivo derivado vinculado a un instrumento de patrimonio que no tiene un precio cotizado en un mercado activo para un instrumento idéntico (es decir, un dato de entrada de Nivel 1) y que debe liquidarse mediante la entrega de éste al costo de acuerdo con la NIC 39, medirá ese pasivo derivado a valor razonable en la fecha de la aplicación inicial. Cualquier diferencia entre el importe en libros anterior y el valor razonable deberá reconocerse en las ganancias acumuladas iniciales del periodo sobre el que se informa que incluya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7.2.13 En la fecha del reconocimiento inicial, una entidad determinará si el tratamiento del párrafo 5.7.7 pudiera crear o aumentar una asimetría contable en el resultado del periodo sobre la base de los hechos y circunstancias existentes en la fecha de la aplicación inicial. Esta NIIF deberá aplicarse retroactivamente sobre la base de esa determinación.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7.2.14 A pesar del requerimiento del párrafo 7.2.1, una entidad que adopte los requerimientos de clasificación y medición de esta NIIF para periodos sobre los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que comiencen antes del 1 de enero de 2012, no necesita reexpresar periodos anteriores y no se le requiere que proporcione la información a revelar establecida en los párrafos 44S a 44W de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que comiencen a partir del 1 de enero de 2012 y antes del 1 de enero de 2013, elegirá proporcionar la información a revelar establecida en los párrafos 44S a 44W de la NIIF 7 o reexpresar los periodos anteriores;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que comiencen a partir del 1 de enero de 2013, proporcionará la información a revelar establecida en los párrafos 44S a 44W de la NIIF 7. La entidad no necesita reexpresar periodos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una entidad no reexpresa los periodos anteriores, reconocerá cualquier diferencia entre el importe en libros anterior y el importe en libros al comienzo del periodo anual sobre el que se informa, que será el incluya la fecha de aplicación inicial, en las ganancias acumuladas iniciales (u otro componente de patrimonio, según proceda) del periodo anual sobre el que se informa que incluye la fecha de la aplicación inicial. Sin embargo, si una entidad reexpresa periodos anteriores, los estados financieros reexpresados deben reflejar todos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7.2.15 Si una entidad prepara información financiera intermedia de acuerdo con la NIC 34 </w:t>
      </w:r>
      <w:r w:rsidRPr="00401DFF">
        <w:rPr>
          <w:rFonts w:ascii="Times New Roman" w:eastAsia="Times New Roman" w:hAnsi="Times New Roman" w:cs="Times New Roman"/>
          <w:i/>
          <w:iCs/>
          <w:sz w:val="24"/>
          <w:szCs w:val="24"/>
          <w:lang w:eastAsia="es-CO"/>
        </w:rPr>
        <w:t>Información Financiera Intermedia</w:t>
      </w:r>
      <w:r w:rsidRPr="00401DFF">
        <w:rPr>
          <w:rFonts w:ascii="Times New Roman" w:eastAsia="Times New Roman" w:hAnsi="Times New Roman" w:cs="Times New Roman"/>
          <w:sz w:val="24"/>
          <w:szCs w:val="24"/>
          <w:lang w:eastAsia="es-CO"/>
        </w:rPr>
        <w:t xml:space="preserve"> no necesita aplicar los requerimientos de esta NIIF para periodos intermedios anteriores a la fecha de la aplicación inicial si ello fuera impracticable (como se define en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Entidades que han aplicado anticipadamente la NIIF 9 emitida en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7.2.16 Una entidad aplicará los requerimientos de transición de los párrafos 7.2.1 a 7.2.15 en la fecha correspondiente de aplicación inicial. En otras palabras, una entidad aplicará los párrafos 7.2.4 a 7.2.11, si aplica la NIIF 9 (emitida en 2009) o, no habiéndolo hecho, al aplicar la NIIF 9 (emitida en 2010) en su integridad. No se permite que una entidad aplique esos párrafos en más de una ocasión.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7.3 Derogación de la CINIIF 9 y la NIIF 9 (2009)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7.3.1 Esta NIIF deroga la CINIIF 9 </w:t>
      </w:r>
      <w:r w:rsidRPr="00401DFF">
        <w:rPr>
          <w:rFonts w:ascii="Times New Roman" w:eastAsia="Times New Roman" w:hAnsi="Times New Roman" w:cs="Times New Roman"/>
          <w:i/>
          <w:iCs/>
          <w:sz w:val="24"/>
          <w:szCs w:val="24"/>
          <w:lang w:eastAsia="es-CO"/>
        </w:rPr>
        <w:t>Nueva Evaluación de Derivados implícitos.</w:t>
      </w:r>
      <w:r w:rsidRPr="00401DFF">
        <w:rPr>
          <w:rFonts w:ascii="Times New Roman" w:eastAsia="Times New Roman" w:hAnsi="Times New Roman" w:cs="Times New Roman"/>
          <w:sz w:val="24"/>
          <w:szCs w:val="24"/>
          <w:lang w:eastAsia="es-CO"/>
        </w:rPr>
        <w:t xml:space="preserve"> Los requerimientos añadidos a la NIIF 9 de octubre de 2010 incorporaban los requerimientos anteriormente establecidos por los párrafos 5 y 7 de la CINIIF 9. Como una modificación resultante, la NIIF 1 </w:t>
      </w:r>
      <w:r w:rsidRPr="00401DFF">
        <w:rPr>
          <w:rFonts w:ascii="Times New Roman" w:eastAsia="Times New Roman" w:hAnsi="Times New Roman" w:cs="Times New Roman"/>
          <w:i/>
          <w:iCs/>
          <w:sz w:val="24"/>
          <w:szCs w:val="24"/>
          <w:lang w:eastAsia="es-CO"/>
        </w:rPr>
        <w:t>Adopción por Primera Vez de las Normas Internacionales de Información Financiera</w:t>
      </w:r>
      <w:r w:rsidRPr="00401DFF">
        <w:rPr>
          <w:rFonts w:ascii="Times New Roman" w:eastAsia="Times New Roman" w:hAnsi="Times New Roman" w:cs="Times New Roman"/>
          <w:sz w:val="24"/>
          <w:szCs w:val="24"/>
          <w:lang w:eastAsia="es-CO"/>
        </w:rPr>
        <w:t xml:space="preserve"> adoptó los requerimientos anteriormente establecidos por el párrafo 8 de la CINIIF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7.3.2 Esta NIIF deroga la NIIF 9 emitida en 2009. Sin embargo, para periodos anuales que comiencen antes del 1 de enero de 2015, una entidad puede elegir aplicar la NIIF 9 emitida en 2009 en lugar de aplicar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9210" w:type="dxa"/>
        <w:jc w:val="center"/>
        <w:tblCellSpacing w:w="15" w:type="dxa"/>
        <w:tblCellMar>
          <w:top w:w="15" w:type="dxa"/>
          <w:left w:w="15" w:type="dxa"/>
          <w:bottom w:w="15" w:type="dxa"/>
          <w:right w:w="15" w:type="dxa"/>
        </w:tblCellMar>
        <w:tblLook w:val="04A0" w:firstRow="1" w:lastRow="0" w:firstColumn="1" w:lastColumn="0" w:noHBand="0" w:noVBand="1"/>
      </w:tblPr>
      <w:tblGrid>
        <w:gridCol w:w="4487"/>
        <w:gridCol w:w="4723"/>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baja en cuentas (derecognition)</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eliminación de un activo financiero o del pasivo financiero previamente reconocido en el </w:t>
            </w:r>
            <w:r w:rsidRPr="00401DFF">
              <w:rPr>
                <w:rFonts w:ascii="Times New Roman" w:eastAsia="Times New Roman" w:hAnsi="Times New Roman" w:cs="Times New Roman"/>
                <w:sz w:val="24"/>
                <w:szCs w:val="24"/>
                <w:lang w:eastAsia="es-CO"/>
              </w:rPr>
              <w:lastRenderedPageBreak/>
              <w:t>estado de situación financiera.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compra o venta convencional (regular way purchase or sale)</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compra o venta de activos financieros es la compra o venta de un activo financiero bajo un contrato cuyas condiciones requieren la entrega del activo durante un periodo que generalmente está regulado o surge de una convención establecida en el mercado correspondiente.</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contrato de garantía financiera (financial guarantee contract)</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contrato que requiere que el emisor efectúe pagos específicos para reembolsar al tenedor por la pérdida en la que incurre cuando un deudor específico incumpla su obligación de pago a su vencimiento, de acuerdo con las condiciones, originales o modificadas, de un instrumento de deuda.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derivado (derivative)</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instrumento financiero u otro contrato que quede dentro del alcance de esta NIIF (véase el párrafo 2.1) y que cumpla las tres características siguientes:</w:t>
            </w:r>
            <w:r w:rsidRPr="00401DFF">
              <w:rPr>
                <w:rFonts w:ascii="Times New Roman" w:eastAsia="Times New Roman" w:hAnsi="Times New Roman" w:cs="Times New Roman"/>
                <w:sz w:val="24"/>
                <w:szCs w:val="24"/>
                <w:lang w:eastAsia="es-CO"/>
              </w:rPr>
              <w:br/>
              <w:t>(a) Su valor cambia en respuesta a los cambios en una tasa de interés especificada, en el precio de un instrumento financiero, en el de una materia prima cotizada, en una tasa de cambio, en un índice de precios o de tasas de interés, en una calificación o índice de carácter crediticio o en función de otra variable, que en el caso de no ser financiera no sea específica para una de las partes del contrato (a veces se denomina “subyacente” a esta variable).</w:t>
            </w:r>
            <w:r w:rsidRPr="00401DFF">
              <w:rPr>
                <w:rFonts w:ascii="Times New Roman" w:eastAsia="Times New Roman" w:hAnsi="Times New Roman" w:cs="Times New Roman"/>
                <w:sz w:val="24"/>
                <w:szCs w:val="24"/>
                <w:lang w:eastAsia="es-CO"/>
              </w:rPr>
              <w:br/>
              <w:t>(b) No requiere una inversión inicial neta, o sólo obliga a realizar una inversión inferior a la que se requeriría para otros tipos de contratos, en los que se podría esperar una respuesta similar ante cambios en las condiciones de mercado.</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reclasificación (reclassification date)</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primer día del primer periodo sobre el que se informa que sigue al cambio del modelo de negocio que da lugar a que una entidad reclasifique los activos financieros.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mantenido para negociar (held for trading)</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activo financiero o pasivo financiero que: </w:t>
            </w:r>
            <w:r w:rsidRPr="00401DFF">
              <w:rPr>
                <w:rFonts w:ascii="Times New Roman" w:eastAsia="Times New Roman" w:hAnsi="Times New Roman" w:cs="Times New Roman"/>
                <w:sz w:val="24"/>
                <w:szCs w:val="24"/>
                <w:lang w:eastAsia="es-CO"/>
              </w:rPr>
              <w:br/>
              <w:t>(a) se compra o se incurre en él principalmente con el objetivo de venderlo o de volver a comprarlo en un futuro cercano;</w:t>
            </w:r>
            <w:r w:rsidRPr="00401DFF">
              <w:rPr>
                <w:rFonts w:ascii="Times New Roman" w:eastAsia="Times New Roman" w:hAnsi="Times New Roman" w:cs="Times New Roman"/>
                <w:sz w:val="24"/>
                <w:szCs w:val="24"/>
                <w:lang w:eastAsia="es-CO"/>
              </w:rPr>
              <w:br/>
              <w:t xml:space="preserve">(b) en su reconocimiento inicial es parte de una cartera de instrumentos financieros identificados, que se gestionan conjuntamente y </w:t>
            </w:r>
            <w:r w:rsidRPr="00401DFF">
              <w:rPr>
                <w:rFonts w:ascii="Times New Roman" w:eastAsia="Times New Roman" w:hAnsi="Times New Roman" w:cs="Times New Roman"/>
                <w:sz w:val="24"/>
                <w:szCs w:val="24"/>
                <w:lang w:eastAsia="es-CO"/>
              </w:rPr>
              <w:lastRenderedPageBreak/>
              <w:t>para la cual existe evidencia de un patrón real reciente de obtención de beneficios a corto plazo; o</w:t>
            </w:r>
            <w:r w:rsidRPr="00401DFF">
              <w:rPr>
                <w:rFonts w:ascii="Times New Roman" w:eastAsia="Times New Roman" w:hAnsi="Times New Roman" w:cs="Times New Roman"/>
                <w:sz w:val="24"/>
                <w:szCs w:val="24"/>
                <w:lang w:eastAsia="es-CO"/>
              </w:rPr>
              <w:br/>
              <w:t>(c) es un derivado (excepto un derivado que sea un contrato de garantía financiera o haya sido designado como un instrumento de cobertura eficaz).</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pasivos financieros que se contabilicen al valor razonable con cambios en resultados (financial liability at fair value through profit or loss)</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pasivo financiero que cumpla alguna de las siguientes condiciones: </w:t>
            </w:r>
            <w:r w:rsidRPr="00401DFF">
              <w:rPr>
                <w:rFonts w:ascii="Times New Roman" w:eastAsia="Times New Roman" w:hAnsi="Times New Roman" w:cs="Times New Roman"/>
                <w:sz w:val="24"/>
                <w:szCs w:val="24"/>
                <w:lang w:eastAsia="es-CO"/>
              </w:rPr>
              <w:br/>
              <w:t xml:space="preserve">(a) Cumple la definición de </w:t>
            </w:r>
            <w:r w:rsidRPr="00401DFF">
              <w:rPr>
                <w:rFonts w:ascii="Times New Roman" w:eastAsia="Times New Roman" w:hAnsi="Times New Roman" w:cs="Times New Roman"/>
                <w:b/>
                <w:bCs/>
                <w:sz w:val="24"/>
                <w:szCs w:val="24"/>
                <w:lang w:eastAsia="es-CO"/>
              </w:rPr>
              <w:t>mantenido para negociar.</w:t>
            </w:r>
            <w:r w:rsidRPr="00401DFF">
              <w:rPr>
                <w:rFonts w:ascii="Times New Roman" w:eastAsia="Times New Roman" w:hAnsi="Times New Roman" w:cs="Times New Roman"/>
                <w:sz w:val="24"/>
                <w:szCs w:val="24"/>
                <w:lang w:eastAsia="es-CO"/>
              </w:rPr>
              <w:br/>
              <w:t>(b) Desde el momento del reconocimiento inicial, ha sido designado por la entidad para contabilizarlo al valor razonable con cambios en resultados de acuerdo con el párrafo 4.2.2 o 4.3.5.</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472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Valor razonable es el precio que se recibiría por vender un activo o que se pagaría por transferir un pasivo en una transacción ordenada entre participantes de mercado en la fecha de la medición. (Véase la NIIF 13).</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siguientes términos se definen en el párrafo 11 de la NIC 32 o en el párrafo 9 de la NIC 39, o en el Apéndice A de la NIIF 7 y se utilizan en esta NIIF con el significado especificado en la NIC 32, la NIC 39 o la NIIF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costo amortizado de un activo financiero o de un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método del interés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instrumento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partida cubierta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instrumento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 costos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y baja en cuentas (capítulo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 (sección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B3.1.1 Como consecuencia del principio establecido en el párrafo 3.1.1, una entidad reconocerá en su estado de situación financiera todos sus derechos y obligaciones contractuales por derivados como activos y pasivos, respectivamente, excepto los derivados que impiden que una transferencia de activos financieros sea contabilizada como una venta (véase el párrafo B3.2.14). Si una transferencia de activos financieros no cumple los requisitos para la baja en cuentas, el receptor de la transferencia no debe reconocer el activo transferido como un activo (véase el párrafo B3.2.15).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B3.1.2 Los siguientes son ejemplos de aplicación del principio establecido en el párrafo 3.1.1: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partidas por cobrar o por pagar de forma incondicional se reconocen como activos o pasivos cuando la entidad se convierte en parte del contrato y, como consecuencia de ello, tiene el derecho legal a recibir efectivo o la obligación legal de pagarlo.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activos a ser adquiridos o los pasivos a ser incurridos como resultado de un compromiso en firme de comprar o vender bienes o servicios, no se reconocen generalmente hasta que al menos alguna de las partes haya ejecutado sus obligaciones según el contrato. Por ejemplo, una entidad que recibe un pedido en firme generalmente no lo reconoce como un activo (y la entidad que solicita el pedido no lo reconoce como un pasivo) en el momento del compromiso ya que, por el contrario, retrasa el reconocimiento hasta que los bienes o servicios pedidos hayan sido expedidos, entregados o se ha realizado la prestación. Si un compromiso en firme de compra o venta de elementos no financieros está dentro del ámbito de aplicación de esta NIIF, de acuerdo con los párrafos 5 a 7 de la NIC 39, su valor razonable neto se reconocerá como un activo o pasivo en la fecha del compromiso [véase el apartado (c) siguiente]. Además, si un compromiso en firme no reconocido previamente se designa como partida cubierta en una cobertura del valor razonable, cualquier cambio en el valor razonable neto atribuible al riesgo cubierto se reconocerá como activo o pasivo después del inicio de la cobertura (véanse los párrafos 93 y 94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Un contrato a término que está dentro del alcance de esta NIIF (véanse los párrafos 2.1) se reconoce como activo o pasivo a la fecha del compromiso, y no en la fecha en la que la liquidación tiene lugar. Cuando una entidad se convierte en parte en un contrato a término, los valores razonables de los derechos y obligaciones son frecuentemente iguales, así que el valor razonable neto del contrato a término es cero. Si el valor razonable neto de los </w:t>
      </w:r>
      <w:r w:rsidRPr="00401DFF">
        <w:rPr>
          <w:rFonts w:ascii="Times New Roman" w:eastAsia="Times New Roman" w:hAnsi="Times New Roman" w:cs="Times New Roman"/>
          <w:sz w:val="24"/>
          <w:szCs w:val="24"/>
          <w:lang w:eastAsia="es-CO"/>
        </w:rPr>
        <w:lastRenderedPageBreak/>
        <w:t>derechos y obligaciones es distinto de cero, el contrato se reconocerá como un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contratos de opción, que estén dentro del alcance de esta NIIF (véase el párrafo 2.1), se reconocerán como activos o pasivos cuando el tenedor o el emisor se conviertan en parte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transacciones futuras planeadas, con independencia de la probabilidad de que ocurran, no son activos ni pasivos porque la entidad no se ha convertido en parte de ningún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Compra o venta convencional de un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B3.1.3 Una compra o venta convencional de activos financieros se reconocerá utilizando la contabilidad de la fecha de contratación o la contabilidad de la fecha de liquidación, como se describe en los párrafos B3.1.5 y B3.1.6. Una entidad aplicará el mismo método de forma coherente para todas las compras y ventas de activos financieros que se clasifiquen en la misma forma de acuerdo con esta NIIF. A estos efectos los activos que se midan obligatoriamente a valor razonable con cambios en resultados formarán una clasificación separada de los activos designados como a valor razonable con cambios en resultados. Además, las inversiones en instrumentos de patrimonio contabilizadas utilizando la opción proporcionada por el párrafo 5.7.5 formarán una clasificación separada.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B3.1.4 Un contrato que requiera o permita la liquidación neta del cambio en el valor de lo que se ha contratado no es un contrato convencional. Por el contrario, dicho contrato se contabilizará como un derivado durante el periodo entre la fecha de contratación y la fecha de liquidación.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B3.1.5 La fecha de contratación es la fecha en la que una entidad se compromete a comprar o vender un activo. La contabilidad de la fecha de contratación hace referencia a (a) el reconocimiento del activo a recibir y del pasivo a pagar en la fecha de contratación, y (b) la baja en cuentas del activo que se vende, el reconocimiento de cualquier ganancia o pérdida en la disposición y el reconocimiento de una cuenta por cobrar procedente del comprador en la fecha de contratación. Por lo general, los intereses no comienzan a acumularse (devengarse) sobre el activo y el correspondiente pasivo hasta la fecha de liquidación, cuando el título se transfiere.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B3.1.6 La fecha de liquidación es la fecha en que un activo se entrega a o por la entidad. La contabilización por la fecha de liquidación hace referencia a (a) el reconocimiento del activo en el día en que lo recibe la entidad, y (b) la baja del activo y el reconocimiento de cualquier ganancia o pérdida por la disposición en el día en que se produce su entrega por parte de la entidad. Cuando se aplica la contabilidad de la fecha de liquidación, una entidad contabilizará cualquier cambio en el valor razonable del activo a recibir, que se produzca durante el periodo que va desde la fecha de contratación hasta la fecha de liquidación, de la misma forma en que contabiliza el activo adquirido. En otras palabras, el cambio en el valor no se reconocerá en los activos medidos al costo amortizado; pero se reconocerá en el resultado del periodo para los activos clasificados como activos financieros medidos al </w:t>
      </w:r>
      <w:r w:rsidRPr="00401DFF">
        <w:rPr>
          <w:rFonts w:ascii="Times New Roman" w:eastAsia="Times New Roman" w:hAnsi="Times New Roman" w:cs="Times New Roman"/>
          <w:sz w:val="24"/>
          <w:szCs w:val="24"/>
          <w:lang w:eastAsia="es-CO"/>
        </w:rPr>
        <w:lastRenderedPageBreak/>
        <w:t>valor razonable con cambios en resultados; y se reconocerá en otro resultado integral para inversiones en instrumentos de patrimonio contabilizados de acuerdo con el párrafo 5.7.5.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Baja en cuentas de activos financieros (sección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 El siguiente organigrama ilustra cuándo y en qué medida se registra la baja en cuentas de un activo financiero.</w:t>
      </w:r>
    </w:p>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lastRenderedPageBreak/>
        <mc:AlternateContent>
          <mc:Choice Requires="wps">
            <w:drawing>
              <wp:inline distT="0" distB="0" distL="0" distR="0" wp14:anchorId="239216B6" wp14:editId="367E0B9A">
                <wp:extent cx="6186805" cy="9274810"/>
                <wp:effectExtent l="0" t="0" r="0" b="0"/>
                <wp:docPr id="6" name="Rectángulo 6" descr="D2784IMA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86805" cy="927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6" o:spid="_x0000_s1026" alt="D2784IMA1.png" style="width:487.15pt;height:7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" filled="f" stroked="f">
                <o:lock v:ext="edit" aspectratio="t"/>
                <w10:anchorlock/>
              </v:rect>
            </w:pict>
          </mc:Fallback>
        </mc:AlternateConten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Acuerdos según los cuales una entidad retiene los derechos contractuales a recibir los flujos de efectivo de un activo financiero, pero asume una obligación contractual de pagar los flujos de efectivo a uno o más perceptores [párrafo 3.2.4(b)]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B3.2.2 La situación descrita en el apartado b del párrafo 3.2.4(b) (cuando una entidad retiene el derecho contractual a recibir los flujos de efectivo de un activo financiero, pero asume una obligación contractual de pagar los flujos de efectivo a uno o más perceptores) puede tener lugar, por ejemplo, si la entidad es un fideicomiso, y emite a favor de los inversores derechos de participación en beneficios sobre los activos financieros subyacentes que posee, suministrando también el servicio de administración de aquellos activos financieros. En ese caso, los activos financieros cumplirán los requisitos para la baja en cuentas siempre que se satisfagan las condiciones establecidas en los párrafos 3.2.5 y 3.2.6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B3.2.3 Al aplicar el párrafo 3.2.5, la entidad puede ser, por ejemplo, quien ha originado el activo financiero, o puede ser un grupo que incluye una subsidiaria que haya adquirido el activo financiero y transfiera los flujos de efectivo a inversores que son terceros no vinculados.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Evaluación de la transferencia de los riesgos y recompensas de la propiedad (párrafo 3.2.6)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B3.2.4 Los siguientes son ejemplos de casos en que una entidad ha transferido de manera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venta incondicional de un activo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venta de un activo financiero juntamente con una opción para su recompra por su valor razonable en el momento de la recompra;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venta de un activo financiero con una opción de compra o venta cuyo precio de ejercicio que tenga un precio de ejercicio muy desfavorable (es decir, la opción tiene un precio de ejercicio tan desfavorable que es altamente improbable que sea favorable antes de que expire el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B3.2.5 Ejemplos de casos en que una entidad ha retenido de forma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transacción de venta con recompra posterior, cuando el precio de recompra es un precio fijo o bien igual al precio de venta más la rentabilidad normal del prestamista;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contrato de préstamo de valores;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venta de un activo financiero junto con una permuta de rendimientos totales que devuelve la exposición al riesgo de mercado 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la venta de un activo financiero junto con una opción de compra o venta que tenga un precio muy favorable (es decir, una opción cuyo precio de ejercicio es tan favorable, que es altamente improbable que sea desfavorable antes de la expiración del contrato);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venta de cuentas por cobrar a corto plazo en las cuales la entidad garantiza que compensará al receptor de la transferencia por pérdidas crediticias que probablemente ocurran.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B3.2.6 Si una entidad determina que, como resultado de una transferencia, ha cedido de manera sustancial todos los riesgos y recompensas de la propiedad del activo transferido, no reconocerá el activo transferido nuevamente en un periodo futuro, a menos que vuelva a comprar dicho activo a través de una nueva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Evaluación de la transferencia del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B3.2.7 Una entidad no habrá retenido el control de un activo transferido si el receptor de la transferencia tiene la capacidad práctica de vender el activo transferido. Una entidad habrá retenido el control de un activo transferido si el receptor de la transferencia no tiene la capacidad práctica de vender el activo transferido. El receptor de la transferencia tendrá la capacidad práctica de vender un activo transferido si se negocia en un mercado activo, porque el receptor de la transferencia puede volver a comprar el activo transferido en el mercado si fuera necesario devolver el activo a la entidad. Por ejemplo, el receptor de la transferencia puede tener la capacidad práctica de vender un activo transferido si este activo está sujeto a una opción que permite a la entidad volver a comprarlo, pero el receptor de la transferencia puede obtener fácilmente el activo en el mercado si la opción fuera ejercida. El receptor de la transferencia no tiene la capacidad práctica de vender un activo transferido si la entidad retiene dicha opción, y el receptor de la transferencia no puede obtener fácilmente el activo transferido en el mercado cuando la entidad transferidora ejercite su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B3.2.8 El receptor de la transferencia sólo tiene la capacidad práctica de vender el activo transferido si puede venderlo en su integridad a un tercero no relacionado, y es capaz de ejercer esta capacidad unilateralmente, sin restricciones adicionales impuestas en la transferencia. La cuestión clave es que el receptor de la transferencia sea capaz de hacerlo en la práctica, no qué derechos contractuales tiene el receptor de la transferencia respecto a lo que pueda hacer con el activo transferido o qué prohibiciones contractuales puedan existir. En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derecho contractual de vender o disponer por otra vía del activo transferido tiene poco efecto práctico si no existe mercado para el activo transferido;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capacidad para disponer del activo transferido tiene poco efecto práctico si no puede ser libremente ejercida. Por esa razón: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capacidad del receptor de la transferencia para disponer del activo transferido debe ser independiente de las acciones de otros (es decir, debe ser una capacidad unilateral);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el receptor de la transferencia debe ser capaz de disponer del activo transferido sin necesidad de incorporar condiciones restrictivas o cláusulas limitativas a la transferencia (por ejemplo, condiciones sobre la administración de un activo por préstamo o una opción que otorgue al receptor de la transferencia el derecho a volver a comprar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B3.2.9 Que sea improbable que el receptor de la transferencia pueda vender el activo transferido no significa, por sí mismo, que el transferidor ha retenido el control del activo transferido. Sin embargo, si la existencia de una opción de venta o una garantía impiden al receptor de la transferencia la venta del activo transferido, el transferidor habrá retenido el control del activo transferido. Por ejemplo, una opción de venta o una garantía que sea suficientemente valiosa impedirá al receptor de la transferencia la venta del activo transferido porque el receptor no vendería, en la práctica, el activo transferido a un tercero sin incluir una opción similar u otras condiciones restrictivas.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vez de ello, el receptor de la transferencia mantendría el activo transferido con el fin de obtener los pagos de acuerdo con la garantía o la opción de venta. Bajo estas circunstancias, el transferidor habrá retenido el control sobre el activo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que cumplen los requisitos para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B3.2.10 Una entidad puede retener el derecho a una parte de los pagos por intereses sobre los activos transferidos, como compensación de la administración de esos activos. La parte de los pagos por intereses a los cuales renunciaría, en el momento de la resolución o transferencia del contrato de administración de los activos transferidos, se asigna al activo o pasivo por administración del activo transferido. La parte de los pagos por intereses a los cuales no renunciaría, es una cuenta por cobrar representativa del interés que se ha segregado. Por ejemplo, si una entidad no renunciara a ningún pago por interés en el momento de la resolución o transferencia del contrato por administración del activo transferido, el diferencial de intereses total es una cuenta por cobrar representativa del interés segregado. Al objeto de aplicar el párrafo 3.2.13, se utilizarán para distribuir el importe en libros de la cuenta por cobrar, entre la parte que se da de baja y la parte que se continúa reconociendo, los valores razonables del activo por administración y de la partida por cobrar representativa del interés segregado. Si no se ha especificado ninguna comisión por administración del activo transferido, o no se espera que la comisión a recibir compense adecuadamente a la entidad por el desarrollo de esta administración, el pasivo por la obligación de administrar el activo transferido se reconoce a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B3.2.11 Al medir los valores razonables de la parte que continúa reconociéndose y de la que se da de baja en cuentas, al efecto de aplicar el párrafo 3.2.13, una entidad aplicará los requerimientos de medición del valor razonable de la NIIF 13, además de los del párrafo 3.2.14.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Transferencias que no cumplen los requisitos para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B3.2.12 Lo que sigue es una aplicación del principio establecido en el párrafo 3.2.15. Si una garantía otorgada por la entidad por pérdidas por incumplimiento sobre el activo transferido impide la baja en cuentas de éste porque la entidad ha retenido de forma </w:t>
      </w:r>
      <w:r w:rsidRPr="00401DFF">
        <w:rPr>
          <w:rFonts w:ascii="Times New Roman" w:eastAsia="Times New Roman" w:hAnsi="Times New Roman" w:cs="Times New Roman"/>
          <w:sz w:val="24"/>
          <w:szCs w:val="24"/>
          <w:lang w:eastAsia="es-CO"/>
        </w:rPr>
        <w:lastRenderedPageBreak/>
        <w:t>sustancial los riesgos y recompensas de la propiedad del mismo, el activo transferido continuará reconociéndose en su integridad y la contraprestación recibida se registrará como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Implicación continuada en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B3.2.13 Los siguientes son ejemplos de la forma en que una entidad medirá el activo transferido y el pasivo asociado, de acuerdo con el párrafo 3.2.16.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Para todos los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garantía suministrada por una entidad para pagar pérdidas por incumplimiento sobre un activo transferido, impide que el activo transferido sea dado de baja en cuentas en la medida de su implicación continuada, el activo transferido se medirá en la fecha de la transferencia al menor entre (i) el importe en libros del activo, y (ii) el importe máximo de la contraprestación recibida en la transferencia que la entidad puede ser requerida a devolver (“el importe garantizado”). El pasivo asociado se medirá inicialmente al importe garantizado más el valor razonable de la garantía (el cual es normalmente la contraprestación recibida por la garantía). Posteriormente, el valor razonable inicial de la garantía se reconocerá en el resultado del periodo en proporción al tiempo transcurrido (véase NIC 18) y el importe en libros del activo se reducirá para tener en cuenta las pérdidas por deterioro.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Activos medidos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 la obligación por una opción de venta emitida por la entidad o el derecho por una opción de compra adquirida impiden dar de baja al activo transferido, y la entidad mide el activo transferido al costo amortizado, el pasivo asociado se medirá a su costo (es decir, la contraprestación recibida) ajustado por la amortización de cualquier diferencia entre ese costo y el costo amortizado del activo transferido en la fecha de vencimiento de la opción. Por ejemplo, puede suponerse que el costo amortizado y el importe el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libros en la fecha de la transferencia valen 98 u.m., y que la contraprestación recibida es de 95 u.m. El costo amortizado del activo en la fecha de ejercicio de la opción será de 100 u.m. El importe en libros inicial del pasivo asociado será de 95 u.m. y la diferencia entre las 95 y las 100 u.m. se reconocerá en el resultado del periodo utilizando el método de la tasa de interés efectiva. Si se ejercita la opción, cualquier diferencia entre el importe en libros del pasivo asociado y el precio de ejercicio, será reconocida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Activos medidos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Si la existencia de un derecho por una opción de compra, retenida por la entidad, impide dar de baja al activo transferido, y la entidad mide este activo transferido al valor razonable, dicho activo continuará medido al valor razonable. El pasivo asociado se medirá (i) por el precio de ejercicio de la opción menos el valor temporal de la misma, si dicha opción tiene precio de ejercicio favorable o indiferente, respectivamente, o (ii) por el valor razonable del activo transferido menos el valor temporal de la opción, si dicha opción tiene precio desfavorable de ejercicio. El ajuste efectuado en la medición del pasivo asociado asegura </w:t>
      </w:r>
      <w:r w:rsidRPr="00401DFF">
        <w:rPr>
          <w:rFonts w:ascii="Times New Roman" w:eastAsia="Times New Roman" w:hAnsi="Times New Roman" w:cs="Times New Roman"/>
          <w:sz w:val="24"/>
          <w:szCs w:val="24"/>
          <w:lang w:eastAsia="es-CO"/>
        </w:rPr>
        <w:lastRenderedPageBreak/>
        <w:t>que los importes en libros netos del activo y del pasivo asociado sean el valor razonable del derecho de opción de compra. Por ejemplo, si el valor razonable del activo subyacente es de 80 u.m., el precio de ejercicio de la opción es 95 u.m. y el valor temporal de la opción es de 5 u.m., el importe en libros del pasivo asociado será de 75 u.m. (80 u.m. - 5 u.m.), mientras que el importe en libros del activo transferido será de 80 u.m. (es decir, su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la existencia de una opción de venta, emitida por una entidad, impide que se dé de baja al activo transferido y la entidad lo mide por su valor razonable, el pasivo asociado se medirá al precio de ejercicio de la opción más el valor temporal de la misma. La medición de un activo al valor razonable se limita al menor entre el valor razonable y el precio de ejercicio de la opción, puesto que la entidad no tiene derecho a los incrementos en el valor razonable del activo transferido por encima del precio de ejercicio de la opción. Esto asegura que los importes netos en libros del activo transferido y del pasivo asociado sean el valor razonable de la obligación incluida en la opción de venta. Por ejemplo, si el valor razonable del activo subyacente es de 120 u.m., el precio de ejercicio de la opción es de 100 u.m. y el valor temporal de la opción es de 5 u.m., el importe en libros del pasivo asociado será de 105 u.m. (100 + 5), mientras que el importe en libros del activo será de 100 u.m. (en este caso, el precio de ejercicio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Si un contrato que asegure un precio que esté entre un máximo y mínimo, que resulte de la combinación de una opción de compra adquirida y una opción de venta emitida, impide que se dé de baja en cuentas un activo transferido, y la entidad mide ese activo al valor razonable, continuará midiendo el activo por su valor razonable. El pasivo asociado se medirá por (i) la suma del precio de ejercicio de la opción de compra y del valor razonable de la opción de venta, menos el valor temporal de la opción de compra, si la opción de compra tiene un precio de ejercicio favorable o indiferente, respectivamente, o (ii) la suma del valor razonable del activo y del valor razonable de la opción de venta, menos el valor temporal de la opción de compra, si la opción de compra tiene un precio de ejercicio desfavorable. El ajuste efectuado en la medición del pasivo asociado asegura que los importes en libros netos del activo y del pasivo asociado sean iguales al valor razonable de las opciones compradas y emitidas por la entidad. Por ejemplo, supóngase que una entidad transfiere un activo financiero, que se mide por su valor razonable, mientras que simultáneamente adquiere una opción de compra con precio de ejercicio de 120 u.m. y emite una opción de venta con un precio de ejercicio de 80 u.m. Supóngase también que el valor razonable del activo en la fecha de la transferencia es de 100 u.m. Los valores temporales de las opciones de venta y de compra son de 1 y 5 u.m., respectivamente. En este caso, la entidad reconoce un activo por 100 u.m. (el valor razonable del activo) y un pasivo asociado por 96 u.m. [(100 u.m. + 1 u.m.) - 5 u.m.] Esto da un valor del activo neto de 4 u.m., que es el valor razonable de la opción mantenida y emitida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Todas las transferencias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B3.2.14 En la medida que la transferencia de un activo financiero no cumpla los requisitos para la baja en cuentas, los derechos u obligaciones contractuales del transferidor, relativos a la transferencia, no se contabilizarán separadamente como derivados si del reconocimiento, tanto del derivado como del activo transferido o del pasivo surgido de la </w:t>
      </w:r>
      <w:r w:rsidRPr="00401DFF">
        <w:rPr>
          <w:rFonts w:ascii="Times New Roman" w:eastAsia="Times New Roman" w:hAnsi="Times New Roman" w:cs="Times New Roman"/>
          <w:sz w:val="24"/>
          <w:szCs w:val="24"/>
          <w:lang w:eastAsia="es-CO"/>
        </w:rPr>
        <w:lastRenderedPageBreak/>
        <w:t>transferencia, se deriva el registro de los mismos derechos y obligaciones dos veces. Por ejemplo, una opción de compra retenida por el transferidor puede impedir que una transferencia de activos financieros se contabilice como una venta. En este caso, la opción de compra no se reconoce separadamente como un activo derivado.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B3.2.15 En la medida en que una transferencia de activos financieros no cumpla con los requisitos para la baja en cuentas, el receptor de la transferencia no reconocerá el activo transferido como un activo. El receptor de la transferencia dará de baja el efectivo o la contraprestación pagada, y reconocerá una cuenta por cobrar del transferidor. Si el transferidor tiene tanto el derecho como la obligación de adquirir de nuevo el control del activo transferido en su integridad por un importe fijo (tal como en un acuerdo de recompra) el receptor puede medir su cuenta por cobrar al costo amortizado si cumple los criterios del párrafo 4.1.2.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B3.2.16 Los siguientes ejemplos ilustran la aplicación de los principios de baja en cuentas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Acuerdos de recompra y préstamos de valores</w:t>
      </w:r>
      <w:r w:rsidRPr="00401DFF">
        <w:rPr>
          <w:rFonts w:ascii="Times New Roman" w:eastAsia="Times New Roman" w:hAnsi="Times New Roman" w:cs="Times New Roman"/>
          <w:sz w:val="24"/>
          <w:szCs w:val="24"/>
          <w:lang w:eastAsia="es-CO"/>
        </w:rPr>
        <w:t>. Si un activo financiero es vendido en un acuerdo que implique su recompra a un precio fijo, o al precio de venta más la rentabilidad normal del prestamista, o si se ha prestado con el acuerdo de devolverlo al transferidor, no se dará de baja en cuentas, porque el transferidor retiene de forma sustancial los riesgos y recompensas de la propiedad. Si el receptor de la transferencia obtiene el derecho a vender o pignorar el activo, el transferidor reclasificará el activo, en su estado de situación financiera, como un activo prestado o una cuenta por cobrar por recompra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Acuerdos de recompra y préstamos de valores–activos que son sustancialmente iguales</w:t>
      </w:r>
      <w:r w:rsidRPr="00401DFF">
        <w:rPr>
          <w:rFonts w:ascii="Times New Roman" w:eastAsia="Times New Roman" w:hAnsi="Times New Roman" w:cs="Times New Roman"/>
          <w:sz w:val="24"/>
          <w:szCs w:val="24"/>
          <w:lang w:eastAsia="es-CO"/>
        </w:rPr>
        <w:t>. Si un activo financiero se vende según un acuerdo para volver a comprar ese activo u otro sustancialmente igual, a un precio fijo o a un precio de venta más la rentabilidad normal del prestamista, o si el activo financiero es obtenido en préstamo o prestado junto un acuerdo de devolver el mismo o sustancialmente el mismo activo al transferidor, no se dará de baja en cuentas porque el transferidor retiene de manera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Acuerdos de recompra y préstamos de valores–derechos de sustitución</w:t>
      </w:r>
      <w:r w:rsidRPr="00401DFF">
        <w:rPr>
          <w:rFonts w:ascii="Times New Roman" w:eastAsia="Times New Roman" w:hAnsi="Times New Roman" w:cs="Times New Roman"/>
          <w:sz w:val="24"/>
          <w:szCs w:val="24"/>
          <w:lang w:eastAsia="es-CO"/>
        </w:rPr>
        <w:t>. Si un acuerdo de recompra a un precio de recompra fijo o a un precio igual al precio de venta más la rentabilidad normal del prestamista, o una transacción de préstamo de valores que sea similar a las anteriores, otorga el derecho al receptor de la transferencia a sustituir activos que son similares y de valor razonable igual al del activo transferido en la fecha de recompra, el activo vendido o prestado en dicha recompra o transacción de préstamo de valores no se dará de baja en cuentas, porque el transferidor retiene de manera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Derecho a la primera opción de recompra al valor razonable</w:t>
      </w:r>
      <w:r w:rsidRPr="00401DFF">
        <w:rPr>
          <w:rFonts w:ascii="Times New Roman" w:eastAsia="Times New Roman" w:hAnsi="Times New Roman" w:cs="Times New Roman"/>
          <w:sz w:val="24"/>
          <w:szCs w:val="24"/>
          <w:lang w:eastAsia="es-CO"/>
        </w:rPr>
        <w:t xml:space="preserve">. Si una entidad vende un activo financiero y retiene sólo el derecho a la primera opción para comprar el activo transferido por su valor razonable, si el receptor de la transferencia posteriormente lo </w:t>
      </w:r>
      <w:r w:rsidRPr="00401DFF">
        <w:rPr>
          <w:rFonts w:ascii="Times New Roman" w:eastAsia="Times New Roman" w:hAnsi="Times New Roman" w:cs="Times New Roman"/>
          <w:sz w:val="24"/>
          <w:szCs w:val="24"/>
          <w:lang w:eastAsia="es-CO"/>
        </w:rPr>
        <w:lastRenderedPageBreak/>
        <w:t>vende, la entidad dará de baja en cuentas el activo porque ha transferido de manera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Transacción de venta y recompra inmediata</w:t>
      </w:r>
      <w:r w:rsidRPr="00401DFF">
        <w:rPr>
          <w:rFonts w:ascii="Times New Roman" w:eastAsia="Times New Roman" w:hAnsi="Times New Roman" w:cs="Times New Roman"/>
          <w:sz w:val="24"/>
          <w:szCs w:val="24"/>
          <w:lang w:eastAsia="es-CO"/>
        </w:rPr>
        <w:t>. La recompra de un activo financiero poco después de haberlo vendido se denomina a veces venta y recompra inmediata. Dicha recompra no excluye la baja en cuentas, siempre que la transacción original cumpliera los requisitos para producir la baja en cuentas. Sin embargo, si el acuerdo para vender el activo financiero se realiza de manera concurrente a un acuerdo para volver a comprar ese mismo activo, a un precio fijo o por su precio de venta más la rentabilidad normal del prestamista, entonces el activo no se dará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w:t>
      </w:r>
      <w:r w:rsidRPr="00401DFF">
        <w:rPr>
          <w:rFonts w:ascii="Times New Roman" w:eastAsia="Times New Roman" w:hAnsi="Times New Roman" w:cs="Times New Roman"/>
          <w:i/>
          <w:iCs/>
          <w:sz w:val="24"/>
          <w:szCs w:val="24"/>
          <w:lang w:eastAsia="es-CO"/>
        </w:rPr>
        <w:t>Opciones de venta y de compra que son muy favorables</w:t>
      </w:r>
      <w:r w:rsidRPr="00401DFF">
        <w:rPr>
          <w:rFonts w:ascii="Times New Roman" w:eastAsia="Times New Roman" w:hAnsi="Times New Roman" w:cs="Times New Roman"/>
          <w:sz w:val="24"/>
          <w:szCs w:val="24"/>
          <w:lang w:eastAsia="es-CO"/>
        </w:rPr>
        <w:t xml:space="preserve">. Si un activo financiero transferido se puede volver a comprar por el transferidor y la opción de compra tiene un precio de ejercicio que es muy favorable, la transferencia no cumple con los requisitos para la baja en cuentas, porque el transferidor ha retenido de manera sustancial todos los riesgos y recompensas de la propiedad. De forma similar, si un activo financiero puede ser vendido nuevamente por el receptor de la transferencia y la opción de venta tiene un precio de ejercicio que es muy favorable, dicha la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transferencia no cumple los requisitos para la baja en cuentas porque el receptor de la transferencia ha retenido de manera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w:t>
      </w:r>
      <w:r w:rsidRPr="00401DFF">
        <w:rPr>
          <w:rFonts w:ascii="Times New Roman" w:eastAsia="Times New Roman" w:hAnsi="Times New Roman" w:cs="Times New Roman"/>
          <w:i/>
          <w:iCs/>
          <w:sz w:val="24"/>
          <w:szCs w:val="24"/>
          <w:lang w:eastAsia="es-CO"/>
        </w:rPr>
        <w:t>Opciones de compra y venta que son muy desfavorables</w:t>
      </w:r>
      <w:r w:rsidRPr="00401DFF">
        <w:rPr>
          <w:rFonts w:ascii="Times New Roman" w:eastAsia="Times New Roman" w:hAnsi="Times New Roman" w:cs="Times New Roman"/>
          <w:sz w:val="24"/>
          <w:szCs w:val="24"/>
          <w:lang w:eastAsia="es-CO"/>
        </w:rPr>
        <w:t>. Un activo financiero que se transfiere sujeto a una opción de venta a favor del receptor de la transferencia que tiene un precio de ejercicio muy desfavorable, o a una opción de compra a favor del transferidor que es muy desfavorable se dará de baja cuentas. Esto es así porque el transferidor ha cedido de forma sustancial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(h) </w:t>
      </w:r>
      <w:r w:rsidRPr="00401DFF">
        <w:rPr>
          <w:rFonts w:ascii="Times New Roman" w:eastAsia="Times New Roman" w:hAnsi="Times New Roman" w:cs="Times New Roman"/>
          <w:i/>
          <w:iCs/>
          <w:sz w:val="24"/>
          <w:szCs w:val="24"/>
          <w:lang w:eastAsia="es-CO"/>
        </w:rPr>
        <w:t>Activos que se pueden conseguir fácilmente, sujetos a una opción de compra que no tiene un precio de ejercicio ni muy favorable ni muy desfavorable</w:t>
      </w:r>
      <w:r w:rsidRPr="00401DFF">
        <w:rPr>
          <w:rFonts w:ascii="Times New Roman" w:eastAsia="Times New Roman" w:hAnsi="Times New Roman" w:cs="Times New Roman"/>
          <w:sz w:val="24"/>
          <w:szCs w:val="24"/>
          <w:lang w:eastAsia="es-CO"/>
        </w:rPr>
        <w:t>. Si una entidad tiene una opción de compra sobre un activo que se puede conseguir fácilmente en el mercado, y la opción no tiene un precio de ejercicio ni muy favorable ni muy desfavorable, el activo se dará de baja en cuentas. Esto es así porque la entidad (i) no ha retenido ni transferido de forma sustancial todos los riesgos y recompensas de la propiedad, y (ii) no ha retenido el control. No obstante, si el activo no se pudiera conseguir fácilmente en el mercado, la baja en cuentas está prohibida, en la proporción del importe del activo que esté sujeta a la opción de compra, porque la entidad ha retenido el control de dicho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w:t>
      </w:r>
      <w:r w:rsidRPr="00401DFF">
        <w:rPr>
          <w:rFonts w:ascii="Times New Roman" w:eastAsia="Times New Roman" w:hAnsi="Times New Roman" w:cs="Times New Roman"/>
          <w:i/>
          <w:iCs/>
          <w:sz w:val="24"/>
          <w:szCs w:val="24"/>
          <w:lang w:eastAsia="es-CO"/>
        </w:rPr>
        <w:t>Un activo que no se puede conseguir fácilmente y está sujeto a una opción de venta emitida por una entidad, que no tiene un precio de ejercicio ni muy favorable ni muy desfavorable.</w:t>
      </w:r>
      <w:r w:rsidRPr="00401DFF">
        <w:rPr>
          <w:rFonts w:ascii="Times New Roman" w:eastAsia="Times New Roman" w:hAnsi="Times New Roman" w:cs="Times New Roman"/>
          <w:sz w:val="24"/>
          <w:szCs w:val="24"/>
          <w:lang w:eastAsia="es-CO"/>
        </w:rPr>
        <w:t xml:space="preserve"> Si una entidad transfiere un activo financiero que no se puede conseguir fácilmente en el mercado, y emite una opción de venta que no tiene un precio de ejercicio muy desfavorable, la entidad ni retiene ni transfiere de manera sustancial todos los riesgos y recompensas de la propiedad, a causa de la opción de venta emitida. La entidad habrá retenido el control del activo si la opción de venta es lo suficientemente importante para impedir al receptor de la transferencia la venta del activo, en cuyo caso el activo continuará siendo reconocido en la medida de la implicación continuada del transferidor (véase el párrafo B3.2.9). La entidad transferirá el control del activo si la opción de venta no es lo </w:t>
      </w:r>
      <w:r w:rsidRPr="00401DFF">
        <w:rPr>
          <w:rFonts w:ascii="Times New Roman" w:eastAsia="Times New Roman" w:hAnsi="Times New Roman" w:cs="Times New Roman"/>
          <w:sz w:val="24"/>
          <w:szCs w:val="24"/>
          <w:lang w:eastAsia="es-CO"/>
        </w:rPr>
        <w:lastRenderedPageBreak/>
        <w:t>suficientemente importante para impedir al receptor de la transferencia la venta del activo, en cuyo caso éste se dará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(j) </w:t>
      </w:r>
      <w:r w:rsidRPr="00401DFF">
        <w:rPr>
          <w:rFonts w:ascii="Times New Roman" w:eastAsia="Times New Roman" w:hAnsi="Times New Roman" w:cs="Times New Roman"/>
          <w:i/>
          <w:iCs/>
          <w:sz w:val="24"/>
          <w:szCs w:val="24"/>
          <w:lang w:eastAsia="es-CO"/>
        </w:rPr>
        <w:t>Activos sujetos a una opción de compra o venta al valor razonable, o a un acuerdo de recompra a término al valor razonable</w:t>
      </w:r>
      <w:r w:rsidRPr="00401DFF">
        <w:rPr>
          <w:rFonts w:ascii="Times New Roman" w:eastAsia="Times New Roman" w:hAnsi="Times New Roman" w:cs="Times New Roman"/>
          <w:sz w:val="24"/>
          <w:szCs w:val="24"/>
          <w:lang w:eastAsia="es-CO"/>
        </w:rPr>
        <w:t>. La transferencia de un activo financiero que está sujeta únicamente a una opción de compra o venta con un precio de ejercicio, o a un acuerdo de recompra a término con un precio aplicable, igual al valor razonable del activo financiero en el momento de la recompra, conlleva la baja en cuentas a causa de la transferencia de forma sustancial de todos los riesgos y recompensas de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(k) </w:t>
      </w:r>
      <w:r w:rsidRPr="00401DFF">
        <w:rPr>
          <w:rFonts w:ascii="Times New Roman" w:eastAsia="Times New Roman" w:hAnsi="Times New Roman" w:cs="Times New Roman"/>
          <w:i/>
          <w:iCs/>
          <w:sz w:val="24"/>
          <w:szCs w:val="24"/>
          <w:lang w:eastAsia="es-CO"/>
        </w:rPr>
        <w:t>Opciones de compra o venta a liquidar en efectivo</w:t>
      </w:r>
      <w:r w:rsidRPr="00401DFF">
        <w:rPr>
          <w:rFonts w:ascii="Times New Roman" w:eastAsia="Times New Roman" w:hAnsi="Times New Roman" w:cs="Times New Roman"/>
          <w:sz w:val="24"/>
          <w:szCs w:val="24"/>
          <w:lang w:eastAsia="es-CO"/>
        </w:rPr>
        <w:t>. Una entidad evaluará la transferencia de un activo financiero, que esté sujeta a una opción de compra o de venta o a un acuerdo de recompra a término que será liquidada en efectivo, para determinar si ha transferido o retenido de forma sustancial todos los riesgos y recompensas de la propiedad. Si la entidad no ha retenido de forma sustancial todos los riesgos y recompensas de la propiedad del activo transferido, procederá a determinar si ha retenido el control del activo transferido. Que la opción de compra o venta o el acuerdo de recompra a término se liquiden por el neto en efectivo no significa de forma automática que la entidad haya transferido el control [véanse los párrafos B3.2.9 y (g), (h) e (i)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 </w:t>
      </w:r>
      <w:r w:rsidRPr="00401DFF">
        <w:rPr>
          <w:rFonts w:ascii="Times New Roman" w:eastAsia="Times New Roman" w:hAnsi="Times New Roman" w:cs="Times New Roman"/>
          <w:i/>
          <w:iCs/>
          <w:sz w:val="24"/>
          <w:szCs w:val="24"/>
          <w:lang w:eastAsia="es-CO"/>
        </w:rPr>
        <w:t>Cláusula de reclamación de cuentas</w:t>
      </w:r>
      <w:r w:rsidRPr="00401DFF">
        <w:rPr>
          <w:rFonts w:ascii="Times New Roman" w:eastAsia="Times New Roman" w:hAnsi="Times New Roman" w:cs="Times New Roman"/>
          <w:sz w:val="24"/>
          <w:szCs w:val="24"/>
          <w:lang w:eastAsia="es-CO"/>
        </w:rPr>
        <w:t>. La existencia de una cláusula de reclamación de cuentas es una opción de recompra (o de compra) incondicional, que otorga a la entidad el derecho a reclamar los activos transferidos con sujeción a algunas restricciones. Siempre que dicha opción implique que la entidad no ha retenido ni ha transferido de forma sustancial todos los riesgos y recompensas de la propiedad, su existencia impedirá la baja en cuentas, pero sólo en la medida correspondiente al importe sujeto a la recompra (suponiendo que el receptor de la transferencia no pueda vender los activos). Por ejemplo, si el importe en libros y el ingreso recibido por la transferencia de activos por préstamos es de 100.000 u.m. y cualquier préstamo individual puede ser vuelto a comprar pero el importe agregado de los préstamos recomprados no puede exceder de 10.000 u.m., las 90.000 u.m. cumplirían los requisitos para la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(m) </w:t>
      </w:r>
      <w:r w:rsidRPr="00401DFF">
        <w:rPr>
          <w:rFonts w:ascii="Times New Roman" w:eastAsia="Times New Roman" w:hAnsi="Times New Roman" w:cs="Times New Roman"/>
          <w:i/>
          <w:iCs/>
          <w:sz w:val="24"/>
          <w:szCs w:val="24"/>
          <w:lang w:eastAsia="es-CO"/>
        </w:rPr>
        <w:t>Opciones de liquidación de cuentas</w:t>
      </w:r>
      <w:r w:rsidRPr="00401DFF">
        <w:rPr>
          <w:rFonts w:ascii="Times New Roman" w:eastAsia="Times New Roman" w:hAnsi="Times New Roman" w:cs="Times New Roman"/>
          <w:sz w:val="24"/>
          <w:szCs w:val="24"/>
          <w:lang w:eastAsia="es-CO"/>
        </w:rPr>
        <w:t>. Una entidad, que puede ser un transferidor que administra activos transferidos, puede tener una opción de liquidación de cuentas, que le permite comprar activos transferidos residuales cuando el importe de los activos pendientes de cobro descienda a un nivel determinado, al cual el costo de administración de dichos activos se convierte en una carga en relación con los beneficios que pueda producir su administración. Siempre que dicha opción de liquidación de cuentas suponga que la entidad no retiene ni transfiere de forma sustancial todos los riesgos y los beneficios de la propiedad, y el receptor de la transferencia no pueda vender los activos, su existencia impedirá la baja en cuentas, pero sólo en la medida del importe que esté sujeto a la opción de compra.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(n) </w:t>
      </w:r>
      <w:r w:rsidRPr="00401DFF">
        <w:rPr>
          <w:rFonts w:ascii="Times New Roman" w:eastAsia="Times New Roman" w:hAnsi="Times New Roman" w:cs="Times New Roman"/>
          <w:i/>
          <w:iCs/>
          <w:sz w:val="24"/>
          <w:szCs w:val="24"/>
          <w:lang w:eastAsia="es-CO"/>
        </w:rPr>
        <w:t>Participaciones subordinadas retenidas y garantías crediticias</w:t>
      </w:r>
      <w:r w:rsidRPr="00401DFF">
        <w:rPr>
          <w:rFonts w:ascii="Times New Roman" w:eastAsia="Times New Roman" w:hAnsi="Times New Roman" w:cs="Times New Roman"/>
          <w:sz w:val="24"/>
          <w:szCs w:val="24"/>
          <w:lang w:eastAsia="es-CO"/>
        </w:rPr>
        <w:t xml:space="preserve">. Una entidad puede conceder al receptor de la transferencia mejoras crediticias mediante la subordinación de la totalidad o de una parte de sus participaciones retenidas en el activo transferido. De forma alternativa, una entidad puede conceder al receptor de la transferencia mejoras en la calidad </w:t>
      </w:r>
      <w:r w:rsidRPr="00401DFF">
        <w:rPr>
          <w:rFonts w:ascii="Times New Roman" w:eastAsia="Times New Roman" w:hAnsi="Times New Roman" w:cs="Times New Roman"/>
          <w:sz w:val="24"/>
          <w:szCs w:val="24"/>
          <w:lang w:eastAsia="es-CO"/>
        </w:rPr>
        <w:lastRenderedPageBreak/>
        <w:t>del crédito en forma de garantías crediticias, que podrían ser ilimitadas o limitadas a un importe especificado. Si la entidad retiene de forma sustancial todos los riesgos y recompensas de la propiedad del activo transferido, el activo continuará reconociéndose en su integridad. Si la entidad retiene algunos, pero no sustancialmente todos, los riesgos y recompensas de la propiedad y ha retenido el control, se prohíbe la baja en cuentas en la cuantía del importe de efectivo u otros activos que la entidad pueda ser requerida a pagar.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(o) </w:t>
      </w:r>
      <w:r w:rsidRPr="00401DFF">
        <w:rPr>
          <w:rFonts w:ascii="Times New Roman" w:eastAsia="Times New Roman" w:hAnsi="Times New Roman" w:cs="Times New Roman"/>
          <w:i/>
          <w:iCs/>
          <w:sz w:val="24"/>
          <w:szCs w:val="24"/>
          <w:lang w:eastAsia="es-CO"/>
        </w:rPr>
        <w:t>Permuta de rendimientos totales</w:t>
      </w:r>
      <w:r w:rsidRPr="00401DFF">
        <w:rPr>
          <w:rFonts w:ascii="Times New Roman" w:eastAsia="Times New Roman" w:hAnsi="Times New Roman" w:cs="Times New Roman"/>
          <w:sz w:val="24"/>
          <w:szCs w:val="24"/>
          <w:lang w:eastAsia="es-CO"/>
        </w:rPr>
        <w:t>. Una entidad puede vender un activo financiero a un receptor de la transferencia y llevar a cabo con él un acuerdo de permuta de rendimientos totales, mediante la cual todos los flujos de efectivo por pago por intereses procedentes del activo subyacente se envían a la entidad a cambio de un pago fijo o de un pago a tasa de interés variable, de forma que cualquier incremento o decremento en el valor razonable del activo subyacente quedará absorbido por la entidad. En tal caso, estará prohibida la baja en cuentas de la totalidad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(p) </w:t>
      </w:r>
      <w:r w:rsidRPr="00401DFF">
        <w:rPr>
          <w:rFonts w:ascii="Times New Roman" w:eastAsia="Times New Roman" w:hAnsi="Times New Roman" w:cs="Times New Roman"/>
          <w:i/>
          <w:iCs/>
          <w:sz w:val="24"/>
          <w:szCs w:val="24"/>
          <w:lang w:eastAsia="es-CO"/>
        </w:rPr>
        <w:t>Permuta de tasas de interés.</w:t>
      </w:r>
      <w:r w:rsidRPr="00401DFF">
        <w:rPr>
          <w:rFonts w:ascii="Times New Roman" w:eastAsia="Times New Roman" w:hAnsi="Times New Roman" w:cs="Times New Roman"/>
          <w:sz w:val="24"/>
          <w:szCs w:val="24"/>
          <w:lang w:eastAsia="es-CO"/>
        </w:rPr>
        <w:t xml:space="preserve"> Una entidad puede transferir al receptor de la transferencia un activo financiero a interés fijo y realizar con él un acuerdo de permuta financiera de tasas de interés, para recibir una tasa de interés fijo y pagar una tasa de interés variable basada en un importe nocional, que es igual al principal del activo financiero transferido. La permuta financiera de tasas de interés no excluye la baja en cuentas del activo transferido, siempre que los pagos de la permuta financiera no estén condicionados a los pagos realizados sobre el activo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(q) </w:t>
      </w:r>
      <w:r w:rsidRPr="00401DFF">
        <w:rPr>
          <w:rFonts w:ascii="Times New Roman" w:eastAsia="Times New Roman" w:hAnsi="Times New Roman" w:cs="Times New Roman"/>
          <w:i/>
          <w:iCs/>
          <w:sz w:val="24"/>
          <w:szCs w:val="24"/>
          <w:lang w:eastAsia="es-CO"/>
        </w:rPr>
        <w:t>Permuta financiera de tasas de interés con principales que se van amortizando</w:t>
      </w:r>
      <w:r w:rsidRPr="00401DFF">
        <w:rPr>
          <w:rFonts w:ascii="Times New Roman" w:eastAsia="Times New Roman" w:hAnsi="Times New Roman" w:cs="Times New Roman"/>
          <w:sz w:val="24"/>
          <w:szCs w:val="24"/>
          <w:lang w:eastAsia="es-CO"/>
        </w:rPr>
        <w:t>. Una entidad puede transferir a un receptor de la transferencia un activo financiero a tasa fija de interés que se va amortizando con el tiempo, y realizar un acuerdo de permuta financiera de tasas de interés que tenga en cuenta la amortización de los principales, de forma que reciba una tasa de interés fija y pague una tasa de interés variable sobre un importe nocional. Si el importe nocional de la permuta financiera se amortiza de forma que iguale el importe principal del activo financiero transferido pendiente en cualquier punto del tiempo, la permuta financiera podría implicar, por lo general, que la entidad retiene de forma sustancial el riesgo de pago anticipado, en cuyo caso podrá continuar reconociendo el total del activo transferido o continuar reconociendo éste solo en la medida de su implicación continuada. Por el contrario, si la amortización del importe nocional de la permuta financiera no está vinculada al importe del principal pendiente del activo transferido, dicha permuta financiera no implicaría que la entidad retiene el riesgo de pago anticipado del activo. Por lo tanto, la existencia de este tipo de permuta financiera no impedirá la baja en cuentas del activo transferido, siempre que los pagos de la permuta no estén condicionados a los pagos por interés realizados en el activo transferido, y la permuta financiera no conlleve que la entidad retiene cualquier otro riesgo o ventaja significativos que se refieran a la propiedad del activo transferido.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B3.2.17 Este párrafo ilustra la aplicación del enfoque de la implicación continuada cuando dicha implicación continuada de la entidad se centra en una parte del activo financiero.</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9"/>
        <w:gridCol w:w="19"/>
      </w:tblGrid>
      <w:tr w:rsidR="00401DFF" w:rsidRPr="00401DFF" w:rsidTr="00401DFF">
        <w:trPr>
          <w:tblCellSpacing w:w="0" w:type="dxa"/>
          <w:jc w:val="center"/>
        </w:trPr>
        <w:tc>
          <w:tcPr>
            <w:tcW w:w="1275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Supóngase que una entidad tiene una cartera de préstamos con posibilidad de pago </w:t>
            </w:r>
            <w:r w:rsidRPr="00401DFF">
              <w:rPr>
                <w:rFonts w:ascii="Times New Roman" w:eastAsia="Times New Roman" w:hAnsi="Times New Roman" w:cs="Times New Roman"/>
                <w:sz w:val="24"/>
                <w:szCs w:val="24"/>
                <w:lang w:eastAsia="es-CO"/>
              </w:rPr>
              <w:lastRenderedPageBreak/>
              <w:t>anticipado cuyo cupón y tasa de interés efectiva es del 10 por ciento, y cuyo importe principal y costo amortizado son 10.000 u.m. Realiza una transacción en la cual, a cambio de un pago de 9.115 u.m., el receptor de la transferencia obtiene el derecho a 9.000 u.m. de cualquiera de los cobros de principal más intereses al 9,5 por ciento. La entidad retiene el derecho a 1.000 u.m. de cobros de principal más intereses al 10 por ciento, más el exceso correspondiente al diferencial del 0,5 por ciento sobre los 9.000 restantes de principal. Los cobros procedentes de pagos anticipados se distribuyen proporcionalmente entre la entidad y el receptor de la transferencia en la proporción de 1 a 9, pero cualquier incumplimiento se deduce de la participación de la entidad de 1.000 u.m., hasta que dicha participación se agote. El valor razonable de los préstamos en la fecha de la transacción es de 10.100 u.m. y el valor razonable del exceso correspondiente al diferencial de 0,5 por ciento es 40.</w:t>
            </w:r>
            <w:r w:rsidRPr="00401DFF">
              <w:rPr>
                <w:rFonts w:ascii="Times New Roman" w:eastAsia="Times New Roman" w:hAnsi="Times New Roman" w:cs="Times New Roman"/>
                <w:sz w:val="24"/>
                <w:szCs w:val="24"/>
                <w:lang w:eastAsia="es-CO"/>
              </w:rPr>
              <w:br/>
              <w:t>La entidad determina que ha transferido algunos riesgos y recompensas significativas de la propiedad (por ejemplo, el riesgo significativo de pago anticipado) pero también ha retenido algunos riesgos y recompensas significativos inherentes a la propiedad (a causa de su participación retenida subordinada) y ha retenido el control. Por lo tanto, aplica el enfoque de la implicación continuada.</w:t>
            </w:r>
            <w:r w:rsidRPr="00401DFF">
              <w:rPr>
                <w:rFonts w:ascii="Times New Roman" w:eastAsia="Times New Roman" w:hAnsi="Times New Roman" w:cs="Times New Roman"/>
                <w:sz w:val="24"/>
                <w:szCs w:val="24"/>
                <w:lang w:eastAsia="es-CO"/>
              </w:rPr>
              <w:br/>
              <w:t>Para aplicar esta NIIF, la entidad analiza la transacción como (a) la retención de una participación retenida completamente proporcional en lo que se refiere a las 1.000 u.m., más (b) la subordinación de la participación retenida, que otorga al receptor de la transferencia mejoras en la calidad de los créditos por pérdidas que pudiera tener.</w:t>
            </w:r>
          </w:p>
        </w:tc>
      </w:tr>
      <w:tr w:rsidR="00401DFF" w:rsidRPr="00401DFF" w:rsidTr="00401DFF">
        <w:trPr>
          <w:tblCellSpacing w:w="0" w:type="dxa"/>
          <w:jc w:val="center"/>
        </w:trPr>
        <w:tc>
          <w:tcPr>
            <w:tcW w:w="1275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blPrEx>
          <w:tblCellMar>
            <w:top w:w="270" w:type="dxa"/>
            <w:left w:w="270" w:type="dxa"/>
            <w:right w:w="270" w:type="dxa"/>
          </w:tblCellMar>
        </w:tblPrEx>
        <w:trPr>
          <w:gridAfter w:val="1"/>
          <w:wAfter w:w="225" w:type="dxa"/>
          <w:tblCellSpacing w:w="0" w:type="dxa"/>
          <w:jc w:val="center"/>
        </w:trPr>
        <w:tc>
          <w:tcPr>
            <w:tcW w:w="1273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t>La entidad calcula que 9.090 u.m. (el 90 por ciento de 10.100 u.m.) de la contraprestación recibida de 9.115 u.m. representa la contraprestación recibida por la porción del 90 por ciento totalmente proporcional. El resto de la contraprestación recibida (25 u.m.) representa la contraprestación recibida por subordinar su participación retenida a conceder mejoras en la calidad de los créditos al receptor de la transferencia para compensarle de pérdidas en los mismos. Además, el exceso correspondiente al diferencial de 0,5 por ciento representa la contraprestación recibida por la mejora crediticia. Por consiguiente, la contraprestación total recibida por la mejora en la calidad de los créditos es de 65 u.m. (25 u.m. + 40 u.m.).</w:t>
            </w:r>
            <w:r w:rsidRPr="00401DFF">
              <w:rPr>
                <w:rFonts w:ascii="Times New Roman" w:eastAsia="Times New Roman" w:hAnsi="Times New Roman" w:cs="Times New Roman"/>
                <w:sz w:val="24"/>
                <w:szCs w:val="24"/>
                <w:lang w:eastAsia="es-CO"/>
              </w:rPr>
              <w:br/>
              <w:t xml:space="preserve">La entidad calcula la ganancia o pérdida de la venta de la porción del 90 por ciento de los flujos de efectivo. Suponiendo que los valores razonables separados de la porción del 90 por ciento transferida y de la porción del 10 por ciento retenida no están disponibles en la fecha de la transferencia, la entidad distribuye el importe en libros del activo, de acuerdo con el párrafo 3.2.14, de la forma siguiente: </w:t>
            </w:r>
          </w:p>
          <w:tbl>
            <w:tblPr>
              <w:tblW w:w="8565" w:type="dxa"/>
              <w:jc w:val="center"/>
              <w:tblCellSpacing w:w="15" w:type="dxa"/>
              <w:tblCellMar>
                <w:top w:w="15" w:type="dxa"/>
                <w:left w:w="15" w:type="dxa"/>
                <w:bottom w:w="15" w:type="dxa"/>
                <w:right w:w="15" w:type="dxa"/>
              </w:tblCellMar>
              <w:tblLook w:val="04A0" w:firstRow="1" w:lastRow="0" w:firstColumn="1" w:lastColumn="0" w:noHBand="0" w:noVBand="1"/>
            </w:tblPr>
            <w:tblGrid>
              <w:gridCol w:w="2182"/>
              <w:gridCol w:w="2441"/>
              <w:gridCol w:w="1577"/>
              <w:gridCol w:w="2365"/>
            </w:tblGrid>
            <w:tr w:rsidR="00401DFF" w:rsidRPr="00401DFF" w:rsidTr="00401DFF">
              <w:trPr>
                <w:tblCellSpacing w:w="15" w:type="dxa"/>
                <w:jc w:val="center"/>
              </w:trPr>
              <w:tc>
                <w:tcPr>
                  <w:tcW w:w="211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238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Valor razonable </w:t>
                  </w:r>
                </w:p>
              </w:tc>
              <w:tc>
                <w:tcPr>
                  <w:tcW w:w="153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Porcentaje </w:t>
                  </w:r>
                </w:p>
              </w:tc>
              <w:tc>
                <w:tcPr>
                  <w:tcW w:w="229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Importe en libros asignado </w:t>
                  </w:r>
                </w:p>
              </w:tc>
            </w:tr>
            <w:tr w:rsidR="00401DFF" w:rsidRPr="00401DFF" w:rsidTr="00401DFF">
              <w:trPr>
                <w:tblCellSpacing w:w="15" w:type="dxa"/>
                <w:jc w:val="center"/>
              </w:trPr>
              <w:tc>
                <w:tcPr>
                  <w:tcW w:w="211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Porción transferida</w:t>
                  </w:r>
                </w:p>
              </w:tc>
              <w:tc>
                <w:tcPr>
                  <w:tcW w:w="6255" w:type="dxa"/>
                  <w:gridSpan w:val="3"/>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1C8FD15D" wp14:editId="545F9C06">
                            <wp:extent cx="3728720" cy="1092835"/>
                            <wp:effectExtent l="0" t="0" r="0" b="0"/>
                            <wp:docPr id="5" name="Rectángulo 5" descr="D2784IMA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28720" cy="109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5" o:spid="_x0000_s1026" alt="D2784IMA2.png" style="width:293.6pt;height:8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" filled="f" stroked="f">
                            <o:lock v:ext="edit" aspectratio="t"/>
                            <w10:anchorlock/>
                          </v:rect>
                        </w:pict>
                      </mc:Fallback>
                    </mc:AlternateContent>
                  </w:r>
                </w:p>
              </w:tc>
            </w:tr>
            <w:tr w:rsidR="00401DFF" w:rsidRPr="00401DFF" w:rsidTr="00401DFF">
              <w:trPr>
                <w:tblCellSpacing w:w="15" w:type="dxa"/>
                <w:jc w:val="center"/>
              </w:trPr>
              <w:tc>
                <w:tcPr>
                  <w:tcW w:w="2115"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Porción retenida</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211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Total</w:t>
                  </w:r>
                </w:p>
              </w:tc>
              <w:tc>
                <w:tcPr>
                  <w:tcW w:w="0" w:type="auto"/>
                  <w:gridSpan w:val="3"/>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La entidad computa su ganancia o pérdida sobre la venta de la porción correspondiente al 90 por ciento de los flujos de efectivo, deduciendo el importe en libros distribuido a la </w:t>
            </w:r>
            <w:r w:rsidRPr="00401DFF">
              <w:rPr>
                <w:rFonts w:ascii="Times New Roman" w:eastAsia="Times New Roman" w:hAnsi="Times New Roman" w:cs="Times New Roman"/>
                <w:sz w:val="24"/>
                <w:szCs w:val="24"/>
                <w:lang w:eastAsia="es-CO"/>
              </w:rPr>
              <w:lastRenderedPageBreak/>
              <w:t>porción transferida de la contraprestación recibida, es decir 90 u.m. (9.090 u.m. - 9.000 u.m.). El importe en libros de la parte retenida por la entidad es de 1.000 u.m.</w:t>
            </w:r>
            <w:r w:rsidRPr="00401DFF">
              <w:rPr>
                <w:rFonts w:ascii="Times New Roman" w:eastAsia="Times New Roman" w:hAnsi="Times New Roman" w:cs="Times New Roman"/>
                <w:sz w:val="24"/>
                <w:szCs w:val="24"/>
                <w:lang w:eastAsia="es-CO"/>
              </w:rPr>
              <w:br/>
              <w:t>Además, la entidad reconoce la implicación continuada que resulta de la subordinación de la participación retenida para pérdidas crediticias. Por consiguiente, reconoce un activo de 1.000 u.m. (el importe máximo de los flujos de efectivo que no recibiría de acuerdo a la subordinación) y un pasivo asociado de 1.065 u.m. (que es el importe máximo de los flujos de efectivo que no recibiría de acuerdo con la subordinación, es decir, 1.000 u.m. más el valor razonable de la subordinación que es de 65 u.m.).</w:t>
            </w:r>
          </w:p>
        </w:tc>
      </w:tr>
      <w:tr w:rsidR="00401DFF" w:rsidRPr="00401DFF" w:rsidTr="00401DFF">
        <w:tblPrEx>
          <w:tblCellMar>
            <w:top w:w="270" w:type="dxa"/>
            <w:left w:w="270" w:type="dxa"/>
            <w:right w:w="270" w:type="dxa"/>
          </w:tblCellMar>
        </w:tblPrEx>
        <w:trPr>
          <w:gridAfter w:val="1"/>
          <w:wAfter w:w="225" w:type="dxa"/>
          <w:tblCellSpacing w:w="0" w:type="dxa"/>
          <w:jc w:val="center"/>
        </w:trPr>
        <w:tc>
          <w:tcPr>
            <w:tcW w:w="1273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270" w:type="dxa"/>
          <w:left w:w="270" w:type="dxa"/>
          <w:right w:w="270" w:type="dxa"/>
        </w:tblCellMar>
        <w:tblLook w:val="04A0" w:firstRow="1" w:lastRow="0" w:firstColumn="1" w:lastColumn="0" w:noHBand="0" w:noVBand="1"/>
      </w:tblPr>
      <w:tblGrid>
        <w:gridCol w:w="8868"/>
      </w:tblGrid>
      <w:tr w:rsidR="00401DFF" w:rsidRPr="00401DFF" w:rsidTr="00401DFF">
        <w:trPr>
          <w:tblCellSpacing w:w="0" w:type="dxa"/>
          <w:jc w:val="center"/>
        </w:trPr>
        <w:tc>
          <w:tcPr>
            <w:tcW w:w="1267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...Continuación </w:t>
            </w:r>
            <w:r w:rsidRPr="00401DFF">
              <w:rPr>
                <w:rFonts w:ascii="Times New Roman" w:eastAsia="Times New Roman" w:hAnsi="Times New Roman" w:cs="Times New Roman"/>
                <w:sz w:val="24"/>
                <w:szCs w:val="24"/>
                <w:lang w:eastAsia="es-CO"/>
              </w:rPr>
              <w:br/>
              <w:t xml:space="preserve">La entidad utiliza toda la información anteriormente mencionada para contabilizar la transacción de la forma siguiente: </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206"/>
              <w:gridCol w:w="2517"/>
              <w:gridCol w:w="2115"/>
            </w:tblGrid>
            <w:tr w:rsidR="00401DFF" w:rsidRPr="00401DFF" w:rsidTr="00401DFF">
              <w:trPr>
                <w:tblCellSpacing w:w="15" w:type="dxa"/>
                <w:jc w:val="center"/>
              </w:trPr>
              <w:tc>
                <w:tcPr>
                  <w:tcW w:w="59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2580" w:type="dxa"/>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Debe</w:t>
                  </w:r>
                </w:p>
              </w:tc>
              <w:tc>
                <w:tcPr>
                  <w:tcW w:w="234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 xml:space="preserve">Haber </w:t>
                  </w:r>
                </w:p>
              </w:tc>
            </w:tr>
            <w:tr w:rsidR="00401DFF" w:rsidRPr="00401DFF" w:rsidTr="00401DFF">
              <w:trPr>
                <w:tblCellSpacing w:w="15" w:type="dxa"/>
                <w:jc w:val="center"/>
              </w:trPr>
              <w:tc>
                <w:tcPr>
                  <w:tcW w:w="594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Activo original</w:t>
                  </w:r>
                </w:p>
              </w:tc>
              <w:tc>
                <w:tcPr>
                  <w:tcW w:w="4950" w:type="dxa"/>
                  <w:gridSpan w:val="2"/>
                  <w:vMerge w:val="restart"/>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72F177B4" wp14:editId="348A3950">
                            <wp:extent cx="2564765" cy="3028315"/>
                            <wp:effectExtent l="0" t="0" r="0" b="0"/>
                            <wp:docPr id="4" name="Rectángulo 4" descr="D2784IMA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4765" cy="302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4" o:spid="_x0000_s1026" alt="D2784IMA4.png" style="width:201.95pt;height:23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" filled="f" stroked="f">
                            <o:lock v:ext="edit" aspectratio="t"/>
                            <w10:anchorlock/>
                          </v:rect>
                        </w:pict>
                      </mc:Fallback>
                    </mc:AlternateContent>
                  </w:r>
                </w:p>
              </w:tc>
            </w:tr>
            <w:tr w:rsidR="00401DFF" w:rsidRPr="00401DFF" w:rsidTr="00401DFF">
              <w:trPr>
                <w:tblCellSpacing w:w="15" w:type="dxa"/>
                <w:jc w:val="center"/>
              </w:trPr>
              <w:tc>
                <w:tcPr>
                  <w:tcW w:w="594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Activo reconocido por la subordinación de la participación residual</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594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Activo por la contraprestación recibida en forma de diferencial restante</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59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Ganancia o pérdida (ganancia por la transferencia)</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5940" w:type="dxa"/>
                  <w:vAlign w:val="bottom"/>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Pasivo</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59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Efectivo recibido</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r w:rsidR="00401DFF" w:rsidRPr="00401DFF" w:rsidTr="00401DFF">
              <w:trPr>
                <w:tblCellSpacing w:w="15" w:type="dxa"/>
                <w:jc w:val="center"/>
              </w:trPr>
              <w:tc>
                <w:tcPr>
                  <w:tcW w:w="594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Total</w:t>
                  </w:r>
                </w:p>
              </w:tc>
              <w:tc>
                <w:tcPr>
                  <w:tcW w:w="0" w:type="auto"/>
                  <w:gridSpan w:val="2"/>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r>
          </w:tbl>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Inmediatamente después de la transacción, el importe en libros del activo es de 2.040 u.m., que comprenden 1.000 u.m., que representan el importe distribuido a la parte retenida, y 1.040 u.m., que representan la implicación continuada adicional de la entidad, procedente de la subordinación de la participación retenida para compensar pérdidas crediticias (que incluye el exceso correspondiente al diferencial de 40 u.m.).</w:t>
            </w:r>
            <w:r w:rsidRPr="00401DFF">
              <w:rPr>
                <w:rFonts w:ascii="Times New Roman" w:eastAsia="Times New Roman" w:hAnsi="Times New Roman" w:cs="Times New Roman"/>
                <w:sz w:val="24"/>
                <w:szCs w:val="24"/>
                <w:lang w:eastAsia="es-CO"/>
              </w:rPr>
              <w:br/>
              <w:t xml:space="preserve">En periodos posteriores, la entidad reconocerá la contraprestación recibida por la mejora en la calidad de los créditos (65 u.m.) sobre una base temporal proporcional, acumulará (devengará) intereses sobre el activo reconocido utilizando el método de la tasa de interés efectiva y reconocerá cualquier deterioro crediticio sobre los activos reconocidos. Como un ejemplo de lo anterior, supóngase que en el siguiente año hay una pérdida por deterioro crediticio en los préstamos subyacentes de 300 u.m. La entidad reducirá su activo reconocido por 600 u.m. (300 u.m. relativas a la participación retenida y otras 300 u.m. relativas a la implicación continuada adicional que surge de la subordinación de su </w:t>
            </w:r>
            <w:r w:rsidRPr="00401DFF">
              <w:rPr>
                <w:rFonts w:ascii="Times New Roman" w:eastAsia="Times New Roman" w:hAnsi="Times New Roman" w:cs="Times New Roman"/>
                <w:sz w:val="24"/>
                <w:szCs w:val="24"/>
                <w:lang w:eastAsia="es-CO"/>
              </w:rPr>
              <w:lastRenderedPageBreak/>
              <w:t>participación retenida por pérdidas crediticias) y reducirá su pasivo reconocido por 300 u.m. El resultado neto es un cargo al resultado del periodo por deterioro del crédito por importe de 300 u.m.</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Baja en cuentas de pasivos financieros (sección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B3.3.1 Un pasivo financiero (o una parte del mismo) se cancelará cuando el deudor: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cumpla con la obligación contenida en el pasivo (o en una parte del mismo) pagando al acreedor, normalmente en efectivo, en otros activos financieros, en bienes o en servicios;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esté legalmente dispensado de la responsabilidad principal contenida en el pasivo (o en una parte del mismo) ya sea por un proceso judicial o por el acreedor. (Si el deudor ha prestado una garantía esta condición puede ser aún cumplida).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B3.3.2 Si el emisor de un instrumento de deuda compra de nuevo ese instrumento, la deuda quedará cancelada, incluso en el caso de que el emisor fuera un creador de mercado para ese instrumento o intente volver a venderlo en un futuro inmediato.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B3.3.3 El pago a un tercero, incluyendo la creación de un fondo fiduciario específico para liquidar la deuda (a veces denominado “revocación en esencia”), no libera por sí mismo al deudor de su responsabilidad principal con el acreedor, excepto que haya obtenido una liberación legal de su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B3.3.4 Si el deudor paga a un tercero por asumir la obligación y notifica al acreedor que el tercero en cuestión ha asumido su deuda, el deudor no dará de baja la deuda a menos que se cumpla la condición establecida en el párrafo B3.3.1(b). Si el deudor paga a un tercero por asumir una obligación y obtiene una liberación legal de parte del acreedor, habrá cancelado la deuda. No obstante, si el deudor acordase realizar pagos sobre la deuda al tercero o hacerlos directamente a su acreedor original, el deudor reconocerá una nueva obligación de deuda con el tercero.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B3.3.5 Aunque la existencia de una liberación legal del compromiso que supone la deuda, ya sea judicial o del propio acreedor, conlleve la baja en cuentas de un pasivo, la entidad podría tener que reconocer un nuevo pasivo si no se cumpliesen, para el activo financiero transferido, los criterios de baja en cuentas recogidos en los párrafos 3.2.1 a 3.2.23. Si esos criterios no se cumplen, los activos financieros transferidos no se darán de baja, y la entidad reconocerá un nuevo pasivo relacionado con los activos transferidos.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B3.3.6 A efectos del párrafo 3.3.2, las condiciones serán sustancialmente diferentes si el valor presente de los flujos de efectivo descontados bajo las nuevas condiciones, incluyendo cualquier comisión pagada neta de cualquier comisión recibida, y utilizando para hacer el descuento la tasa de interés efectiva original, difiere al menos en un 10 por ciento del valor presente descontado de los flujos de efectivo que todavía resten del pasivo financiero original. Si un intercambio de instrumentos de deuda o una modificación de las condiciones se contabilizan como una cancelación, los costos o comisiones incurridos se </w:t>
      </w:r>
      <w:r w:rsidRPr="00401DFF">
        <w:rPr>
          <w:rFonts w:ascii="Times New Roman" w:eastAsia="Times New Roman" w:hAnsi="Times New Roman" w:cs="Times New Roman"/>
          <w:sz w:val="24"/>
          <w:szCs w:val="24"/>
          <w:lang w:eastAsia="es-CO"/>
        </w:rPr>
        <w:lastRenderedPageBreak/>
        <w:t>reconocerán como parte del resultado procedente de la extinción. Si el intercambio o la modificación citados no se contabilizasen como una cancelación, los costos y comisiones ajustarán el importe en libros del pasivo, y se amortizarán a lo largo de la vida restante del pasivo modificado.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B3.3.7 En algunos casos, un acreedor libera a un deudor de su obligación actual de realizar pagos, pero el deudor asume una garantía de la obligación de pago en caso de que la parte que asume la responsabilidad principal incumpla su compromiso de pago. En esta circunstancia el deudor: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reconocerá un nuevo pasivo financiero basado en el valor razonable de la obligación por la garantía,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reconocerá una ganancia o pérdida basada en la diferencia entre (i) cualquier pago realizado y (ii) el importe en libros del pasivo financiero original menos el valor razonable del nuevo pasivo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(capítulo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activos financieros (sección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Modelo de negocio de la entidad para gestionar los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 El párrafo 4.1.1(a) requiere que una entidad clasifique los activos financieros conforme a su medición posterior al costo amortizado o al valor razonable, sobre la base del modelo de negocio de la entidad para gestionar los activos financieros. Una entidad evaluará si sus activos financieros cumplen esta condición basándose en el objetivo del modelo de negocio, conforme esté determinado por el personal clave de la gerencia (como se define en la NIC 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 El modelo de negocio de la entidad no dependerá de las intenciones de la gerencia para un instrumento individual. Por consiguiente, esta condición no es un enfoque de clasificación instrumento por instrumento y debe determinarse a partir de un nivel más alto de agregación. Sin embargo, una única entidad puede tener más de un modelo de negocio para gestionar sus instrumentos financieros. Por ello, la clasificación no necesita determinarse a nivel de la entidad que informa. Por ejemplo, una entidad puede mantener una cartera de inversiones que gestiona para obtener flujos de efectivo contractuales, y otra cartera de inversiones que gestiona para negociar para realizar cambios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 Aunque el objetivo del modelo de negocio de una entidad puede ser mantener activos financieros para obtener los flujos de efectivo contractuales, la entidad no necesita mantener todos los instrumentos hasta el vencimiento. Por ello, el modelo de negocio de una entidad puede ser mantener los activos financieros para obtener los flujos de efectivo contractuales incluso aunque tengan lugar ventas de activos financieros. Por ejemplo, la entidad puede vender un activo financiero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dicho activo financiero deja de cumplir las condiciones de la política de inversión de la entidad (por ejemplo, la calificación crediticia del activo desciende por debajo de lo requerido por la política de inversión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el caso de una aseguradora, si la entidad ajusta su cartera de inversión para reflejar un cambio en la duración esperada (es decir el calendario esperado de desembolsos);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dicha entidad necesita financiar desembolsos de capital.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Sin embargo, si se realiza un número excesivamente infrecuente de ventas de una cartera, la entidad necesitará evaluar si y cómo estas ventas son coherentes con un objetivo de obtener flujos de efectivo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B4.1.4 Los siguientes son ejemplos de casos donde el objetivo del modelo de negocio de una entidad puede ser mantener activos financieros para obtener flujos de efectivo contractuales. Esta lista de ejemplos no es exhaustiva.</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83"/>
        <w:gridCol w:w="5285"/>
      </w:tblGrid>
      <w:tr w:rsidR="00401DFF" w:rsidRPr="00401DFF" w:rsidTr="00401DFF">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w:t>
            </w:r>
          </w:p>
        </w:tc>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Análisis</w:t>
            </w:r>
          </w:p>
        </w:tc>
      </w:tr>
      <w:tr w:rsidR="00401DFF" w:rsidRPr="00401DFF" w:rsidTr="00401DFF">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w:t>
            </w:r>
            <w:r w:rsidRPr="00401DFF">
              <w:rPr>
                <w:rFonts w:ascii="Times New Roman" w:eastAsia="Times New Roman" w:hAnsi="Times New Roman" w:cs="Times New Roman"/>
                <w:sz w:val="24"/>
                <w:szCs w:val="24"/>
                <w:lang w:eastAsia="es-CO"/>
              </w:rPr>
              <w:br/>
              <w:t>Una entidad mantiene inversiones para obtener sus flujos de efectivo contractuales pero vendería una inversión en circunstancias particulares.</w:t>
            </w:r>
          </w:p>
        </w:tc>
        <w:tc>
          <w:tcPr>
            <w:tcW w:w="540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Aunque una entidad puede considerar, entre otra información, los valores razonables de los activos financieros desde una perspectiva de liquidez (es decir el importe de efectivo que se realizaría si la entidad necesitara vender los activos), el objetivo de la entidad es mantener los activos financieros y obtener los flujos de efectivos contractuales. La realización de algunas ventas no estaría en contradicción con ese objetivo.</w:t>
            </w:r>
          </w:p>
        </w:tc>
      </w:tr>
      <w:tr w:rsidR="00401DFF" w:rsidRPr="00401DFF" w:rsidTr="00401DFF">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2</w:t>
            </w:r>
            <w:r w:rsidRPr="00401DFF">
              <w:rPr>
                <w:rFonts w:ascii="Times New Roman" w:eastAsia="Times New Roman" w:hAnsi="Times New Roman" w:cs="Times New Roman"/>
                <w:sz w:val="24"/>
                <w:szCs w:val="24"/>
                <w:lang w:eastAsia="es-CO"/>
              </w:rPr>
              <w:br/>
              <w:t xml:space="preserve">El modelo de negocio de una entidad es comprar carteras de activos financieros, tales como préstamos. Las carteras pueden incluir o no activos financieros que hayan sufrido pérdidas crediticias. Si el pago de los préstamos no se realiza a tiempo, la entidad pretende obtener los flujos de efectivo contractuales a través de varias formas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por ejemplo, contactando con el deudor por correo, teléfono u otros medios.</w:t>
            </w:r>
            <w:r w:rsidRPr="00401DFF">
              <w:rPr>
                <w:rFonts w:ascii="Times New Roman" w:eastAsia="Times New Roman" w:hAnsi="Times New Roman" w:cs="Times New Roman"/>
                <w:sz w:val="24"/>
                <w:szCs w:val="24"/>
                <w:lang w:eastAsia="es-CO"/>
              </w:rPr>
              <w:br/>
              <w:t xml:space="preserve">En algunos casos, la entidad realiza permutas financieras de tasas de interés para cambiar la tasa de interés de activos financieros concretos, dentro de una cartera, de </w:t>
            </w:r>
            <w:r w:rsidRPr="00401DFF">
              <w:rPr>
                <w:rFonts w:ascii="Times New Roman" w:eastAsia="Times New Roman" w:hAnsi="Times New Roman" w:cs="Times New Roman"/>
                <w:sz w:val="24"/>
                <w:szCs w:val="24"/>
                <w:lang w:eastAsia="es-CO"/>
              </w:rPr>
              <w:lastRenderedPageBreak/>
              <w:t>una tasa de interés variable a otra fija.</w:t>
            </w:r>
          </w:p>
        </w:tc>
        <w:tc>
          <w:tcPr>
            <w:tcW w:w="540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El objetivo del modelo de negocio de la entidad es mantener los activos financieros y obtener los flujos de efectivo contractuales. La entidad no compra la cartera para obtener un beneficio por medio de su venta.</w:t>
            </w:r>
            <w:r w:rsidRPr="00401DFF">
              <w:rPr>
                <w:rFonts w:ascii="Times New Roman" w:eastAsia="Times New Roman" w:hAnsi="Times New Roman" w:cs="Times New Roman"/>
                <w:sz w:val="24"/>
                <w:szCs w:val="24"/>
                <w:lang w:eastAsia="es-CO"/>
              </w:rPr>
              <w:br/>
              <w:t>El mismo análisis se aplicaría incluso si la entidad no espera recibir todos los flujos de efectivo contractuales (por ejemplo algunos de los activos financieros han sufrido pérdidas crediticias).</w:t>
            </w:r>
            <w:r w:rsidRPr="00401DFF">
              <w:rPr>
                <w:rFonts w:ascii="Times New Roman" w:eastAsia="Times New Roman" w:hAnsi="Times New Roman" w:cs="Times New Roman"/>
                <w:sz w:val="24"/>
                <w:szCs w:val="24"/>
                <w:lang w:eastAsia="es-CO"/>
              </w:rPr>
              <w:br/>
              <w:t>Más aún, el hecho de que la entidad haya contratado derivados para modificar los flujos de efectivo de la cartera, no cambia por sí mismo el modelo de negocio de la entidad. Si la cartera no se gestiona sobre una base de valor razonable, el objetivo del modelo de negocio podría ser mantener los activos para obtener los flujos de efectivo contractuales.</w:t>
            </w:r>
          </w:p>
        </w:tc>
      </w:tr>
      <w:tr w:rsidR="00401DFF" w:rsidRPr="00401DFF" w:rsidTr="00401DFF">
        <w:trPr>
          <w:tblCellSpacing w:w="0" w:type="dxa"/>
          <w:jc w:val="center"/>
        </w:trPr>
        <w:tc>
          <w:tcPr>
            <w:tcW w:w="364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Ejemplo 3</w:t>
            </w:r>
            <w:r w:rsidRPr="00401DFF">
              <w:rPr>
                <w:rFonts w:ascii="Times New Roman" w:eastAsia="Times New Roman" w:hAnsi="Times New Roman" w:cs="Times New Roman"/>
                <w:sz w:val="24"/>
                <w:szCs w:val="24"/>
                <w:lang w:eastAsia="es-CO"/>
              </w:rPr>
              <w:br/>
              <w:t xml:space="preserve">Una entidad tiene un modelo de negocio con el objetivo de conceder préstamos a clientes y posteriormente vender esos préstamos a un vehículo de titulización. El vehículo de titulización emite instrumentos para los inversores. </w:t>
            </w:r>
            <w:r w:rsidRPr="00401DFF">
              <w:rPr>
                <w:rFonts w:ascii="Times New Roman" w:eastAsia="Times New Roman" w:hAnsi="Times New Roman" w:cs="Times New Roman"/>
                <w:sz w:val="24"/>
                <w:szCs w:val="24"/>
                <w:lang w:eastAsia="es-CO"/>
              </w:rPr>
              <w:br/>
              <w:t>La entidad concedente controla el vehículo de titulización y por ello lo consolida.</w:t>
            </w:r>
            <w:r w:rsidRPr="00401DFF">
              <w:rPr>
                <w:rFonts w:ascii="Times New Roman" w:eastAsia="Times New Roman" w:hAnsi="Times New Roman" w:cs="Times New Roman"/>
                <w:sz w:val="24"/>
                <w:szCs w:val="24"/>
                <w:lang w:eastAsia="es-CO"/>
              </w:rPr>
              <w:br/>
              <w:t>El vehículo de titulización obtiene los flujos de efectivo contractuales procedentes de los préstamos y los transfiere a sus inversores.</w:t>
            </w:r>
            <w:r w:rsidRPr="00401DFF">
              <w:rPr>
                <w:rFonts w:ascii="Times New Roman" w:eastAsia="Times New Roman" w:hAnsi="Times New Roman" w:cs="Times New Roman"/>
                <w:sz w:val="24"/>
                <w:szCs w:val="24"/>
                <w:lang w:eastAsia="es-CO"/>
              </w:rPr>
              <w:br/>
              <w:t>Se supone, a efectos de este ejemplo, que los préstamos continúan siendo reconocidos en el estado de situación financiera consolidado, porque no han sido dados de baja en cuentas por el vehículo de titulización.</w:t>
            </w:r>
          </w:p>
        </w:tc>
        <w:tc>
          <w:tcPr>
            <w:tcW w:w="540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grupo consolidado originó los préstamos con el objetivo de mantenerlos para obtener los flujos de efectivo contractuales.</w:t>
            </w:r>
            <w:r w:rsidRPr="00401DFF">
              <w:rPr>
                <w:rFonts w:ascii="Times New Roman" w:eastAsia="Times New Roman" w:hAnsi="Times New Roman" w:cs="Times New Roman"/>
                <w:sz w:val="24"/>
                <w:szCs w:val="24"/>
                <w:lang w:eastAsia="es-CO"/>
              </w:rPr>
              <w:br/>
              <w:t>Sin embargo, la entidad que los origina tiene un objetivo de realizar los flujos de efectivo de la cartera de préstamos mediante la venta de éstos al vehículo de titulización, por ello a afectos de sus estados financieros separados no se consideraría que está gestionando esta cartera para obtener los flujos de efectivo contractuales.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B4.1.5 Un modelo de negocio en el que el objetivo no es mantener instrumentos para obtener los flujos de efectivo contractuales se da cuando una entidad gestiona el rendimiento de una cartera de activos financieros con el objetivo de realizar los flujos de efectivo mediante la venta de los activos. Por ejemplo, si una entidad gestiona activamente una cartera de activos para realizar cambios en el valor razonable que surjan de cambios en diferenciales por riesgo de crédito y curvas de rendimiento, su modelo de negocio no es para mantener activos con el fin de obtener los flujos de efectivo contractuales. El objetivo de la entidad dará lugar a comprar y vender de forma activa y la entidad gestiona los instrumentos para realizar ganancias del valor razonable, en lugar de para obtener los flujos de efectivo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B4.1.6 Una cartera de activos financieros que se gestiona y cuyo rendimiento se evalúa sobre una base del valor razonable [como se describe en el párrafo 4.2.2(b)] no se mantiene para obtener flujos de efectivo contractuales. Asimismo, una cartera de activos financieros que cumple la definición de mantenida para negociar no se mantiene con el fin de obtener flujos de efectivo contractuales. Estas carteras de instrumentos deben medirse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Flujos de efectivo contractuales que son únicamente pagos del principal e intereses sobre el importe del principal 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B4.1.7 El párrafo 4.1.1 requiere que una entidad (a menos que aplique el párrafo 4.1.5) clasifique un activo financiero, para su medición posterior a costo amortizado o valor razonable, sobre la base de las características de los flujos de efectivo contractuales del activo financiero, que pertenece a un grupo de activos financieros gestionado para obtener los flujos de efectivo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B4.1.8 Una entidad evaluará si los flujos de efectivo contractuales son únicamente pagos del principal e intereses sobre el importe del principal pendiente, tomando como referencia la moneda en la que esté denominado el activo financiero (véase también el párrafo B5.7.2).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B4.1.9 El apalancamiento es una característica de los flujos de efectivo contractuales de algunos activos financieros. El apalancamiento incrementa la variabilidad de los flujos de efectivo contractuales, haciendo que no tengan las características económicas del interés. Ejemplos de activos financieros que incluyen apalancamiento son los contratos simples de opción, los contratos a término y los de permuta financiera. Por ello estos contratos no cumplen la condición del párrafo 4.1.2(b) y no se pueden medir posteriormente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B4.1.10 Las cláusulas contractuales que permiten al emisor (es decir al deudor) pagar por anticipado un instrumento de deuda (por ejemplo un préstamo o un bono) o permiten al tenedor (es decir al acreedor) revenderlo al emisor antes del vencimiento, dan lugar a flujos de efectivo contractuales que son únicamente pagos del principal e intereses sobre el importe del principal pendiente solo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cláusula no depende de hechos futuros, distintos de los que protegen: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al tenedor contra el deterioro del crédito del emisor (por ejemplo incumplimientos, rebajas crediticias o infracciones de cláusulas del préstamo), o de un cambio en el control del emisor;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al tenedor o emisor contra cambios legales o fiscales relevantes;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importe pagado por anticipado representa sustancialmente los importes sin pagar del principal e intereses sobre el importe del principal pendiente, que puede incluir una compensación adicional razonable por la terminación anticipada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B4.1.11 Las cláusulas contractuales que permiten al emisor o al tenedor ampliar la duración contractual de un instrumento de deuda (es decir una opción de ampliación) dan lugar a flujos de efectivo contractuales que son únicamente pagos del principal e intereses sobre el importe del principal pendiente solo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cláusula no depende de hechos futuros, distintos de los que protegen: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 al tenedor contra el deterioro del crédito del emisor (por ejemplo incumplimientos, rebajas crediticias o infracciones de cláusulas del préstamo), o de un cambio en el control del emisor;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al tenedor o emisor contra cambios legales o fiscales relevantes;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condiciones de la opción de ampliación dan lugar a flujos de efectivo contractuales, durante el periodo de ampliación, que son únicamente pagos del principal e intereses sobre el importe del principal 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B4.1.12 Una condición contractual que cambia el calendario o importe de los pagos del principal o intereses no da lugar a flujos de efectivo contractuales que son únicamente principal e intereses sobre el importe del principal pendiente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se trate de una tasa de interés variable que sea contraprestación por el valor temporal del dinero y el riesgo de crédito (que puede determinarse solo en el reconocimiento inicial, y por ello puede ser fijada) asociada con el importe del principal pendiente;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condición contractual es una opción de pago anticipado, cumpla las condiciones del párrafo B4.1.10;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condición contractual es una opción de ampliación, cumpla las condiciones del párrafo B4.1.11.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B4.1.13 Los siguientes ejemplos ilustran flujos de efectivo contractuales que son únicamente pagos del principal e intereses sobre el importe del principal pendiente. Esta lista de ejemplos no es exhaustiva.</w:t>
      </w:r>
    </w:p>
    <w:tbl>
      <w:tblPr>
        <w:tblW w:w="972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4"/>
        <w:gridCol w:w="6402"/>
        <w:gridCol w:w="104"/>
      </w:tblGrid>
      <w:tr w:rsidR="00401DFF" w:rsidRPr="00401DFF" w:rsidTr="00401DFF">
        <w:trPr>
          <w:gridAfter w:val="1"/>
          <w:wAfter w:w="45"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w:t>
            </w:r>
          </w:p>
        </w:tc>
        <w:tc>
          <w:tcPr>
            <w:tcW w:w="642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Análisis</w:t>
            </w:r>
          </w:p>
        </w:tc>
      </w:tr>
      <w:tr w:rsidR="00401DFF" w:rsidRPr="00401DFF" w:rsidTr="00401DFF">
        <w:trPr>
          <w:gridAfter w:val="1"/>
          <w:wAfter w:w="45" w:type="dxa"/>
          <w:tblCellSpacing w:w="0" w:type="dxa"/>
          <w:jc w:val="center"/>
        </w:trPr>
        <w:tc>
          <w:tcPr>
            <w:tcW w:w="32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A</w:t>
            </w:r>
            <w:r w:rsidRPr="00401DFF">
              <w:rPr>
                <w:rFonts w:ascii="Times New Roman" w:eastAsia="Times New Roman" w:hAnsi="Times New Roman" w:cs="Times New Roman"/>
                <w:sz w:val="24"/>
                <w:szCs w:val="24"/>
                <w:lang w:eastAsia="es-CO"/>
              </w:rPr>
              <w:br/>
              <w:t>El instrumento A es un bono con una fecha de vencimiento señalada. Los pagos del principal e intereses sobre el importe del principal pendiente están vinculados a un índice de inflación relacionado con la moneda en la que se emitió el instrumento. El vínculo de inflación no está apalancado y el principal está protegido.</w:t>
            </w:r>
          </w:p>
        </w:tc>
        <w:tc>
          <w:tcPr>
            <w:tcW w:w="642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flujos de efectivo contractuales son únicamente pagos del principal e intereses sobre el importe del principal pendiente. La vinculación de los pagos del principal e intereses sobre el importe del principal pendiente con un índice de inflación no apalancado tiene el efecto de revisar el valor temporal del dinero, colocándolo a un nivel actual. En otras palabras, la tasa de interés sobre el instrumento refleja el interés “real”. Por ello, los importes de intereses son contraprestaciones por el valor temporal del dinero sobre el importe del principal pendiente.</w:t>
            </w:r>
            <w:r w:rsidRPr="00401DFF">
              <w:rPr>
                <w:rFonts w:ascii="Times New Roman" w:eastAsia="Times New Roman" w:hAnsi="Times New Roman" w:cs="Times New Roman"/>
                <w:sz w:val="24"/>
                <w:szCs w:val="24"/>
                <w:lang w:eastAsia="es-CO"/>
              </w:rPr>
              <w:br/>
              <w:t xml:space="preserve">Sin embargo, si los pagos de intereses se indexaron a otra variable tal como el rendimiento del deudor (por ejemplo el resultado neto del deudor) o un índice de patrimonio, los flujos de efectivo contractuales no son pagos del principal e intereses sobre el importe del principal pendiente. Esto es así porque los pagos de intereses no implican contraprestación por el valor temporal del dinero y del riesgo de crédito asociado con el importe del principal pendiente. Existe variabilidad en los pagos de intereses </w:t>
            </w:r>
            <w:r w:rsidRPr="00401DFF">
              <w:rPr>
                <w:rFonts w:ascii="Times New Roman" w:eastAsia="Times New Roman" w:hAnsi="Times New Roman" w:cs="Times New Roman"/>
                <w:sz w:val="24"/>
                <w:szCs w:val="24"/>
                <w:lang w:eastAsia="es-CO"/>
              </w:rPr>
              <w:lastRenderedPageBreak/>
              <w:t>contractuales, que es incoherente con las tasas de interés de mercado.</w:t>
            </w:r>
          </w:p>
        </w:tc>
      </w:tr>
      <w:tr w:rsidR="00401DFF" w:rsidRPr="00401DFF" w:rsidTr="00401DFF">
        <w:trPr>
          <w:gridAfter w:val="1"/>
          <w:wAfter w:w="45" w:type="dxa"/>
          <w:tblCellSpacing w:w="0" w:type="dxa"/>
          <w:jc w:val="center"/>
        </w:trPr>
        <w:tc>
          <w:tcPr>
            <w:tcW w:w="9660"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 xml:space="preserve">Continúa... </w:t>
            </w:r>
          </w:p>
        </w:tc>
      </w:tr>
      <w:tr w:rsidR="00401DFF" w:rsidRPr="00401DFF" w:rsidTr="00401DFF">
        <w:trPr>
          <w:tblCellSpacing w:w="0" w:type="dxa"/>
          <w:jc w:val="center"/>
        </w:trPr>
        <w:tc>
          <w:tcPr>
            <w:tcW w:w="32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...Continuación </w:t>
            </w:r>
          </w:p>
        </w:tc>
        <w:tc>
          <w:tcPr>
            <w:tcW w:w="654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r>
      <w:tr w:rsidR="00401DFF" w:rsidRPr="00401DFF" w:rsidTr="00401DFF">
        <w:trPr>
          <w:tblCellSpacing w:w="0" w:type="dxa"/>
          <w:jc w:val="center"/>
        </w:trPr>
        <w:tc>
          <w:tcPr>
            <w:tcW w:w="32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B</w:t>
            </w:r>
            <w:r w:rsidRPr="00401DFF">
              <w:rPr>
                <w:rFonts w:ascii="Times New Roman" w:eastAsia="Times New Roman" w:hAnsi="Times New Roman" w:cs="Times New Roman"/>
                <w:sz w:val="24"/>
                <w:szCs w:val="24"/>
                <w:lang w:eastAsia="es-CO"/>
              </w:rPr>
              <w:br/>
              <w:t>El instrumento B es un instrumento de tasa de interés variable con una fecha de vencimiento señalada que permite al prestatario elegir la tasa de interés de mercado sobre una base de negocio en marcha. Por ejemplo, en cada fecha de revisión de la tasa de interés, el prestatario puede elegir pagar el LIBOR a tres meses por un periodo de tres meses o el LIBOR a un mes para un periodo de un mes.</w:t>
            </w:r>
          </w:p>
        </w:tc>
        <w:tc>
          <w:tcPr>
            <w:tcW w:w="654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flujos de efectivo contractuales serán únicamente pagos del principal e intereses sobre el importe del principal pendiente, en la medida en que el interés pagado a lo largo de la vida del instrumento refleje la contraprestación por el valor temporal del dinero y por el riesgo de crédito asociado con el instrumento. El hecho de que la tasa de interés LIBOR se revise durante la vida del instrumento no descalifica por sí mismo al instrumento.</w:t>
            </w:r>
            <w:r w:rsidRPr="00401DFF">
              <w:rPr>
                <w:rFonts w:ascii="Times New Roman" w:eastAsia="Times New Roman" w:hAnsi="Times New Roman" w:cs="Times New Roman"/>
                <w:sz w:val="24"/>
                <w:szCs w:val="24"/>
                <w:lang w:eastAsia="es-CO"/>
              </w:rPr>
              <w:br/>
              <w:t>Sin embargo, si el prestatario puede elegir recibir el LIBOR a un mes por tres meses, y este LIBOR a un mes no se revisa cada mes, los flujos de efectivo contractuales no son pagos del principal e intereses.</w:t>
            </w:r>
            <w:r w:rsidRPr="00401DFF">
              <w:rPr>
                <w:rFonts w:ascii="Times New Roman" w:eastAsia="Times New Roman" w:hAnsi="Times New Roman" w:cs="Times New Roman"/>
                <w:sz w:val="24"/>
                <w:szCs w:val="24"/>
                <w:lang w:eastAsia="es-CO"/>
              </w:rPr>
              <w:br/>
              <w:t>El mismo análisis se aplicaría si el prestatario puede elegir, de entre las tasas que hace públicas el prestamista, la tasa de interés variable a un mes y la tasa de interés variable a tres meses.</w:t>
            </w:r>
            <w:r w:rsidRPr="00401DFF">
              <w:rPr>
                <w:rFonts w:ascii="Times New Roman" w:eastAsia="Times New Roman" w:hAnsi="Times New Roman" w:cs="Times New Roman"/>
                <w:sz w:val="24"/>
                <w:szCs w:val="24"/>
                <w:lang w:eastAsia="es-CO"/>
              </w:rPr>
              <w:br/>
              <w:t>Sin embargo, si el instrumento tiene una tasa de interés contractual basada en una duración que supera la vida restante del instrumento, sus flujos de efectivo contractuales no son pagos del principal e intereses sobre el importe del principal pendiente. Por ejemplo, un bono de vencimiento constante con una duración de cinco años que paga una tasa variable que se revisa periódicamente pero que siempre refleja un vencimiento de cinco años no da lugar a flujos de efectivo contractuales que son pagos del principal e intereses sobre el importe del principal pendiente. Esto es así porque el interés por pagar en cada periodo no está conectado con la duración del instrumento (excepto en su origen).</w:t>
            </w:r>
          </w:p>
        </w:tc>
      </w:tr>
      <w:tr w:rsidR="00401DFF" w:rsidRPr="00401DFF" w:rsidTr="00401DFF">
        <w:trPr>
          <w:tblCellSpacing w:w="0" w:type="dxa"/>
          <w:jc w:val="center"/>
        </w:trPr>
        <w:tc>
          <w:tcPr>
            <w:tcW w:w="3225" w:type="dxa"/>
            <w:gridSpan w:val="3"/>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Continúa... </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975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6525"/>
      </w:tblGrid>
      <w:tr w:rsidR="00401DFF" w:rsidRPr="00401DFF" w:rsidTr="00401DFF">
        <w:trPr>
          <w:tblCellSpacing w:w="0" w:type="dxa"/>
          <w:jc w:val="center"/>
        </w:trPr>
        <w:tc>
          <w:tcPr>
            <w:tcW w:w="322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...Continuación </w:t>
            </w:r>
          </w:p>
        </w:tc>
      </w:tr>
      <w:tr w:rsidR="00401DFF" w:rsidRPr="00401DFF" w:rsidTr="00401DFF">
        <w:trPr>
          <w:tblCellSpacing w:w="0" w:type="dxa"/>
          <w:jc w:val="center"/>
        </w:trPr>
        <w:tc>
          <w:tcPr>
            <w:tcW w:w="32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C</w:t>
            </w:r>
            <w:r w:rsidRPr="00401DFF">
              <w:rPr>
                <w:rFonts w:ascii="Times New Roman" w:eastAsia="Times New Roman" w:hAnsi="Times New Roman" w:cs="Times New Roman"/>
                <w:sz w:val="24"/>
                <w:szCs w:val="24"/>
                <w:lang w:eastAsia="es-CO"/>
              </w:rPr>
              <w:br/>
              <w:t>El instrumento C es un bono con una fecha de vencimiento señalada y paga una tasa de interés de mercado variable. Esa tasa de interés variable está limitada.</w:t>
            </w:r>
          </w:p>
        </w:tc>
        <w:tc>
          <w:tcPr>
            <w:tcW w:w="65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flujos de efectivo contractuales tanto de:</w:t>
            </w:r>
            <w:r w:rsidRPr="00401DFF">
              <w:rPr>
                <w:rFonts w:ascii="Times New Roman" w:eastAsia="Times New Roman" w:hAnsi="Times New Roman" w:cs="Times New Roman"/>
                <w:sz w:val="24"/>
                <w:szCs w:val="24"/>
                <w:lang w:eastAsia="es-CO"/>
              </w:rPr>
              <w:br/>
              <w:t>(a) un instrumento que tiene una tasa de interés fija y</w:t>
            </w:r>
            <w:r w:rsidRPr="00401DFF">
              <w:rPr>
                <w:rFonts w:ascii="Times New Roman" w:eastAsia="Times New Roman" w:hAnsi="Times New Roman" w:cs="Times New Roman"/>
                <w:sz w:val="24"/>
                <w:szCs w:val="24"/>
                <w:lang w:eastAsia="es-CO"/>
              </w:rPr>
              <w:br/>
              <w:t>(b) un instrumento que tiene una tasa de interés variable</w:t>
            </w:r>
            <w:r w:rsidRPr="00401DFF">
              <w:rPr>
                <w:rFonts w:ascii="Times New Roman" w:eastAsia="Times New Roman" w:hAnsi="Times New Roman" w:cs="Times New Roman"/>
                <w:sz w:val="24"/>
                <w:szCs w:val="24"/>
                <w:lang w:eastAsia="es-CO"/>
              </w:rPr>
              <w:br/>
              <w:t>son pagos del principal e intereses sobre el importe del principal pendiente en la medida en que el interés refleja la contraprestación por el valor temporal del dinero y por el riesgo de crédito asociado con el instrumento durante la duración del instrumento.</w:t>
            </w:r>
            <w:r w:rsidRPr="00401DFF">
              <w:rPr>
                <w:rFonts w:ascii="Times New Roman" w:eastAsia="Times New Roman" w:hAnsi="Times New Roman" w:cs="Times New Roman"/>
                <w:sz w:val="24"/>
                <w:szCs w:val="24"/>
                <w:lang w:eastAsia="es-CO"/>
              </w:rPr>
              <w:br/>
              <w:t xml:space="preserve">Por ello, un instrumento que es una combinación de (a) y (b) (por ejemplo un bono con un límite de tasa de interés) puede tener flujos de efectivo que son únicamente pagos del principal e intereses sobre el importe del principal pendiente. Esta característica puede reducir la variabilidad de los flujos de efectivo al establecer un límite en la tasa de interés variable (por ejemplo un límite máximo y mínimo de tasa de interés) o incrementar la </w:t>
            </w:r>
            <w:r w:rsidRPr="00401DFF">
              <w:rPr>
                <w:rFonts w:ascii="Times New Roman" w:eastAsia="Times New Roman" w:hAnsi="Times New Roman" w:cs="Times New Roman"/>
                <w:sz w:val="24"/>
                <w:szCs w:val="24"/>
                <w:lang w:eastAsia="es-CO"/>
              </w:rPr>
              <w:lastRenderedPageBreak/>
              <w:t>variabilidad del flujo de efectivo porque una tasa fija pasa a ser variable.</w:t>
            </w:r>
          </w:p>
        </w:tc>
      </w:tr>
      <w:tr w:rsidR="00401DFF" w:rsidRPr="00401DFF" w:rsidTr="00401DFF">
        <w:trPr>
          <w:tblCellSpacing w:w="0" w:type="dxa"/>
          <w:jc w:val="center"/>
        </w:trPr>
        <w:tc>
          <w:tcPr>
            <w:tcW w:w="32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Instrumento D</w:t>
            </w:r>
            <w:r w:rsidRPr="00401DFF">
              <w:rPr>
                <w:rFonts w:ascii="Times New Roman" w:eastAsia="Times New Roman" w:hAnsi="Times New Roman" w:cs="Times New Roman"/>
                <w:sz w:val="24"/>
                <w:szCs w:val="24"/>
                <w:lang w:eastAsia="es-CO"/>
              </w:rPr>
              <w:br/>
              <w:t>El instrumento D es un préstamo garantizado por un activo que además goza de recurso total, y por tanto está respaldado también por todos los activos del prestatario.</w:t>
            </w:r>
          </w:p>
        </w:tc>
        <w:tc>
          <w:tcPr>
            <w:tcW w:w="652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hecho de que un préstamo garantizado de forma colateral tenga además recurso total no afecta por sí mismo al análisis de si los flujos de efectivo contractuales son únicamente pagos del principal e intereses sobre el importe principal pendiente.</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B4.1.14 Los siguientes ejemplos ilustran flujos de efectivo contractuales que no son pagos del principal e intereses sobre el importe del principal pendiente. Esta lista de ejemplos no es exhaustiva.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86"/>
        <w:gridCol w:w="13"/>
        <w:gridCol w:w="5776"/>
        <w:gridCol w:w="193"/>
      </w:tblGrid>
      <w:tr w:rsidR="00401DFF" w:rsidRPr="00401DFF" w:rsidTr="00401DFF">
        <w:trPr>
          <w:tblCellSpacing w:w="0" w:type="dxa"/>
          <w:jc w:val="center"/>
        </w:trPr>
        <w:tc>
          <w:tcPr>
            <w:tcW w:w="316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w:t>
            </w:r>
          </w:p>
        </w:tc>
        <w:tc>
          <w:tcPr>
            <w:tcW w:w="652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Análisis</w:t>
            </w:r>
          </w:p>
        </w:tc>
      </w:tr>
      <w:tr w:rsidR="00401DFF" w:rsidRPr="00401DFF" w:rsidTr="00401DFF">
        <w:trPr>
          <w:tblCellSpacing w:w="0" w:type="dxa"/>
          <w:jc w:val="center"/>
        </w:trPr>
        <w:tc>
          <w:tcPr>
            <w:tcW w:w="316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E</w:t>
            </w:r>
            <w:r w:rsidRPr="00401DFF">
              <w:rPr>
                <w:rFonts w:ascii="Times New Roman" w:eastAsia="Times New Roman" w:hAnsi="Times New Roman" w:cs="Times New Roman"/>
                <w:sz w:val="24"/>
                <w:szCs w:val="24"/>
                <w:lang w:eastAsia="es-CO"/>
              </w:rPr>
              <w:br/>
              <w:t>El instrumento E es un bono convertible en instrumentos de patrimonio del emisor.</w:t>
            </w:r>
          </w:p>
        </w:tc>
        <w:tc>
          <w:tcPr>
            <w:tcW w:w="652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tenedor analizaría el bono convertible en su totalidad.</w:t>
            </w:r>
            <w:r w:rsidRPr="00401DFF">
              <w:rPr>
                <w:rFonts w:ascii="Times New Roman" w:eastAsia="Times New Roman" w:hAnsi="Times New Roman" w:cs="Times New Roman"/>
                <w:sz w:val="24"/>
                <w:szCs w:val="24"/>
                <w:lang w:eastAsia="es-CO"/>
              </w:rPr>
              <w:br/>
              <w:t>Los flujos de efectivo contractuales no son pagos del principal e intereses sobre el importe del principal pendiente porque la tasa de interés no refleja solo la contraprestación por el valor temporal del dinero y el riesgo de crédito. El rendimiento está también vinculado al valor del patrimonio del emisor.</w:t>
            </w:r>
          </w:p>
        </w:tc>
      </w:tr>
      <w:tr w:rsidR="00401DFF" w:rsidRPr="00401DFF" w:rsidTr="00401DFF">
        <w:trPr>
          <w:tblCellSpacing w:w="0" w:type="dxa"/>
          <w:jc w:val="center"/>
        </w:trPr>
        <w:tc>
          <w:tcPr>
            <w:tcW w:w="9720" w:type="dxa"/>
            <w:gridSpan w:val="4"/>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Continúa... </w:t>
            </w:r>
          </w:p>
        </w:tc>
      </w:tr>
      <w:tr w:rsidR="00401DFF" w:rsidRPr="00401DFF" w:rsidTr="00401DFF">
        <w:trPr>
          <w:gridAfter w:val="1"/>
          <w:wAfter w:w="225" w:type="dxa"/>
          <w:tblCellSpacing w:w="0" w:type="dxa"/>
          <w:jc w:val="center"/>
        </w:trPr>
        <w:tc>
          <w:tcPr>
            <w:tcW w:w="9735" w:type="dxa"/>
            <w:gridSpan w:val="3"/>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...Continuación </w:t>
            </w:r>
          </w:p>
        </w:tc>
      </w:tr>
      <w:tr w:rsidR="00401DFF" w:rsidRPr="00401DFF" w:rsidTr="00401DFF">
        <w:trPr>
          <w:gridAfter w:val="1"/>
          <w:wAfter w:w="225" w:type="dxa"/>
          <w:tblCellSpacing w:w="0" w:type="dxa"/>
          <w:jc w:val="center"/>
        </w:trPr>
        <w:tc>
          <w:tcPr>
            <w:tcW w:w="315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F</w:t>
            </w:r>
            <w:r w:rsidRPr="00401DFF">
              <w:rPr>
                <w:rFonts w:ascii="Times New Roman" w:eastAsia="Times New Roman" w:hAnsi="Times New Roman" w:cs="Times New Roman"/>
                <w:sz w:val="24"/>
                <w:szCs w:val="24"/>
                <w:lang w:eastAsia="es-CO"/>
              </w:rPr>
              <w:br/>
              <w:t>El instrumento F es un préstamo que paga una tasa de interés variable inversa (es decir la tasa de interés tiene una relación inversa con las tasas de interés del mercado.</w:t>
            </w:r>
          </w:p>
        </w:tc>
        <w:tc>
          <w:tcPr>
            <w:tcW w:w="655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flujos de efectivo contractuales no son únicamente pagos del principal e intereses sobre el importe del principal pendiente.</w:t>
            </w:r>
            <w:r w:rsidRPr="00401DFF">
              <w:rPr>
                <w:rFonts w:ascii="Times New Roman" w:eastAsia="Times New Roman" w:hAnsi="Times New Roman" w:cs="Times New Roman"/>
                <w:sz w:val="24"/>
                <w:szCs w:val="24"/>
                <w:lang w:eastAsia="es-CO"/>
              </w:rPr>
              <w:br/>
              <w:t>Los importes de intereses no son contraprestaciones por el valor temporal del dinero sobre el importe del principal pendiente.</w:t>
            </w:r>
          </w:p>
        </w:tc>
      </w:tr>
      <w:tr w:rsidR="00401DFF" w:rsidRPr="00401DFF" w:rsidTr="00401DFF">
        <w:trPr>
          <w:gridAfter w:val="1"/>
          <w:wAfter w:w="225" w:type="dxa"/>
          <w:tblCellSpacing w:w="0" w:type="dxa"/>
          <w:jc w:val="center"/>
        </w:trPr>
        <w:tc>
          <w:tcPr>
            <w:tcW w:w="315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 G</w:t>
            </w:r>
            <w:r w:rsidRPr="00401DFF">
              <w:rPr>
                <w:rFonts w:ascii="Times New Roman" w:eastAsia="Times New Roman" w:hAnsi="Times New Roman" w:cs="Times New Roman"/>
                <w:sz w:val="24"/>
                <w:szCs w:val="24"/>
                <w:lang w:eastAsia="es-CO"/>
              </w:rPr>
              <w:br/>
              <w:t>El instrumento G es un instrumento perpetuo, pero el emisor puede comprar el instrumento en cualquier momento y pagar al tenedor el importe nominal más el interés acumulado (devengado).</w:t>
            </w:r>
            <w:r w:rsidRPr="00401DFF">
              <w:rPr>
                <w:rFonts w:ascii="Times New Roman" w:eastAsia="Times New Roman" w:hAnsi="Times New Roman" w:cs="Times New Roman"/>
                <w:sz w:val="24"/>
                <w:szCs w:val="24"/>
                <w:lang w:eastAsia="es-CO"/>
              </w:rPr>
              <w:br/>
              <w:t xml:space="preserve">El instrumento G paga una tasa de interés de mercado pero el pago de intereses no puede realizarse a menos que el emisor pueda mantener la solvencia inmediatamente </w:t>
            </w:r>
            <w:r w:rsidRPr="00401DFF">
              <w:rPr>
                <w:rFonts w:ascii="Times New Roman" w:eastAsia="Times New Roman" w:hAnsi="Times New Roman" w:cs="Times New Roman"/>
                <w:sz w:val="24"/>
                <w:szCs w:val="24"/>
                <w:lang w:eastAsia="es-CO"/>
              </w:rPr>
              <w:lastRenderedPageBreak/>
              <w:t>después.</w:t>
            </w:r>
            <w:r w:rsidRPr="00401DFF">
              <w:rPr>
                <w:rFonts w:ascii="Times New Roman" w:eastAsia="Times New Roman" w:hAnsi="Times New Roman" w:cs="Times New Roman"/>
                <w:sz w:val="24"/>
                <w:szCs w:val="24"/>
                <w:lang w:eastAsia="es-CO"/>
              </w:rPr>
              <w:br/>
              <w:t>El interés diferido no acumula (devenga) interés adicional.</w:t>
            </w:r>
          </w:p>
        </w:tc>
        <w:tc>
          <w:tcPr>
            <w:tcW w:w="655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Los flujos de efectivo contractuales no son pagos del principal e intereses sobre el importe del principal pendiente. Esto es así porque se puede requerir al emisor que difiera los pagos de intereses y no se acumulan (devengan) intereses adicionales sobre los importes de intereses diferidos. Como resultado, los importes de intereses no son contraprestaciones por el valor temporal del dinero sobre el importe del principal pendiente. </w:t>
            </w:r>
            <w:r w:rsidRPr="00401DFF">
              <w:rPr>
                <w:rFonts w:ascii="Times New Roman" w:eastAsia="Times New Roman" w:hAnsi="Times New Roman" w:cs="Times New Roman"/>
                <w:sz w:val="24"/>
                <w:szCs w:val="24"/>
                <w:lang w:eastAsia="es-CO"/>
              </w:rPr>
              <w:br/>
              <w:t>Si se acumulan (devengan) intereses sobre los importes diferidos, los flujos de efectivo contractuales pueden ser pagos del principal e intereses sobre el importe principal pendiente.</w:t>
            </w:r>
          </w:p>
        </w:tc>
      </w:tr>
      <w:tr w:rsidR="00401DFF" w:rsidRPr="00401DFF" w:rsidTr="00401DFF">
        <w:trPr>
          <w:gridAfter w:val="1"/>
          <w:wAfter w:w="225" w:type="dxa"/>
          <w:tblCellSpacing w:w="0" w:type="dxa"/>
          <w:jc w:val="center"/>
        </w:trPr>
        <w:tc>
          <w:tcPr>
            <w:tcW w:w="315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w:t>
            </w:r>
          </w:p>
        </w:tc>
        <w:tc>
          <w:tcPr>
            <w:tcW w:w="655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hecho de que el instrumento G sea perpetuo no significa por sí mismo que los flujos de efectivo contractuales no sean pagos del principal e intereses sobre el importe principal pendiente. En efecto, un instrumento perpetuo tiene continuas (múltiples) opciones de ampliación. Estas opciones pueden dar lugar a flujos de efectivo contractuales que son pagos del principal e intereses sobre el importe del principal pendiente en tanto que los pagos de intereses son obligatorios y deben pagarse a perpetuidad.</w:t>
            </w:r>
            <w:r w:rsidRPr="00401DFF">
              <w:rPr>
                <w:rFonts w:ascii="Times New Roman" w:eastAsia="Times New Roman" w:hAnsi="Times New Roman" w:cs="Times New Roman"/>
                <w:sz w:val="24"/>
                <w:szCs w:val="24"/>
                <w:lang w:eastAsia="es-CO"/>
              </w:rPr>
              <w:br/>
              <w:t>Asimismo, el hecho de que el instrumento G sea rescatable no significa que los flujos de efectivo contractuales no sean pagos del principal e intereses sobre el importe principal pendiente, a menos que sea rescatable a un importe que no refleje sustancialmente el pago del principal e intereses pendientes sobre ese principal. Incluso si el importe de rescate incluye un importe que compensa al tenedor de la resolución anticipada del instrumento, los flujos de efectivo contractuales podrían ser pagos del principal e intereses sobre el importe del principal pendiente.</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B4.1.15 En algunos casos un activo financiero puede tener flujos de efectivo contractuales que se describen como principal e intereses, pero dichos flujos de efectivo no representan el pago del principal e intereses sobre el importe del principal pendiente como se describe en los párrafos 4.1.2(b) y 4.1.3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B4.1.16 Este puede ser el caso si el activo financiero representa una inversión en activos o flujos de efectivo de carácter particular, y por ese motivo los flujos de efectivo contractuales no constituyen únicamente pagos del principal e intereses sobre el importe del principal pendiente. Por ejemplo, los flujos de efectivo contractuales pueden incluir el pago de factores distintos a la contraprestación del valor temporal del dinero y del riesgo de crédito asociado con el importe del principal pendiente durante un periodo de tiempo concreto. Como resultado, el instrumento no cumpliría la condición del párrafo 4.1.2(b). Esto podría ser el caso cuando los derechos del acreedor se limitan a activos específicos del deudor o a los flujos de efectivo procedentes de dichos activos específicos (por ejemplo un activo financiero “sin recurso”, que no está garantizado por ningún activo concreto).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B4.1.17 Sin embargo, el hecho de que un activo financiero no esté respaldado (sin recurso o reclamo al emisor o último vendedor o deudor) no descarta por sí mismo que ese activo financiero deje de cumplir la condición del párrafo 4.1.2(b). En estas situaciones, se requiere al acreedor evaluar (“revisar”) los activos subyacentes particulares o los flujos de efectivo para determinar si los flujos de efectivo contractuales del activo financiero que se está clasificando son pagos del principal e intereses sobre el importe del principal </w:t>
      </w:r>
      <w:r w:rsidRPr="00401DFF">
        <w:rPr>
          <w:rFonts w:ascii="Times New Roman" w:eastAsia="Times New Roman" w:hAnsi="Times New Roman" w:cs="Times New Roman"/>
          <w:sz w:val="24"/>
          <w:szCs w:val="24"/>
          <w:lang w:eastAsia="es-CO"/>
        </w:rPr>
        <w:lastRenderedPageBreak/>
        <w:t>pendiente. Si las condiciones del activo financiero dan lugar a otros flujos de efectivo o limitan esos flujos de forma incoherente con la condición de ser pagos que representan el principal e intereses, el activo financiero no cumple la condición del párrafo 4.1.2(b). El hecho de que los activos subyacentes sean activos financieros o no financieros no afecta, por sí mismo, a esta evaluación.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B4.1.18 Si una característica de flujos de efectivo contractuales no es auténtica, ello no afecta a la clasificación de un activo financiero. Una característica de flujos de efectivo no es auténtica si afecta a los flujos de efectivo contractuales del instrumento solo en el momento en que ocurre un suceso que es extremadamente excepcional, altamente anómalo y muy improbable de que ocurra.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B4.1.19 En prácticamente la totalidad de las transacciones de préstamo, el instrumento del acreedor es clasificado con respecto a los instrumentos de otros acreedores del mismo deudor. Un instrumento que está subordinado a otros instrumentos puede tener flujos de efectivo contractuales que sean pagos del principal e intereses sobre el importe del principal pendiente, si el impago del deudor constituye una infracción al contrato, y el tenedor tenga un derecho contractual a los importes impagados del principal e intereses sobre el importe del principal pendiente aun en el caso de que el deudor esté en quiebra. Por ejemplo, una cuenta comercial por cobrar que no dé ninguna prioridad al acreedor, colocándolo entre los acreedores generales, cumpliría los requisitos de tener pagos del principal e intereses sobre el importe del principal pendiente. Este sería el caso incluso si el deudor hubiera emitido préstamos garantizados de forma colateral con activos, que en el caso de quiebra dieran al tenedor de ese préstamo prioridad sobre los derechos de los acreedores generales con respecto a dichos activos de garantía colateral, pero sin afectar al derecho contractual del acreedor general al principal no pagado y los otros importes debidos.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Instrumentos vinculados contractualmente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B4.1.20 En algunos tipos de transacciones, una entidad puede priorizar pagos a los tenedores de activos financieros utilizando múltiples instrumentos vinculados contractualmente que crean concentraciones de riesgos de crédito (tramos). Cada tramo tiene una clasificación de prioridad que especifica el orden en el que los flujos de efectivo generados por el emisor se asignan al mismo. En estas situaciones, los tenedores de un determinado tramo tienen el derecho a pagos del principal e intereses sobre el importe del principal pendiente solo si el emisor genera suficientes flujos de efectivo para satisfacer pagos a los tramos clasificados como de prioridad más alta.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B4.1.21 En estas transacciones, un tramo tiene características de flujos de efectivo que constituyen pagos del principal e intereses sobre el importe del principal pendiente solo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condiciones contractuales del tramo que se están evaluando para la clasificación (sin revisar el conjunto subyacente de instrumentos financieros) dan lugar a flujos de efectivo que son únicamente pagos del principal e intereses sobre el importe del principal pendiente (por ejemplo la tasa de interés sobre el tramo no está vinculada a un índice de materia prima cotizada);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conjunto subyacente de instrumentos financieros tiene las características de flujos de efectivo establecidos en los párrafos B4.1.23 y B4.1.24.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exposición al riesgo de crédito del conjunto subyacente de instrumentos financieros correspondientes al tramo es igual o menor que la exposición al riesgo de crédito del conjunto total de instrumentos financieros subyacentes (por ejemplo, esta condición se cumpliría si este conjunto subyacente total de instrumentos fuera a perder el 50 por ciento como resultado de pérdidas crediticias y, en el peor de los casos, el tramo perdería el 50 por ciento o menos).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B4.1.22 Una entidad debe revisar hasta que pueda identificar el conjunto subyacente de instrumentos que están generando (y no meramente transmitiendo) los flujos de efectivo. Este es el conjunto subyacente de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B4.1.23 El conjunto subyacente debe estar compuesto por uno o más instrumentos que tengan flujos de efectivo contractuales que sean únicamente pagos del principal e intereses sobre el importe del principal 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B4.1.24 El conjunto subyacente de instrumentos puede incluir también instrumentos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reduzcan la variabilidad de los flujos de efectivo de los instrumentos del párrafo B4.1.23 y, cuando se combinan con los instrumentos del párrafo B4.1.23, dan lugar a flujos de efectivo que son únicamente pagos del principal e intereses sobre el importe principal pendiente (por ejemplo un límite máximo o mínimo de tasa de interés o un contrato que reduzca el riesgo de crédito de alguno o todos los instrumentos del párrafo B4.1.23);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alinean los flujos de efectivo de los tramos con los flujos de efectivo del conjunto de instrumentos subyacentes del párrafo B4.1.23 para corregir diferencias cuando consistan exclusivamente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la tasa de interés es fija o variable;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moneda en la que los flujos de efectivo se denominan, incluyendo la inflación en esa moneda;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calendario de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B4.1.25 Si cualquier instrumento en el conjunto no cumple las condiciones del párrafo B4.1.23, o el párrafo B4.1.24, no se cumple la condición del párrafo B4.1.21(b).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B4.1.26 Si el tenedor no puede evaluar las condiciones del párrafo B4.1.21 en el reconocimiento inicial, el tramo debe medirse al valor razonable. Si el conjunto subyacente de instrumentos puede cambiar después del reconocimiento inicial, de forma tal que el conjunto pudiera no cumplir las condiciones de los párrafos B4.1.23 y B4.1.24, el tramo no cumple las condiciones del párrafo B4.1.21 y debe medirse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Opción para designar un activo financiero o pasivo financiero como a valor razonable con cambios en resultados (secciones 4.1 y 4.2)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B4.1.27 Sujeto a las condiciones de los párrafos 4.1.5 y 4.2.2, esta NIIF permite que una entidad designe un activo financiero, un pasivo financiero o un grupo de instrumentos financieros (activos financieros, pasivos financieros o ambos) como al valor razonable con cambios en resultados, cuando al hacerlo se obtenga información más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B4.1.28 La decisión de una entidad de designar un activo financiero o un pasivo financiero como al valor razonable con cambios en resultados es similar a la elección de una política contable (aunque, a diferencia de lo que sucede al establecer una política contable, no se requiere su aplicación de forma coherente a todas las transacciones similares). Cuando una entidad tenga esta elección, el párrafo 14(b) de la NIC 8 requiere que la política elegida lleve a que los estados financieros proporcionen información más fiable y relevante sobre los efectos de las transacciones, otros acontecimientos o circunstancias que afecten a la situación financiera de la entidad, su rendimiento financiero o sus flujos de efectivo. Por ejemplo, en el caso de la designación de un pasivo financiero como al valor razonable con cambios en resultados, el párrafo 4.2.2 establece las dos circunstancias en las que se cumple el requisito de obtención de una información más relevante. Por lo tanto, para elegir tal designación de acuerdo con el párrafo 4.2.2, la entidad deberá demostrar que cumple cualquiera de ellas (o ambas).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Designación que elimina o reduce de forma significativa una asimetría contable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B4.1.29 La medición de un activo financiero o de un pasivo financiero y la clasificación de los cambios que se reconozcan en su valor, están determinados por la clasificación de la partida y por el hecho de que pueda haber sido designada como parte de una relación de cobertura. Esos requerimientos pueden crear una incoherencia en la medición o en el reconocimiento (a veces denominada “asimetría contable”) cuando, por ejemplo, en ausencia de una designación como al valor razonable con cambios en resultados, un activo financiero se hubiera clasificado como medido posteriormente al valor razonable y un pasivo que la entidad considere relacionado se hubiese medido posteriormente al coste amortizado (sin reconocer los cambios en el valor razonable). En estas circunstancias, una entidad puede concluir que sus estados financieros podrían suministrar una información más relevante si tanto el activo como el pasivo se midiesen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B4.1.30 Los siguientes ejemplos muestran casos en los que podría cumplirse esta condición. En todos ellos, una entidad puede utilizar esta condición para designar activos financieros o pasivos financieros como al valor razonable con cambios en resultados, siempre que se cumpla el principio establecido en el párrafo 4.1.5 o 4.2.2(a).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tiene pasivos derivados de contratos de seguro cuya medición incorpora información actual (tal como permite el párrafo 24 de la NIIF 4), y los activos financieros que considera vinculados que en otro caso, se medirían al costo amortizado.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Una entidad tiene activos financieros, pasivos financieros o ambos que comparten un riesgo, tal como el riesgo de tasa de interés, lo que da lugar a cambios de signo opuesto en el valor razonable que tienden a compensarse entre sí. No obstante, solo alguno de los instrumentos podría medirse al valor razonable con cambios en resultados (es decir, son derivados o están clasificados como mantenidos para negociar). También podría ser el caso de que no se cumpliesen los requisitos de la contabilidad de coberturas, por ejemplo, porque no se cumpliesen las condiciones de eficacia establecidas en el párrafo 88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entidad tiene activos financieros, pasivos financieros o ambos que comparten un riesgo, tal como el riesgo de tasa de interés, lo que da lugar a cambios de signo opuesto en el valor razonable que tienden a compensarse entre sí, y la entidad no cumple los requisitos de la contabilidad de coberturas porque ninguno de los instrumentos es un derivado. Además, en ausencia de una contabilidad de coberturas se producen incoherencias significativas en el reconocimiento de ganancias y pérdidas. Por ejemplo, la entidad ha financiado un grupo específico de préstamos emitiendo bonos negociados en el mercado, cuyos cambios en el valor razonable tienden a compensarse entre sí. Si, además, la entidad comprase y vendiese regularmente los bonos pero rara vez o nunca, comprase o vendiese los préstamos, la contabilización tanto de los préstamos como de los bonos al valor razonable con cambios en resultados eliminaría la incoherencia en el momento del reconocimiento de las ganancias y pérdidas que aparecería como consecuencia de medir ambos al costo amortizado, y reconocer una ganancia o pérdida cada vez que se recomprase un bono.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B4.1.31 En casos como los descritos en el párrafo anterior, la designación en el momento del reconocimiento inicial de los activos financieros o pasivos financieros como al valor razonable con cambios en resultados, que en otras circunstancias no se medirían así, puede eliminar o reducir significativamente la incoherencia en la medición o en el reconocimiento, y producir una información más relevante. A efectos prácticos, no es necesario que la entidad suscriba todos los activos y pasivos que den lugar a la incoherencia en la medición o en el reconocimiento exactamente al mismo tiempo. Se permite una demora razonable siempre que cada transacción se designe como al valor razonable con cambios en resultados en el momento de su reconocimiento inicial y, en ese momento, se espere que ocurran las transacciones restantes.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B4.1.32 No sería aceptable la designación de sólo alguno de los activos financieros y pasivos financieros que originan la incoherencia como al valor razonable con cambios en resultados, si al hacerlo no se eliminase o redujese significativamente dicha incoherencia, y por tanto, no se obtuviese información más relevante. No obstante, podría ser aceptable designar sólo algunos dentro de un grupo de activos financieros o pasivos financieros similares, siempre que al hacerlo se consiga una reducción significativa (y posiblemente una reducción mayor que con otras designaciones permitidas) en la incoherencia. Por ejemplo, supóngase que una entidad tiene un cierto número de pasivos financieros similares que suman 100 u.m. y un número de activos financieros similares que suman 50 u.m., pero que se miden utilizando diferentes criterios. La entidad podría reducir significativamente la incoherencia en la medición designando, en el momento del reconocimiento inicial, todos los activos y sólo algunos pasivos (por ejemplo, pasivos individuales que sumen 45 u.m.) </w:t>
      </w:r>
      <w:r w:rsidRPr="00401DFF">
        <w:rPr>
          <w:rFonts w:ascii="Times New Roman" w:eastAsia="Times New Roman" w:hAnsi="Times New Roman" w:cs="Times New Roman"/>
          <w:sz w:val="24"/>
          <w:szCs w:val="24"/>
          <w:lang w:eastAsia="es-CO"/>
        </w:rPr>
        <w:lastRenderedPageBreak/>
        <w:t>como al valor razonable con cambios en resultados. No obstante, dado que la designación como al valor razonable con cambios en resultados solamente puede aplicarse a la totalidad de un instrumento financiero, la entidad, en este ejemplo, debería designar uno o más pasivos en su totalidad. No podría designar ni un componente de un pasivo (por ejemplo, cambios en el valor atribuible solamente a un riesgo, tal como los cambios en una tasa de interés de referencia) ni una proporción (es decir, un porcentaje) de un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Se gestionan un grupo de pasivos financieros o activos financieros y pasivos financieros y su rendimiento se evalúa sobre la base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B4.1.33 Una entidad puede gestionar y evaluar el rendimiento de un grupo de pasivos financieros o de activos financieros y pasivos financieros, de tal forma que al medir ese grupo al valor razonable con cambios en resultados se obtenga una información más relevante. En este caso, el énfasis se pone en la forma en que la entidad gestiona y evalúa el rendimiento, más que en la naturaleza de sus instrumentos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B4.1.34 Por ejemplo, una entidad puede utilizar esta condición para designar pasivos financieros como al valor razonable con cambios en resultados si cumple el principio del párrafo 4.2.2(b) y la entidad tiene activos financieros y pasivos financieros que comparten uno o más riesgos y esos riesgos se gestionan y evalúan sobre la base del valor razonable de acuerdo con una política documentada de gestión de activos y pasivos. Un ejemplo podría ser el de una entidad que ha emitido “productos estructurados”, que contienen múltiples derivados implícitos, y gestiona los riesgos resultantes sobre la base del valor razonable, utilizando una combinación de instrumentos financieros derivados y no 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B4.1.35 Como se ha destacado anteriormente, esta condición depende de la forma en que la entidad gestione y evalúe el rendimiento del grupo de instrumentos financieros de que se trate. De acuerdo con ello (y sometido al requisito de la designación en el momento del reconocimiento inicial) una entidad que designe pasivos financieros como al valor razonable con cambios en resultados, sobre la base de esta condición, designará de la misma forma a todos los pasivos financieros que sean gestionados y evaluados conjuntamente.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B4.1.36 No es necesario que la documentación de la estrategia de la entidad sea muy amplia, pero debe ser suficiente para demostrar el cumplimiento del párrafo 4.2.2(b). Dicha documentación no se requiere para cada partida individual, pudiendo confeccionarse para la cartera en su conjunto. Por ejemplo, si el sistema de gestión del rendimiento de un departamento —tal como fue aprobado por el personal clave de la gerencia de la entidad— claramente demuestra que el rendimiento se evalúa sobre la base de la rentabilidad total, no se precisaría ninguna documentación adicional que demuestre el cumplimiento del párrafo 4.2.2(b).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Derivados implícitos (sección 4.3)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B4.3.1 Cuando una entidad se convierte en parte de un contrato híbrido con un anfitrión que no es un activo dentro del alcance de esta NIIF, el párrafo 4.3.3 requiere que la entidad identifique estos derivados implícitos, evalúe si se requiere separarlos del contrato anfitrión </w:t>
      </w:r>
      <w:r w:rsidRPr="00401DFF">
        <w:rPr>
          <w:rFonts w:ascii="Times New Roman" w:eastAsia="Times New Roman" w:hAnsi="Times New Roman" w:cs="Times New Roman"/>
          <w:sz w:val="24"/>
          <w:szCs w:val="24"/>
          <w:lang w:eastAsia="es-CO"/>
        </w:rPr>
        <w:lastRenderedPageBreak/>
        <w:t>y en aquéllos casos en que se requiera, mida dichos derivados por su valor razonable, tanto en el momento del reconocimiento inicial como posteriormente.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B4.3.2 Si un contrato anfitrión no tiene un vencimiento establecido o predeterminado, y representa una participación residual en el patrimonio de una entidad, entonces sus características económicas y riesgos son las de un instrumento de patrimonio, y un derivado implícito sobre el mismo necesitaría poseer las características de instrumento de patrimonio relativo a la misma entidad para ser considerado como estrechamente relacionado. Si el contrato anfitrión no es un instrumento de patrimonio y cumple con la definición de instrumento financiero, entonces sus características económicas y de riesgo son las de un instrumento de deuda.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B4.3.3 Un derivado implícito que no sea una opción (como un contrato a término o uno de permuta financiera implícitos) se separa del contrato anfitrión teniendo en cuenta sus condiciones sustantivas, ya sean explícitas o implícitas, de forma que tenga un valor razonable nulo al ser reconocido inicialmente. Un derivado implícito basado en opciones (como una opción implícita de venta, de compra, con límite superior o inferior, o una opción sobre una permuta de tasas de interés), se separa del contrato anfitrión sobre la base de las condiciones establecidas de las características de la opción. El importe en libros inicial del contrato anfitrión es el importe residual que queda después de la separación del derivado implícito.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B4.3.4 Generalmente, los derivados implícitos múltiples en un contrato híbrido individual son tratados como un único derivado implícito compuesto. Sin embargo, los derivados implícitos que se clasifican como patrimonio (véase la NIC 32), se contabilizan de forma separada de los que han sido clasificados como activos o pasivos. Además, si un contrato híbrido tiene más de un derivado implícito, y esos derivados se relacionan con diferentes exposiciones al riesgo y son fácilmente separables e independientes uno de otro, se contabilizarán cada uno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B4.3.5 Las características económicas y riesgos de un derivado implícito no están estrechamente relacionados con el contrato anfitrión [véase el párrafo 4.3.3(a)] en los ejemplos siguientes. En estos ejemplos, suponiendo que se cumplen las condiciones establecidas en el párrafo 4.3.3(b) y (c), una entidad contabilizará el derivado implícito de forma separada del contrato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opción de venta implícita en un instrumento, que permite al tenedor requerir al emisor que vuelva a comprar el instrumento por un importe en efectivo u otros activos, que varía en función de los cambios en un precio o un índice, correspondientes a instrumentos de patrimonio o materias primas cotizadas, que no están estrechamente relacionados con el instrumento de deuda anfitrión.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Una opción para prorrogar o una cláusula de prórroga automática del plazo de vencimiento de un instrumento de deuda, no están estrechamente relacionadas con el instrumento de deuda anfitrión, a menos que en el mismo momento de la prórroga exista un ajuste simultáneo a la tasa corriente de interés de mercado aproximado. Si una entidad emite un instrumento de deuda y el tenedor de éste emite una opción de compra sobre el </w:t>
      </w:r>
      <w:r w:rsidRPr="00401DFF">
        <w:rPr>
          <w:rFonts w:ascii="Times New Roman" w:eastAsia="Times New Roman" w:hAnsi="Times New Roman" w:cs="Times New Roman"/>
          <w:sz w:val="24"/>
          <w:szCs w:val="24"/>
          <w:lang w:eastAsia="es-CO"/>
        </w:rPr>
        <w:lastRenderedPageBreak/>
        <w:t>instrumento de deuda a favor de un tercero, el emisor considerará la opción de compra como la prórroga del plazo de vencimiento del instrumento de deuda, siempre que dicho emisor pueda ser requerido para que participe o facilite la nueva comercialización del instrumento de deuda como resultado del ejercicio de la opción de compra.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pagos de principal o intereses indexados a un instrumento de patrimonio, que estén implícitos en un instrumento de deuda anfitrión o en un contrato de seguro anfitrión —y produzcan el efecto de que el importe del interés o del principal queden indexados al valor de un instrumento de patrimonio— no están estrechamente relacionados con el instrumento anfitrión, porque los riesgos inherentes al contrato anfitrión y al derivado implícito son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pagos de principal o interés indexados a una materia prima cotizada, que estén implícitos en un instrumento de deuda anfitrión o en un contrato de seguro anfitrión —y produzcan el efecto de que el importe del interés o del principal queden indexados al precio de una materia prima cotizada (como por ejemplo el oro)— no están estrechamente relacionados con el instrumento anfitrión, porque los riesgos inherentes al contrato anfitrión y al derivado implícito son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opción de compra, de venta, o de pago anticipado implícita en un contrato anfitrión de deuda, o en un contrato anfitrión de seguro, no está estrechamente relacionada con dicho contrato anfitrión, a menos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precio de ejercicio de la opción sea aproximadamente igual, en cada fecha de ejercicio al costo amortizado del instrumento anfitrión de deuda, o al importe en libros del contrato anfitrión de seguro;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precio de ejercicio de una opción de pago anticipado, supone el reembolso al prestamista de un importe no superior al valor actual aproximado de los intereses perdidos correspondientes al plazo restante del contrato principal. Los intereses perdidos son el resultado de multiplicar el importe principal pagado de forma anticipada por la tasa de interés diferencial. La tasa de interés diferencial es el exceso de la tasa de interés efectivo del contrato anfitrión sobre la tasa de interés efectiva que la entidad recibiría en la fecha del pago anticipado si se reinvirtiera el importe principal pagado de forma anticipada en un contrato similar durante el plazo restante del contrato anfitrión.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evaluación de si la opción de compra o venta está estrechamente relacionada con el contrato de deuda anfitrión se realiza antes de separar el elemento de patrimonio de un instrumento de deuda convertible de acuerdo con la NIC 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Los derivados crediticios que están implícitos en un instrumento de deuda anfitrión y permiten que una parte (el “beneficiario”) transfiera el riesgo de crédito de un activo de referencia particular, el cual puede no pertenecerle, a otra parte (el “garante”), no están estrechamente relacionados al instrumento de deuda anfitrión. Dichos derivados de crédito permiten al garante la asunción del riesgo de crédito asociado con el activo de referencia sin poseerlo 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B4.3.6 Un ejemplo de un contrato híbrido es un instrumento financiero que da al tenedor el derecho de revenderlo al emisor a cambio de un importe, en efectivo u otros activos financieros, que varía según los cambios en un índice de instrumentos de patrimonio o de materias primas cotizadas que puede aumentar o disminuir (que se puede denominar “instrumento con opción de venta”). A menos que el emisor, al efectuar el reconocimiento inicial, designe al instrumento con opción de venta como un pasivo financiero al valor razonable con cambios en resultados, se requiere la separación del derivado implícito (es decir, el pago del principal indexado) de acuerdo con el párrafo 4.3.3, porque el contrato anfitrión es un instrumento de deuda de acuerdo con el párrafo B4.3.2, y el pago del principal indexado no está estrechamente relacionado a un instrumento de deuda anfitrión de acuerdo con el párrafo B4.3.5(a). Como el pago por el principal puede aumentar o disminuir, el derivado implícito es un derivado distinto de una opción cuyo valor está indexado a una variable subyacente.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B4.3.7 En el caso de un instrumento con opción de venta que pueda ser revendido en cualquier momento, por un importe en efectivo igual a una cuota proporcional del valor del patrimonio de una entidad (como las participaciones en un fondo de inversión colectiva abierto o algunos productos de inversión ligados a inversiones), el efecto de la separación de un derivado implícito y de la contabilización de cada componente es el de medir el contrato híbrido al importe de rescate pagadero al final del periodo sobre el que se informa si el tenedor ejerciera su derecho de revender el instrumento al emisor.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B4.3.8 En los ejemplos que siguen, las características económicas y los riesgos de un derivado implícito están estrechamente relacionados con los de un contrato anfitrión. En estos ejemplos, una entidad no contabilizará el derivado implícito por separado del contrato anfitrión.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derivado implícito en que el subyacente es una tasa de interés o un índice de tasas de interés, cuyo efecto es que puede cambiar el importe de los intereses que en otro caso serían pagados o recibidos en un contrato de deuda anfitrión que acumule (devengue) intereses o en un contrato de seguro, está estrechamente relacionado con el contrato anfitrión, a menos que el contrato híbrido pueda ser liquidado de forma tal que el tenedor no recupere de manera sustancial la inversión que haya reconocido o que el derivado implícito pueda, por lo menos, duplicar la tasa de rentabilidad inicial del tenedor sobre el contrato anfitrión de forma que dé lugar a una tasa de rentabilidad que sea, por lo menos, el doble del rendimiento en el mercado por un contrato con las mismas condiciones que el contrato anfitrión.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Una opción implícita que establezca límites máximo o mínimo sobre la tasa de interés de un contrato de deuda o de un contrato de seguro, estará estrechamente relacionada con el contrato anfitrión, siempre que, al momento de emisión del contrato, el límite máximo no esté por debajo de la tasa de interés de mercado y el límite mínimo no esté por encima de ella y que ninguno de los dos límites esté apalancado en relación con el contrato anfitrión. De forma similar, las cláusulas incluidas en el contrato de compra o venta de un activo (por ejemplo, de una materia prima cotizada) que establezcan un límite máximo o mínimo al precio que se va a pagar o a recibir por el activo, estarán estrechamente relacionadas con el </w:t>
      </w:r>
      <w:r w:rsidRPr="00401DFF">
        <w:rPr>
          <w:rFonts w:ascii="Times New Roman" w:eastAsia="Times New Roman" w:hAnsi="Times New Roman" w:cs="Times New Roman"/>
          <w:sz w:val="24"/>
          <w:szCs w:val="24"/>
          <w:lang w:eastAsia="es-CO"/>
        </w:rPr>
        <w:lastRenderedPageBreak/>
        <w:t>contrato anfitrión si tanto el límite máximo como el mínimo fueran desfavorables al inicio, y no están apalancados.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derivado implícito en moneda extranjera que proporciona una corriente de pagos por principal e interés, denominados en una moneda extranjera y se encuentra implícito en un instrumento de deuda anfitrión (por ejemplo, un bono en dos divisas) está estrechamente relacionado con el instrumento de deuda anfitrión. Tal derivado no se separa del instrumento principal porque la NIC 21 requiere que las ganancias o pérdidas de cambio sobre las partidas monetarias se reconozcan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derivado en moneda extranjera implícito en un contrato anfitrión, que es un contrato de seguros o no es un instrumento financiero (como un contrato para la compra o venta de partidas no financieras, cuyo precio está denominado en moneda extranjera), estará estrechamente relacionado con el contrato anfitrión siempre que no esté apalancado, no contenga un componente de opción y requiera pagos denominados en una de las siguientes monedas: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moneda funcional de cualquier parte sustancial de ese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moneda en la cual el precio del bien o servicio relacionado que se adquiere o entrega está habitualmente denominado para transacciones comerciales en todo el mundo (tales como el dólar estadounidense para las operaciones de petróleo crudo);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una moneda que se utiliza comúnmente en los contratos de compra o venta de partidas no financieras en el entorno económico en el que la transacción tiene lugar (por ejemplo, una moneda relativamente estable y líquida que se utiliza comúnmente en las transacciones empresariales locales o en el comercio exterior).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opción de pago anticipado implícita en un instrumento segregado representativo del principal o del interés, estará estrechamente relacionada con el contrato anfitrión siempre que éste: (i) inicialmente sea el resultado de la separación del derecho a recibir flujos de efectivo contractuales de un instrumento financiero que, en y por sí mismo, no contenga un derivado implícito; (ii) no contenga ninguna condición que no esté también presente en el contrato de deuda anfitrión original.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Un derivado implícito en un contrato de arrendamiento anfitrión estará estrechamente relacionado con éste si es (i) un índice relacionado con la inflación, como por ejemplo un índice de pagos por arrendamiento que esté incluido en el índice de precios al consumo (siempre que el arrendamiento no esté apalancado y el índice se refiera a la inflación del entorno económico propio de la entidad), (ii) un conjunto de cuotas contingentes basadas en las ventas realizadas, y (iii) un conjunto de cuotas de arrendamiento contingentes basadas en tasas de interés variables.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Un componente implícito, dentro de un instrumento financiero anfitrión o de un contrato de seguro anfitrión, que esté ligado a las unidades de participación en un fondo de inversión, estará relacionado estrechamente con el instrumento anfitrión o con el contrato anfitrión si los pagos, denominados en unidades de participación en el citado fondo, se </w:t>
      </w:r>
      <w:r w:rsidRPr="00401DFF">
        <w:rPr>
          <w:rFonts w:ascii="Times New Roman" w:eastAsia="Times New Roman" w:hAnsi="Times New Roman" w:cs="Times New Roman"/>
          <w:sz w:val="24"/>
          <w:szCs w:val="24"/>
          <w:lang w:eastAsia="es-CO"/>
        </w:rPr>
        <w:lastRenderedPageBreak/>
        <w:t>miden en términos de valores corrientes de esas unidades, que reflejen los valores razonables de los activos del fondo. Un componente ligado a las unidades de participación en un fondo de inversión es una condición contractual que requiere que los pagos se denominen en unidades de participación de un fondo de inversión interno o externo.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Un derivado implícito en un contrato de seguro estará estrechamente relacionado con el contrato de seguro anfitrión si ambos tienen tal grado de interdependencia que la entidad no puede medir el derivado implícito de forma separada (esto es, sin considerar el contrato anfitrión).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Instrumentos que contienen 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B4.3.9 Como destacaba el párrafo B4.3.1, cuando una entidad se convierte en parte de un contrato híbrido con un anfitrión que no es un activo dentro del alcance de esta NIIF, y con uno o más derivados implícitos, el párrafo 4.3.3 requiere que la entidad identifique estos derivados implícitos, evalúe si se requiere separarlos del contrato anfitrión y en aquéllos casos en que se requiera, mida dichos derivados por su valor razonable, tanto en el momento del reconocimiento inicial como posteriormente. Estos requerimientos pueden llegar a ser más complejos, o dar lugar a mediciones menos fiables que la medición de todo el instrumento al valor razonable con cambios en resultados. Por ello, esta NIIF permite que todo el contrato híbrido se designe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B4.3.10 Esta designación podría ser utilizada tanto cuando el párrafo 4.3.3 requiera la separación de los derivados implícitos del contrato anfitrión, como cuando la prohíba. No obstante, el párrafo 4.3.5 no justificaría la designación del contrato híbrido como al valor razonable con cambios en resultados en los casos establecidos en el párrafo 4.3.5(a) y (b), porque al hacerlo no se reduciría la complejidad ni se incrementaría la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Nueva Evaluación de derivados implícitos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B4.3.11 De acuerdo con el párrafo 4.3.3, cuando se convierta por primera vez en parte del contrato, una entidad evaluará si se requiere que un derivado implícito se separe de su contrato anfitrión y se contabilice como un derivado. Se prohíbe realizar de nuevo esta evaluación, a menos que se haya producido una variación en los términos del contrato que modifique significativamente los flujos de efectivo que de otro modo se producirían de acuerdo con el mismo, en cuyo caso se requerirá una nueva evaluación. Una entidad determinará si la modificación de los flujos de efectivo es significativa, teniendo en cuenta la forma en que han variado los flujos de efectivo esperados asociados con el derivado implícito, con el contrato anfitrión o con ambos, y si ese cambio es significativo en relación con los flujos de efectivo esperados inicialmente del contrato.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B4.3.12 El párrafo B4.3.11 no se aplicará a los derivados implícitos en contratos adquiridos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una combinación de negocios (tal como se define en el NIIF 3 </w:t>
      </w:r>
      <w:r w:rsidRPr="00401DFF">
        <w:rPr>
          <w:rFonts w:ascii="Times New Roman" w:eastAsia="Times New Roman" w:hAnsi="Times New Roman" w:cs="Times New Roman"/>
          <w:i/>
          <w:iCs/>
          <w:sz w:val="24"/>
          <w:szCs w:val="24"/>
          <w:lang w:eastAsia="es-CO"/>
        </w:rPr>
        <w:t>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una combinación de entidades o negocios bajo control común según se describe en los párrafos B1 a B4 de la NIIF 3;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la formación de un negocio conjunto, según se definen en la NIIF 11 </w:t>
      </w:r>
      <w:r w:rsidRPr="00401DFF">
        <w:rPr>
          <w:rFonts w:ascii="Times New Roman" w:eastAsia="Times New Roman" w:hAnsi="Times New Roman" w:cs="Times New Roman"/>
          <w:i/>
          <w:i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 su posible nueva evaluación en la fecha de adquisición</w:t>
      </w:r>
      <w:hyperlink r:id="rId99" w:anchor="bf15cdf312c4a124aa2ba764842a2c005e8nf9" w:tgtFrame="_self" w:history="1">
        <w:r w:rsidRPr="00401DFF">
          <w:rPr>
            <w:rFonts w:ascii="Times New Roman" w:eastAsia="Times New Roman" w:hAnsi="Times New Roman" w:cs="Times New Roman"/>
            <w:color w:val="0000FF"/>
            <w:sz w:val="20"/>
            <w:szCs w:val="20"/>
            <w:u w:val="single"/>
            <w:vertAlign w:val="superscript"/>
            <w:lang w:eastAsia="es-CO"/>
          </w:rPr>
          <w:t>(94)</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activos financieros (sección 4.4)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B4.4.1 El párrafo 4.4.1 requiere que una entidad reclasifique los activos financieros si cambia el objetivo del modelo de negocio de la misma para gestionar los activos financieros. Se espera que este cambio sea muy poco frecuente. Estos cambios deben ser determinados por la alta dirección de la entidad como resultado de cambios externos o internos, y deben ser significativos para las operaciones de la entidad y demostrables frente a terceros. Ejemplos de cambios en el modelo de negocio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tiene una cartera de préstamos comerciales que mantiene para vender en el corto plazo. La entidad adquiere una empresa que gestiona préstamos comerciales y tiene un modelo de negocio que mantiene los préstamos para obtener los flujos de efectivo contractuales. La cartera de préstamos comerciales deja de ser para la venta, y la cartera es ahora gestionada junto con los préstamos comerciales adquiridos y todos se mantienen para obtener flujos de efectivo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firma de servicios financieros decide cerrar su negocio minorista de hipotecas. Ese negocio deja de aceptar nuevas transacciones y la firma de servicios financieros pone a la venta activamente su cartera de préstamos hipotecarios.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B4.4.2 Un cambio en el objetivo del modelo de negocio de la entidad debe efectuarse antes de la fecha de reclasificación. Por ejemplo, si una firma de servicios financieros decide el 15 de febrero cerrar su negocio minorista de hipotecas, y por ello debe reclasificar todos los activos financieros afectados al 1 de abril (es decir el primer día del próximo periodo sobre el que se informará), la entidad no debe aceptar nuevos negocios minorista de hipotecas ni realizar otras actividades relacionadas con su anterior modelo de negocio después del 15 de febrero.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B4.4.3 Las siguientes situaciones no constituyen cambios en el modelo de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cambio de intención relacionado con activos financieros concretos (incluso en circunstancias de cambios significativos en las condiciones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desaparición temporal de un mercado particular para activos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transferencia de activos financieros entre partes de la entidad con diferentes modelos de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Medición (capítulo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Reconocimiento inicial (sección 5.1)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B5.1.1 El valor razonable de un instrumento financiero, en el momento del reconocimiento inicial, es normalmente el precio de la transacción (es decir, el valor razonable de la contraprestación pagada o recibida, véase también el párrafo B5.1.2A y la IFRS 13). Sin embargo, si parte de la contraprestación entregada o recibida es por algo distinto del instrumento financiero, una entidad medirá el valor razonable del instrumento financiero. Por ejemplo, el valor razonable de un préstamo o cuenta por cobrar a largo plazo, que no acumula (devenga) intereses, puede medirse como el valor presente de todos los cobros de efectivo futuros descontados utilizando la tasa o tasas de interés de mercado dominantes para instrumentos similares (similares en cuanto a la moneda, plazo, tipo de tasa de interés y otros factores) con calificaciones crediticias parecidas. Todo importe adicional prestado será un gasto o un menor ingreso, a menos que cumpla los requisitos para su reconocimiento como algún otro tipo de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B5.1.2 Si una entidad origina un préstamo que acumula (devenga) una tasa de interés que es desfavorable (por ejemplo, un 5 por ciento cuando la tasa de mercado para préstamos similares es del 8 por ciento) y recibe una comisión por adelantado como compensación, la entidad reconocerá el préstamo por su valor razonable, es decir, neto de cualquier comisión recibida.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B5.1.2A La mejor evidencia del valor razonable de un instrumento financiero, en el momento del reconocimiento inicial, es normalmente el precio de la transacción (es decir, el valor razonable de la contraprestación pagada o recibida, véase también la NIIF 13). Si una entidad determina que el valor razonable en el momento del reconocimiento inicial difiere del precio de la transacción como se menciona en el párrafo 5.1.1A, la entidad contabilizará ese instrumento en esa fecha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la medición requerida por el párrafo 5.1.1 si ese valor razonable se manifiesta por un precio cotizado en un mercado activo para un activo o pasivo idéntico (es decir, un dato de entrada de Nivel 1) o se basa en una técnica de valoración que utiliza solo datos de mercados observables. Una entidad reconocerá la diferencia entre el valor razonable en el momento del reconocimiento inicial y el precio de transacción como una ganancia o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 los demás casos, en la medición requerida por el párrafo 5.1.1, ajustado para aplazar la diferencia entre el valor razonable en el momento del reconocimiento inicial y el precio de transacción. Después del reconocimiento inicial, la entidad reconocerá esa diferencia diferida como una ganancia o pérdida solo en la medida en que surja de un cambio en un factor (incluyendo el tiempo) que los participantes de mercado tendrían en cuenta al fijar el precio del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posterior de activos financieros (sección 5.2)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B5.2.1 Si un instrumento financiero, que se reconocía previamente como un activo financiero, se mide al valor razonable y éste cae por debajo de cero, será un pasivo financiero medido de acuerdo con el párrafo 4.2.1. Sin embargo, los contratos híbridos con anfitriones que son los activos dentro del alcance de esta NIIF se miden siempre de acuerdo con el párrafo 4.3.2.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B5.2.2 El ejemplo siguiente ilustra la contabilidad de los costos de transacción en la medición inicial y posterior de un activo financiero medido al valor razonable con cambios en otro resultado integral, de acuerdo con el párrafo 5.7.5. Una entidad adquiere un activo por 100 u.m. más una comisión de compra de 2 u.m. Inicialmente, la entidad reconoce el activo por 102 u.m. El periodo sobre el que se informa termina al día siguiente, cuando el precio de mercado cotizado del activo es de 100 u.m. Si el activo fuera vendido, se pagaría una comisión de 3 u.m. En esa fecha, la entidad mide el activo a 100 u.m. (sin tener en cuenta la posible comisión de venta) y reconoce una pérdida de 2 u.m.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B5.2.2A La medición posterior del activo financiero o del pasivo financiero y el consiguiente reconocimiento de las ganancias y pérdidas descritas en el párrafo B5.1.2A, será congruente con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B5.4.1-B5.4.13 [Eliminado]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Inversiones en instrumentos de patrimonio y contratos sobre dichas inversiones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B5.4.14 Todas las inversiones en instrumentos de patrimonio y contratos relacionados con esos instrumentos deben medirse al valor razonable. Sin embargo, en circunstancias concretas, el costo puede ser una estimación adecuada del valor razonable. Ese puede ser el caso si la información disponible reciente es insuficiente para medir dicho valor razonable, o si existe un rango amplio de mediciones posibles del valor razonable y el costo representa la mejor estimación del valor razonable dentro de ese rango.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B5.4.15 Indicadores de que el costo puede no ser representativo del valor razonable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cambio significativo en el rendimiento de la entidad participada, comparado con presupuestos, planes u objetivos.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Cambios en las expectativas de que puedan lograrse los objetivos de producción técnica de la entidad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cambio significativo en el mercado para los instrumentos de patrimonio de la entidad participada o sus productos o productos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cambio significativo en la economía global o economía del entorno en el que opera la entidad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Un cambio significativo en el rendimiento de entidades comparables, o en las valoraciones sugeridas por el mercado global.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Problemas internos de la entidad participada tales como fraude, disputas comerciales, litigios, cambios en la gerencia o en la estrategia.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Evidencia procedente de transacciones externas en el patrimonio de la entidad participada, ya estén causadas por la propia entidad participada (tales como una emisión reciente de instrumentos de patrimonio) o por transferencias de instrumentos de patrimonio entre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B5.4.16 La lista del párrafo B5.4.15 no es exhaustiva. Una entidad utilizará toda la información sobre el rendimiento y operaciones de la entidad participada que esté disponible después de la fecha del reconocimiento inicial. En la medida en que se den cualquiera de estos factores relevantes, pueden indicar que el costo pudiera no ser representativo del valor razonable. En estos casos, la entidad debe medir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B5.4.17 El costo nunca es la mejor estimación del valor razonable de las inversiones en instrumentos de patrimonio cotizados (o contratos sobre instrumentos de patrimonio cotizados).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Ganancias y pérdidas (sección 5.7)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B5.7.1 El párrafo 5.7.5 permite a una entidad realizar una elección irrevocable de presentar en otro resultado integral los cambios en el valor razonable de una inversión en un instrumento de patrimonio que no se mantenga para negociar. Esta elección se realizará instrumento por instrumento (es decir acción por acción). Los importes presentados en otro resultado integral no serán transferidos posteriormente a al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resultado del periodo. Sin embargo, la entidad puede hacer transferencias de las ganancias o pérdidas acumuladas dentro del patrimonio. Los dividendos de estas inversiones se reconocerán en el resultado del periodo de acuerdo con la NIC 18</w:t>
      </w:r>
      <w:r w:rsidRPr="00401DFF">
        <w:rPr>
          <w:rFonts w:ascii="Times New Roman" w:eastAsia="Times New Roman" w:hAnsi="Times New Roman" w:cs="Times New Roman"/>
          <w:i/>
          <w:iCs/>
          <w:sz w:val="24"/>
          <w:szCs w:val="24"/>
          <w:lang w:eastAsia="es-CO"/>
        </w:rPr>
        <w:t>,</w:t>
      </w:r>
      <w:r w:rsidRPr="00401DFF">
        <w:rPr>
          <w:rFonts w:ascii="Times New Roman" w:eastAsia="Times New Roman" w:hAnsi="Times New Roman" w:cs="Times New Roman"/>
          <w:sz w:val="24"/>
          <w:szCs w:val="24"/>
          <w:lang w:eastAsia="es-CO"/>
        </w:rPr>
        <w:t xml:space="preserve"> a menos que el dividendo represente claramente una recuperación de parte del costo de la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B5.7.2 Una entidad aplicará la NIC 21 </w:t>
      </w:r>
      <w:r w:rsidRPr="00401DFF">
        <w:rPr>
          <w:rFonts w:ascii="Times New Roman" w:eastAsia="Times New Roman" w:hAnsi="Times New Roman" w:cs="Times New Roman"/>
          <w:i/>
          <w:iCs/>
          <w:sz w:val="24"/>
          <w:szCs w:val="24"/>
          <w:lang w:eastAsia="es-CO"/>
        </w:rPr>
        <w:t xml:space="preserve">Efectos de las Variaciones en las Tasas de Cambio de la Moneda Extranjera </w:t>
      </w:r>
      <w:r w:rsidRPr="00401DFF">
        <w:rPr>
          <w:rFonts w:ascii="Times New Roman" w:eastAsia="Times New Roman" w:hAnsi="Times New Roman" w:cs="Times New Roman"/>
          <w:sz w:val="24"/>
          <w:szCs w:val="24"/>
          <w:lang w:eastAsia="es-CO"/>
        </w:rPr>
        <w:t>a los activos financieros y pasivos financieros que sean partidas monetarias, de acuerdo con la NIC 21, y estén denominados en una moneda extranjera</w:t>
      </w:r>
      <w:r w:rsidRPr="00401DFF">
        <w:rPr>
          <w:rFonts w:ascii="Times New Roman" w:eastAsia="Times New Roman" w:hAnsi="Times New Roman" w:cs="Times New Roman"/>
          <w:i/>
          <w:iCs/>
          <w:sz w:val="24"/>
          <w:szCs w:val="24"/>
          <w:lang w:eastAsia="es-CO"/>
        </w:rPr>
        <w:t xml:space="preserve">. </w:t>
      </w:r>
      <w:r w:rsidRPr="00401DFF">
        <w:rPr>
          <w:rFonts w:ascii="Times New Roman" w:eastAsia="Times New Roman" w:hAnsi="Times New Roman" w:cs="Times New Roman"/>
          <w:sz w:val="24"/>
          <w:szCs w:val="24"/>
          <w:lang w:eastAsia="es-CO"/>
        </w:rPr>
        <w:t>La NIC 21 requiere que cualquier ganancia y pérdida por diferencias de cambio sobre activos monetarios y pasivos monetarios se reconozca en el resultado del periodo. Una excepción es una partida monetaria que esté designada como instrumento de cobertura, ya sea en una cobertura del flujo de efectivo (véanse los párrafos 95 a 101 de la NIC 39) o en una cobertura de una inversión neta (véase el párrafo 102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B5.7.3 El párrafo 5.7.5 permite a una entidad realizar una elección irrevocable de presentar en otro resultado integral los cambios en el valor razonable de una inversión en un instrumento de patrimonio que no se mantenga para negociar. Esta inversión no es una partida monetaria. Por consiguiente, la ganancia o pérdida que se presente en otro resultado </w:t>
      </w:r>
      <w:r w:rsidRPr="00401DFF">
        <w:rPr>
          <w:rFonts w:ascii="Times New Roman" w:eastAsia="Times New Roman" w:hAnsi="Times New Roman" w:cs="Times New Roman"/>
          <w:sz w:val="24"/>
          <w:szCs w:val="24"/>
          <w:lang w:eastAsia="es-CO"/>
        </w:rPr>
        <w:lastRenderedPageBreak/>
        <w:t>integral de acuerdo con el párrafo 5.7.5 incluye los componentes de las diferencias de cambio de la moneda extranjera correspondientes.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B5.7.4 Si existe una relación de cobertura entre un activo monetario, que no sea un derivado, y un pasivo monetario que también sea distinto de un derivado, los cambios en el componente de la moneda extranjera de esos instrumentos financieros se presentarán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Pasivos designados como al valor razonable con cambios en resultados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B5.7.5 Cuando una entidad designa un pasivo financiero como a valor razonable con cambios en resultados, debe determinar si la presentación en otro resultado integral los efectos de los cambios en el riesgo de crédito del pasivo crearía o aumentaría una asimetría contable en el resultado del periodo. Se crearía o aumentaría una asimetría contable si la presentación de los efectos de los cambios en el riesgo de crédito de un pasivo en otro resultado integral daría lugar a una asimetría contable mayor en el resultado del periodo que si esos importes se presentaran en dicho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B5.7.6 Para llevar a cabo esa determinación, una entidad debe evaluar si espera que los efectos de los cambios en el riesgo de crédito del pasivo se compensarán en el resultado del periodo con un cambio en el valor razonable de otro instrumento financiero medido al valor razonable con cambios en resultados. Esta expectativa debe basarse en una relación económica entre las características del pasivo y las características del otro instrumento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B5.7.7 Esa determinación se realiza en el momento del reconocimiento inicial y no se vuelve a evaluar. A efectos prácticos, no es necesario que la entidad suscriba todos los activos y pasivos que den lugar a una asimetría contable exactamente al mismo tiempo. Se permite un retraso razonable siempre que se espere que tengan lugar el resto de transacciones. Una entidad debe aplicar de forma coherente su metodología para determinar si la presentación en otro resultado integral de los efectos de los cambios en el riesgo de crédito del pasivo crearía o aumentaría una asimetría contable en el resultado del periodo. Sin embargo, una entidad puede utilizar metodologías diferentes cuando existen relaciones económicas distintas entre las características del pasivo designado como a valor razonable con cambios en resultados y las características de los otros instrumentos financieros. La NIIF 7 requiere que una entidad proporcione información a revelar cualitativa en las notas a los estados financieros sobre su metodología para realizar esa determinación.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B5.7.8 Si se crearía o aumentaría esta asimetría contable, se requerirá que la entidad presente todos los cambios en el valor razonable (incluyendo los efectos de los cambios en el riesgo de crédito del pasivo) en el resultado de periodo. Si no se creara o aumentara esta asimetría contable, se requerirá que la entidad presente los efectos de los cambios en el riesgo de crédito del pasivo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B5.7.9 Los importes presentados en otro resultado integral no serán transferidos posteriormente a al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resultado del periodo. Sin embargo, la entidad puede hacer transferencias de las ganancias o pérdidas acumuladas dentro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B5.7.10 El siguiente ejemplo describe una situación en la que se crearía una asimetría contable en el resultado el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sic</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periodo si los efectos de los cambios en el riesgo de crédito del pasivo se presentaran en otro resultado integral. Un banco hipotecario proporciona préstamos a clientes y financia esos préstamos vendiendo bonos con características iguales (por ejemplo, importes pendientes, perfil de reembolsos, condiciones y moneda) en el mercado. Las condiciones contractuales del préstamo permiten al cliente de la hipoteca pagar anticipadamente su préstamo (es decir satisfacer su obligación al banco) mediante la compra del bono correspondiente al valor razonable en el mercado y la entrega de ese bono al banco hipotecario. Como resultado de ese derecho contractual de pago anticipado, si la calidad del crédito de bono empeora (y, así, el valor razonable del pasivo del banco hipotecario disminuye), el valor razonable del activo por préstamos del banco hipotecario también disminuye. El cambio en el valor razonable del activo refleja el derecho contractual del cliente de la hipoteca a pagar anticipadamente el préstamo hipotecario mediante la compra del bono subyacente al valor razonable (que, en este ejemplo, ha disminuido) y entregar el bono al banco hipotecario. Por ello, los efectos de los cambios en el riesgo de crédito del pasivo (el bono) se compensará en el resultado del periodo con un cambio correspondiente en el valor razonable de un activo financiero (el préstamo). Si los efectos de los cambios en el riesgo de crédito del pasivo se presentaran en otro resultado integral habría una asimetría contable en el resultado del periodo. Por ello, se requiere que el banco hipotecario presente todos los cambios en el valor razonable del pasivo (incluyendo los efectos de los cambios en el riesgo de crédito del pasivo) en el resultado del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B5.7.11 En el ejemplo del párrafo B5.7.10, existe una vinculación contractual entre los efectos de los cambios en el riesgo de crédito del pasivo y los cambios en el valor razonable del activo financiero (es decir como un resultado del derecho contractual del cliente de la hipoteca a pagar anticipadamente el préstamo mediante la compra del bono al valor razonable y entregarlo al banco hipotecario. Sin embargo, también puede tener lugar una asimetría contable en ausencia de una vinculación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B5.7.12 A efectos de la aplicación de los requerimientos de los párrafos 5.7.7 y 5.7.8, una asimetría contable no tiene lugar únicamente por el método de medición que utilice una entidad para determinar los efectos de cambios en el riesgo de crédito del pasivo. Una asimetría contable en el resultado del periodo surgiría solo cuando los efectos de los cambios en el riesgo de crédito del pasivo (como se define en la NIIF 7) se espera que se compense con cambios en el valor razonable de otro instrumento financiero. Una asimetría que surge únicamente como consecuencia del método de medición (es decir porque una entidad no aísla los cambios del riesgo de crédito de un pasivo de otros cambios en su valor razonable) no afecta a la determinación requerida en los párrafos 5.7.7 y 5.7.8. Por ejemplo, una entidad puede no aislar los cambios en el riesgo de crédito del pasivo de cambios en el riesgo de liquidez. Si la entidad presenta el efecto combinado de ambos factores en otro resultado integral, puede ocurrir una asimetría porque los cambios en el riesgo de liquidez pueden estar incluidos en la medición del valor razonable de los activos financieros de la entidad y la totalidad del cambio del valor razonable de esos activos se presenta en el resultado del periodo. Sin embargo, esta asimetría se causa por la imprecisión de la medición, no de la relación de compensación descrita en el párrafo B5.7.6, por ello, no afecta a la determinación requerida en los párrafos 5.7.7 y 5.7.8.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El significado de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B5.7.13 La NIIF 7 define el riesgo de crédito como “el riesgo de que una de las partes de un instrumento financiero cause una pérdida financiera a la otra parte por incumplir una obligación. El requerimiento del párrafo 5.7.7(a) relaciona el riesgo de que el emisor no dé el rendimiento esperado de ese pasivo particular. Ello no está necesariamente relacionado con la solvencia crediticia del emisor. Por ejemplo, si una entidad emite un pasivo garantizado de forma colateral y un pasivo no garantizado de forma colateral que son en todo lo demás idénticos, el riesgo de crédito de esos dos pasivos serán diferentes, aún cuando se emitan por la misma entidad. El riesgo de crédito del pasivo garantizado de forma colateral será menor que el riesgo de crédito del pasivo no garantizado de forma colateral. El riesgo de crédito de un pasivo garantizado de forma colateral puede estar próximo a 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B5.7.14 A efectos de aplicar los requerimientos del párrafo 5.7.7(a), el riesgo de crédito es diferente del riesgo de rendimiento del activo específico. El riesgo de rendimiento de un activo específico no está relacionado con el riesgo de que una entidad no cumpla con una obligación particular sino más bien está relacionado con el riesgo de que un activo único o un grupo de activos tendrán rendimientos pobres (o no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B5.7.15 Algunos ejemplos de riesgo de rendimiento de activos específicos son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pasivo con un componente vinculado al resultado de las inversiones por medio del cual el importe debido a los inversores es determinado contractualmente sobre la base del rendimiento de activos especificados. El efecto de ese componente vinculado al resultado de las inversiones sobre el valor razonable del pasivo es el riesgo de rendimiento del activo especificado, no el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pasivo emitido por una entidad estructurada con las características siguientes. La entidad está legalmente aislada de forma que los activos en la entidad están protegidos en beneficio únicamente de sus inversores, incluso en el caso de quiebra. La entidad no realiza otras transacciones y los activos de la entidad no pueden hipotecarse. Los importes se deben a los inversores de la entidad solo si los activos protegidos generan flujos de efectivo. Por ello, los cambios en el valor razonable del pasivo reflejan principalmente los cambios en el valor razonable de los activos. El efecto del rendimiento de los activos sobre el valor razonable del pasivo es el riesgo de rendimiento del activo especificado, no el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Determinación de los efectos de cambios en el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B5.7.16 A efectos de la aplicación del requerimiento del párrafo 5.7.7(a), una entidad determinará el importe del cambio en el valor razonable del pasivo financiero que es atribuible a cambios en el riesgo de crédito de ese pasivo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como el importe de la variación del valor razonable que no sea atribuible a cambios en las condiciones de mercado que dan lugar a riesgo de mercado (véase el párrafo B5.7.17 y B5.7.18);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utilizando un método alternativo, la entidad cree que de esta forma representa más fielmente el importe del cambio del valor razonable del pasivo que sea atribuible a cambios en su riesgo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B5.7.17 Los cambios en las condiciones de mercado que ocasionan riesgo de mercado incluyen las variaciones en una tasa de interés de referencia, en el precio de un instrumento financiero de otra entidad, en el precio de una materia prima cotizada, en una tasa de cambio de moneda extranjera o en un índice de precios o tasas.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B5.7.18 Si los únicos cambios relevantes en las condiciones de mercado para el pasivo fuesen los cambios que se producen en una tasa de interés (de referencia) observada, el importe del párrafo B5.7.16(a) puede ser estimado como sigue: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En primer lugar, la entidad computa la tasa interna de rendimiento del pasivo al comienzo del periodo, utilizando el valor razonable del pasivo y los flujos de efectivo contractuales del mismo en ese momento. Deducirá de esta tasa, la tasa de interés (de referencia) observada al comienzo del período, para obtener el componente específico de la tasa interna de rendimiento, para 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 continuación, la entidad calculará el valor presente de los flujos de efectivo asociados con el pasivo utilizando los flujos de efectivo contractuales del pasivo al final del período y una tasa de descuento igual a la suma de (i) la tasa de interés (de referencia) observada al final del período y (ii) el componente específico del instrumento de la tasa interna de rendimiento, calculado de la forma prevista en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diferencia entre el valor razonable del pasivo al final del período, y el importe determinado en (b) es la variación del valor razonable que no es atribuible a cambios en la tasa de interés (de referencia) observada. Este es el importe a presentar en otro resultado integral de acuerdo con el párrafo 5.7.7(a).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B5.7.19 El ejemplo del párrafo B5.7.18 supone que las variaciones del valor razonable que surjan de factores distintos de los cambios en el riesgo de crédito del instrumento o en la tasa de interés (de referencia) observada no son significativas. Este método no sería apropiado si los cambios en el valor razonable que surgen de otros factores son significativos. En esos casos, se requiere que una entidad utilice un método alternativo que mida con mayor fidelidad los efectos de los cambios en el riesgo de crédito del pasivo [véase el párrafo B5.7.16(a)]. Por ejemplo, si el instrumento del ejemplo contiene un derivado implícito, la variación del valor razonable de éste se excluirá al determinar el importe a ser presentado en otro resultado integral según el párrafo 5.7.7(a).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B5.7.20 Como en todas las mediciones del valor razonable, el método de medición de una entidad para determinar la porción del cambio en el valor razonable del pasivo que sea </w:t>
      </w:r>
      <w:r w:rsidRPr="00401DFF">
        <w:rPr>
          <w:rFonts w:ascii="Times New Roman" w:eastAsia="Times New Roman" w:hAnsi="Times New Roman" w:cs="Times New Roman"/>
          <w:sz w:val="24"/>
          <w:szCs w:val="24"/>
          <w:lang w:eastAsia="es-CO"/>
        </w:rPr>
        <w:lastRenderedPageBreak/>
        <w:t>atribuible a cambios en su riesgo de crédito debe maximizar el uso de datos de entrada relevantes observables y minimizar el de datos de entrada no observables.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 (capítulo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 (párrafo 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financieros mantenidos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B7.2.1 En la fecha de la aplicación inicial de esta NIIF, una entidad debe determinar si el objetivo del modelo de negocio de la entidad para gestionar cualquiera de sus activos financieros cumple la condición del párrafo 4.1.2(a) o si un activo financiero reúne los requisitos necesarios para la elección del párrafo 5.7.5. A estos efectos, una entidad determinará si los activos financieros cumplen la definición de mantenido para negociar como si la entidad hubiera adquirido los activos en la fecha de la aplicación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Derivados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BA.1 Los ejemplos típicos de derivados son contratos de futuros, contratos a término, permutas financieras y contratos de opción. Un derivado tiene normalmente un importe nocional, que es un importe en divisas, un número de acciones, un número de unidades de peso o volumen u otras unidades especificadas en el contrato. Sin embargo, un instrumento derivado no requiere que el tenedor o el emisor inviertan o reciban el importe nocional al comienzo del contrato. De forma alternativa, un derivado puede requerir un pago fijo o el pago de un importe que puede cambiar (pero no proporcionalmente con un cambio en el subyacente) como resultado de un suceso futuro que no está relacionado con el importe nocional. Por ejemplo, un contrato puede requerir el pago de 1.000 u.m. si la tasa de interés LIBOR a seis meses se incrementa en 100 puntos básicos. Dicho contrato será un derivado aunque no se especifique un importe nocional.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BA.2 En esta NIIF, la definición de derivado incluye contratos que se liquidan en términos brutos mediante la entrega del elemento subyacente (por ejemplo, un contrato a término para adquirir un instrumento de deuda a interés fijo). Una entidad puede tener un contrato de compra o venta de un elemento no financiero, que puede ser liquidado por el neto en efectivo u otro instrumento financiero, o bien mediante el intercambio de instrumentos financieros (por ejemplo, un contrato de compra o venta de una materia prima cotizada a un precio fijo en una fecha futura). Este contrato está dentro del alcance de esta NIIF a menos que se haya realizado, y se mantenga, con el objetivo de entregar un elemento no financiero de acuerdo con las compras, ventas o necesidades de utilización esperadas de la entidad (véanse los párrafos 5 a 7 de la NIC 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BA.3 Una de las características definitorias de un derivado es que tiene una inversión neta inicial inferior que la que se requeriría para otros tipos de contrato que se espera tengan una respuesta similar a cambios en las condiciones de mercado. Un contrato de opción cumple </w:t>
      </w:r>
      <w:r w:rsidRPr="00401DFF">
        <w:rPr>
          <w:rFonts w:ascii="Times New Roman" w:eastAsia="Times New Roman" w:hAnsi="Times New Roman" w:cs="Times New Roman"/>
          <w:sz w:val="24"/>
          <w:szCs w:val="24"/>
          <w:lang w:eastAsia="es-CO"/>
        </w:rPr>
        <w:lastRenderedPageBreak/>
        <w:t>la definición porque la prima es un importe menor que la inversión que se requeriría para obtener el instrumento financiero subyacente al que está vinculada la opción. Una permuta de divisas, que requiera un intercambio inicial de divisas diferentes con valores razonables iguales, cumple también la definición porque tiene una inversión neta inicial de nula.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BA.4 Una compra o venta convencional da lugar a un compromiso a precio fijo, entre la fecha de compra y la fecha de liquidación, que cumple la definición de derivado. Sin embargo, a causa de la breve duración del compromiso, no se lo reconoce como instrumento financiero derivado. Más bien, esta NIIF contempla una contabilización especial para dichos contratos convencionales (véanse los párrafos 3.1.2 y B3.1.3 a B3.1.6).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BA.5 La definición de derivado hace referencia a variables no financieras que no sean específicas para una de las partes del contrato. Entre las mismas se incluirán un índice de pérdidas por terremotos en una región particular o un índice de temperaturas en una ciudad concreta. Entre las variables no financieras específicas para una de las partes del contrato se incluye, por ejemplo, que ocurra o no un fuego que dañe o destruya un activo que pertenezca a una de las partes del contrato. Un cambio en el valor razonable de un activo no financiero será específico para el propietario si este valor razonable refleja no sólo cambios en los precios de mercado de tales activos (una variable financiera), sino también el estado del activo no financiero en cuestión (una variable no financiera). Por ejemplo, si la garantía del valor residual de un automóvil específico expone al garante al riesgo de cambios en el estado físico del mismo, el cambio en ese valor residual es específico para el propietario del automóvil.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Activos y pasivos financieros mantenidos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BA.6 Negociar generalmente refleja compras y ventas activas y frecuentes, y los instrumentos financieros mantenidos para negociar habitualmente se utilizan con el objetivo de generar una ganancia por las fluctuaciones a corto plazo en el precio o por el margen de intermediación.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BA.7 Los pasivos financieros mantenidos para negociar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pasivos derivados que no se contabilizan como instrumentos de cobertura;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obligaciones que un vendedor en corto tiene de entregar activos financieros que le han sido prestados (es decir una entidad que vende activos financieros que había recibido en préstamo y que todavía no posee);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pasivos financieros en los que se incurre con la finalidad de volver a comprarlos en un futuro cercano (por ejemplo, un instrumento de deuda cotizado que el emisor puede volver a comprar en un futuro cercano, dependiendo de los cambios en su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pasivos financieros que son parte de una cartera de instrumentos financieros identificados, que se gestionan conjuntamente y para la cual existe evidencia de un comportamiento reciente de toma de ganancias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BA.8 El hecho de que un pasivo se utilice para financiar actividades de negociación no conlleva por sí mismo que el pasivo esté mantenido para negociar.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La NIIF 3 aborda la adquisición de contratos con derivados implícitos en una 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El objetivo de esta NIIF es establecer los principios para la presentación y preparación de estados financieros consolidados cuando una entidad controla una o más entidades distintas.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Cumplimiento del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Para cumplir el objetivo del párrafo 1,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requiere que una entidad (la </w:t>
      </w:r>
      <w:r w:rsidRPr="00401DFF">
        <w:rPr>
          <w:rFonts w:ascii="Times New Roman" w:eastAsia="Times New Roman" w:hAnsi="Times New Roman" w:cs="Times New Roman"/>
          <w:i/>
          <w:iCs/>
          <w:sz w:val="24"/>
          <w:szCs w:val="24"/>
          <w:lang w:eastAsia="es-CO"/>
        </w:rPr>
        <w:t>controladora)</w:t>
      </w:r>
      <w:r w:rsidRPr="00401DFF">
        <w:rPr>
          <w:rFonts w:ascii="Times New Roman" w:eastAsia="Times New Roman" w:hAnsi="Times New Roman" w:cs="Times New Roman"/>
          <w:sz w:val="24"/>
          <w:szCs w:val="24"/>
          <w:lang w:eastAsia="es-CO"/>
        </w:rPr>
        <w:t xml:space="preserve"> que controla una o más entidades distintas </w:t>
      </w:r>
      <w:r w:rsidRPr="00401DFF">
        <w:rPr>
          <w:rFonts w:ascii="Times New Roman" w:eastAsia="Times New Roman" w:hAnsi="Times New Roman" w:cs="Times New Roman"/>
          <w:i/>
          <w:iCs/>
          <w:sz w:val="24"/>
          <w:szCs w:val="24"/>
          <w:lang w:eastAsia="es-CO"/>
        </w:rPr>
        <w:t xml:space="preserve">(subsidiarias) </w:t>
      </w:r>
      <w:r w:rsidRPr="00401DFF">
        <w:rPr>
          <w:rFonts w:ascii="Times New Roman" w:eastAsia="Times New Roman" w:hAnsi="Times New Roman" w:cs="Times New Roman"/>
          <w:sz w:val="24"/>
          <w:szCs w:val="24"/>
          <w:lang w:eastAsia="es-CO"/>
        </w:rPr>
        <w:t>presente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define el principio de </w:t>
      </w:r>
      <w:r w:rsidRPr="00401DFF">
        <w:rPr>
          <w:rFonts w:ascii="Times New Roman" w:eastAsia="Times New Roman" w:hAnsi="Times New Roman" w:cs="Times New Roman"/>
          <w:i/>
          <w:iCs/>
          <w:sz w:val="24"/>
          <w:szCs w:val="24"/>
          <w:lang w:eastAsia="es-CO"/>
        </w:rPr>
        <w:t>control,</w:t>
      </w:r>
      <w:r w:rsidRPr="00401DFF">
        <w:rPr>
          <w:rFonts w:ascii="Times New Roman" w:eastAsia="Times New Roman" w:hAnsi="Times New Roman" w:cs="Times New Roman"/>
          <w:sz w:val="24"/>
          <w:szCs w:val="24"/>
          <w:lang w:eastAsia="es-CO"/>
        </w:rPr>
        <w:t xml:space="preserve"> y establece el control como la base de la consolidación;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establece la forma en que se aplica el principio de control para identificar si un inversor controla una entidad participada y por ello debe consolidar dicha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establece los requerimientos contables para la preparación de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Esta Norma no trata los requerimientos para contabilizar las combinaciones de negocios ni sus efectos sobre la consolidación, incluyendo la plusvalía que surge de una combinación de negocios (véase la NIIF 3 </w:t>
      </w:r>
      <w:r w:rsidRPr="00401DFF">
        <w:rPr>
          <w:rFonts w:ascii="Times New Roman" w:eastAsia="Times New Roman" w:hAnsi="Times New Roman" w:cs="Times New Roman"/>
          <w:i/>
          <w:iCs/>
          <w:sz w:val="24"/>
          <w:szCs w:val="24"/>
          <w:lang w:eastAsia="es-CO"/>
        </w:rPr>
        <w:t>Combinación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Una entidad que es una controladora presentará estados financieros consolidados. Esta NIIF se aplica a todas las entidades excepto a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controladora no necesita presentar estados financieros consolidados si cumple todas las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es una subsidiaria total o parcialmente participada por otra entidad y todos sus otros propietarios, incluyendo los titulares de acciones sin derecho a voto, han sido informados de que la controladora no presentará estados financieros consolidados y no han manifestado objeciones a ello;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sus instrumentos de deuda o de patrimonio no se negocian en un mercado público (ya sea una bolsa de valores nacional o extranjera, o un mercado no organizado, incluyendo mercados locales o regionales);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no registra, ni está en proceso de hacerlo, sus estados financieros en una comisión de valores u otra organización reguladora, con el propósito de emitir algún tipo de instrumentos en un mercado público;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su controladora última, o alguna de las controladoras intermedias elabora estados financieros consolidados que se encuentran disponibles para uso público y cumplen con las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planes de beneficios post-empleo u otros planes de beneficios a largo plazo a los empleados a los que se aplica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Un inversor, independientemente de la naturaleza de su implicación en una entidad (la participada), determinará si es una controladora mediante la evaluación de su control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 Un inversor controla una participada cuando está expuesto, o tiene derecho, a rendimientos variables procedentes de su implicación en la participada y tiene la capacidad de influir en esos rendimientos a través de su poder sobre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Por ello, un inversor controla una participada si y solo si éste reúne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poder sobre la participada (véanse los párrafos 10 a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exposición, o derecho, a rendimientos variables procedentes de su implicación en la participada (véanse los párrafos 15 y 16);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capacidad de utilizar su poder sobre la participada para influir en el importe de los rendimientos del inversor (véanse los párrafos 17 y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 inversor considerará todos los hechos y circunstancias al evaluar si controla una participada. El inversor evaluará nuevamente si controla una participada cuando los hechos y circunstancias indiquen la existencia de cambios en uno o más de los tres elementos de control enumerados en el párrafo 7 (véanse los párrafos B80 a B85).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 Dos o más inversores controlan de forma colectiva una participada cuando deben actuar de forma conjunta para dirigir las actividades relevantes. En estos casos, dado que ningún inversor puede dirigir las actividades sin la cooperación de los otros, ninguno controla individualmente la participada. Cada inversor contabilizaría su participación en la participada de acuerdo con las NIIF correspondientes, tales como la NIIF 11 </w:t>
      </w:r>
      <w:r w:rsidRPr="00401DFF">
        <w:rPr>
          <w:rFonts w:ascii="Times New Roman" w:eastAsia="Times New Roman" w:hAnsi="Times New Roman" w:cs="Times New Roman"/>
          <w:i/>
          <w:iCs/>
          <w:sz w:val="24"/>
          <w:szCs w:val="24"/>
          <w:lang w:eastAsia="es-CO"/>
        </w:rPr>
        <w:t xml:space="preserve">Acuerdos </w:t>
      </w:r>
      <w:r w:rsidRPr="00401DFF">
        <w:rPr>
          <w:rFonts w:ascii="Times New Roman" w:eastAsia="Times New Roman" w:hAnsi="Times New Roman" w:cs="Times New Roman"/>
          <w:i/>
          <w:iCs/>
          <w:sz w:val="24"/>
          <w:szCs w:val="24"/>
          <w:lang w:eastAsia="es-CO"/>
        </w:rPr>
        <w:lastRenderedPageBreak/>
        <w:t>Conjuntos</w:t>
      </w:r>
      <w:r w:rsidRPr="00401DFF">
        <w:rPr>
          <w:rFonts w:ascii="Times New Roman" w:eastAsia="Times New Roman" w:hAnsi="Times New Roman" w:cs="Times New Roman"/>
          <w:sz w:val="24"/>
          <w:szCs w:val="24"/>
          <w:lang w:eastAsia="es-CO"/>
        </w:rPr>
        <w:t xml:space="preserve">, NIC 28 </w:t>
      </w:r>
      <w:r w:rsidRPr="00401DFF">
        <w:rPr>
          <w:rFonts w:ascii="Times New Roman" w:eastAsia="Times New Roman" w:hAnsi="Times New Roman" w:cs="Times New Roman"/>
          <w:i/>
          <w:iCs/>
          <w:sz w:val="24"/>
          <w:szCs w:val="24"/>
          <w:lang w:eastAsia="es-CO"/>
        </w:rPr>
        <w:t xml:space="preserve">Inversiones en Asociadas y Negocios Conjuntos </w:t>
      </w:r>
      <w:r w:rsidRPr="00401DFF">
        <w:rPr>
          <w:rFonts w:ascii="Times New Roman" w:eastAsia="Times New Roman" w:hAnsi="Times New Roman" w:cs="Times New Roman"/>
          <w:sz w:val="24"/>
          <w:szCs w:val="24"/>
          <w:lang w:eastAsia="es-CO"/>
        </w:rPr>
        <w:t xml:space="preserve">o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10 Un inversor tiene poder sobre una participada cuando éste posee derechos que le otorgan la capacidad presente de dirigir las </w:t>
      </w:r>
      <w:r w:rsidRPr="00401DFF">
        <w:rPr>
          <w:rFonts w:ascii="Times New Roman" w:eastAsia="Times New Roman" w:hAnsi="Times New Roman" w:cs="Times New Roman"/>
          <w:i/>
          <w:iCs/>
          <w:sz w:val="24"/>
          <w:szCs w:val="24"/>
          <w:lang w:eastAsia="es-CO"/>
        </w:rPr>
        <w:t>actividades relevantes,</w:t>
      </w:r>
      <w:r w:rsidRPr="00401DFF">
        <w:rPr>
          <w:rFonts w:ascii="Times New Roman" w:eastAsia="Times New Roman" w:hAnsi="Times New Roman" w:cs="Times New Roman"/>
          <w:sz w:val="24"/>
          <w:szCs w:val="24"/>
          <w:lang w:eastAsia="es-CO"/>
        </w:rPr>
        <w:t xml:space="preserve"> es decir, las actividades que afectan de forma significativa a los rendimientos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El poder surge de derechos. En ocasiones la evaluación del poder es sencilla, tal como cuando el poder sobre una participada se obtiene de forma directa y únicamente de los derechos de voto concedidos por los instrumentos de patrimonio, tales como acciones y pueden ser evaluados mediante la consideración de los derechos de voto procedentes del accionariado. En otros casos, la evaluación será más compleja y requerirá considerar más de un factor, por ejemplo cuando el poder procede de uno o más acuerdos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Un inversor con capacidad presente para dirigir las actividades relevantes tiene poder incluso si su derecho a dirigir todavía no se ha ejercido. Evidencia de que el inversor ha estado dirigiendo actividades relevantes puede ayudar a determinar si el inversor tiene poder, pero esta evidencia no es, en sí misma, concluyente para determinar si dicho tiene poder sobre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Si dos o más inversores ostentan cada uno derechos existentes que le conceden la capacidad unilateral para dirigir actividades relevantes diferentes, el inversor que tiene la capacidad presente para dirigir las actividades que afectan de forma más significativa a los rendimientos de la participada tiene el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Un inversor puede tener poder sobre una participada incluso si otras entidades tienen derechos existentes que les conceden la capacidad presente de participar en la dirección de las actividades relevantes, por ejemplo cuando otra entidad tiene </w:t>
      </w:r>
      <w:r w:rsidRPr="00401DFF">
        <w:rPr>
          <w:rFonts w:ascii="Times New Roman" w:eastAsia="Times New Roman" w:hAnsi="Times New Roman" w:cs="Times New Roman"/>
          <w:i/>
          <w:iCs/>
          <w:sz w:val="24"/>
          <w:szCs w:val="24"/>
          <w:lang w:eastAsia="es-CO"/>
        </w:rPr>
        <w:t>influencia significativa</w:t>
      </w:r>
      <w:r w:rsidRPr="00401DFF">
        <w:rPr>
          <w:rFonts w:ascii="Times New Roman" w:eastAsia="Times New Roman" w:hAnsi="Times New Roman" w:cs="Times New Roman"/>
          <w:sz w:val="24"/>
          <w:szCs w:val="24"/>
          <w:lang w:eastAsia="es-CO"/>
        </w:rPr>
        <w:t>. Sin embargo, un inversor que mantiene solo derechos protectores no tiene poder sobre una participada, y en consecuencia no controla a ésta (véanse los párrafos B26 a B28).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Rendimientos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Un inversor está expuesto, o tiene derecho, a rendimientos variables procedentes de su implicación en la participada cuando los rendimientos del inversor procedentes de dicha implicación tienen el potencial de variar como consecuencia del rendimiento de la participada. Los rendimientos del inversor pueden solo ser positivos, solo negativos o ambos, positivos y negativos.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Aunque solo un inversor puede controlar una participada, más de una parte puede compartir el rendimiento de la participada. Por ejemplo, tenedores de participaciones no controladoras pueden compartir las ganancias o distribuciones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Vinculación entre poder y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17 Un inversor controla una participada si el inversor no tiene solo poder sobre la participada y exposición o derecho a rendimientos variables procedentes de su implicación en la participada, sino que también tiene la capacidad de utilizar su poder para influir en el rendimiento del inversor como consecuencia de dicha implicación en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Por ello, un inversor con derechos de toma de decisiones determinará si es un principal o un agente. Un inversor que es un agente de acuerdo con los párrafos B58 a B72 no controla una participada cuando ejerce derechos de toma de decisiones que le han sido delegados.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Requerimientos de contabilización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19 Una controladora elaborará estados financieros consolidados utilizando políticas contables uniformes para transacciones y otros sucesos que, siendo similares, se hayan producido en circunstancias parecidas.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La consolidación de una participada comenzará desde la fecha en que el inversor obtenga el control de la participada cesando cuando pierda el control sobre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Los párrafos B86 a B93 establecen guías para la elaboración de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controladora presentará las participaciones no controladoras en el estado de situación financiera consolidado, dentro del patrimonio, de forma separada del patrimonio de los propietarios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Los cambios en la participación en la propiedad de una controladora en una subsidiaria que no den lugar a una pérdida de control son transacciones de patrimonio (es decir, transacciones con los propietarios en su calidad de 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24 Los párrafos B94 a B96 establecen guías para la contabilización de las participaciones no controladoras en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Cuando una controladora pierda el control de una subsidiaria,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Dará de baja en cuentas los activos y pasivos de la entidad que ha dejado de ser subsidiaria del estado de situación financiera consolidado.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Cuando se pierda el control, reconocerá cualquier inversión conservada en la antigua subsidiaria a su valor razonable, y posteriormente contabilizará dicha inversión conservada y los importes adeudados por la antigua subsidiaria o a ésta, de acuerdo con las NIIF correspondientes. Ese valor razonable se considerará como el valor razonable en el momento del reconocimiento inicial de un activo financiero de acuerdo con la NIIF 9 o, </w:t>
      </w:r>
      <w:r w:rsidRPr="00401DFF">
        <w:rPr>
          <w:rFonts w:ascii="Times New Roman" w:eastAsia="Times New Roman" w:hAnsi="Times New Roman" w:cs="Times New Roman"/>
          <w:sz w:val="24"/>
          <w:szCs w:val="24"/>
          <w:lang w:eastAsia="es-CO"/>
        </w:rPr>
        <w:lastRenderedPageBreak/>
        <w:t>cuando proceda, como el costo en el momento del reconocimiento inicial de una inversión en una asociada o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Reconocerá la ganancia o pérdida asociada con la pérdida de control atribuible a la anterior participación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Los párrafos B97 a B99 establecen las guías para la contabilización de la 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63"/>
        <w:gridCol w:w="4465"/>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actividades relevantes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efectos de esta NIIF, las actividades relevantes son aquellas de la participada que afectan de forma significativa a los rendimientos de la participada.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 de una participada</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inversor controla una participada cuando está expuesto, o tiene derecho, a rendimientos variables procedentes de su implicación en la participada y tiene la capacidad de influir en esos rendimientos a través de su poder sobre la participada.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Controladora</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entidad que </w:t>
            </w:r>
            <w:r w:rsidRPr="00401DFF">
              <w:rPr>
                <w:rFonts w:ascii="Times New Roman" w:eastAsia="Times New Roman" w:hAnsi="Times New Roman" w:cs="Times New Roman"/>
                <w:b/>
                <w:bCs/>
                <w:sz w:val="24"/>
                <w:szCs w:val="24"/>
                <w:lang w:eastAsia="es-CO"/>
              </w:rPr>
              <w:t>controla</w:t>
            </w:r>
            <w:r w:rsidRPr="00401DFF">
              <w:rPr>
                <w:rFonts w:ascii="Times New Roman" w:eastAsia="Times New Roman" w:hAnsi="Times New Roman" w:cs="Times New Roman"/>
                <w:sz w:val="24"/>
                <w:szCs w:val="24"/>
                <w:lang w:eastAsia="es-CO"/>
              </w:rPr>
              <w:t xml:space="preserve"> una o más entidades.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 de destitución</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Derechos que privan a quien toma decisiones de su autoridad para tomar decisiones.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derechos protectores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derechos diseñados para proteger la participación de la parte que mantiene esos derechos sin otorgar a esa parte poder sobre la entidad con la que esos derechos se relacionan.</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consolidados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estados financieros de un </w:t>
            </w:r>
            <w:r w:rsidRPr="00401DFF">
              <w:rPr>
                <w:rFonts w:ascii="Times New Roman" w:eastAsia="Times New Roman" w:hAnsi="Times New Roman" w:cs="Times New Roman"/>
                <w:b/>
                <w:bCs/>
                <w:sz w:val="24"/>
                <w:szCs w:val="24"/>
                <w:lang w:eastAsia="es-CO"/>
              </w:rPr>
              <w:t>grupo</w:t>
            </w:r>
            <w:r w:rsidRPr="00401DFF">
              <w:rPr>
                <w:rFonts w:ascii="Times New Roman" w:eastAsia="Times New Roman" w:hAnsi="Times New Roman" w:cs="Times New Roman"/>
                <w:sz w:val="24"/>
                <w:szCs w:val="24"/>
                <w:lang w:eastAsia="es-CO"/>
              </w:rPr>
              <w:t xml:space="preserve"> en el que los activos, pasivos, patrimonio, ingresos, gastos, y flujos de efectivo de la </w:t>
            </w:r>
            <w:r w:rsidRPr="00401DFF">
              <w:rPr>
                <w:rFonts w:ascii="Times New Roman" w:eastAsia="Times New Roman" w:hAnsi="Times New Roman" w:cs="Times New Roman"/>
                <w:b/>
                <w:bCs/>
                <w:sz w:val="24"/>
                <w:szCs w:val="24"/>
                <w:lang w:eastAsia="es-CO"/>
              </w:rPr>
              <w:t>controladora</w:t>
            </w:r>
            <w:r w:rsidRPr="00401DFF">
              <w:rPr>
                <w:rFonts w:ascii="Times New Roman" w:eastAsia="Times New Roman" w:hAnsi="Times New Roman" w:cs="Times New Roman"/>
                <w:sz w:val="24"/>
                <w:szCs w:val="24"/>
                <w:lang w:eastAsia="es-CO"/>
              </w:rPr>
              <w:t xml:space="preserve"> y sus </w:t>
            </w:r>
            <w:r w:rsidRPr="00401DFF">
              <w:rPr>
                <w:rFonts w:ascii="Times New Roman" w:eastAsia="Times New Roman" w:hAnsi="Times New Roman" w:cs="Times New Roman"/>
                <w:b/>
                <w:bCs/>
                <w:sz w:val="24"/>
                <w:szCs w:val="24"/>
                <w:lang w:eastAsia="es-CO"/>
              </w:rPr>
              <w:t>subsidiarias</w:t>
            </w:r>
            <w:r w:rsidRPr="00401DFF">
              <w:rPr>
                <w:rFonts w:ascii="Times New Roman" w:eastAsia="Times New Roman" w:hAnsi="Times New Roman" w:cs="Times New Roman"/>
                <w:sz w:val="24"/>
                <w:szCs w:val="24"/>
                <w:lang w:eastAsia="es-CO"/>
              </w:rPr>
              <w:t xml:space="preserve"> se presentan como si se tratase de una sola entidad económica.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Grupo</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w:t>
            </w:r>
            <w:r w:rsidRPr="00401DFF">
              <w:rPr>
                <w:rFonts w:ascii="Times New Roman" w:eastAsia="Times New Roman" w:hAnsi="Times New Roman" w:cs="Times New Roman"/>
                <w:b/>
                <w:bCs/>
                <w:sz w:val="24"/>
                <w:szCs w:val="24"/>
                <w:lang w:eastAsia="es-CO"/>
              </w:rPr>
              <w:t>controladora</w:t>
            </w:r>
            <w:r w:rsidRPr="00401DFF">
              <w:rPr>
                <w:rFonts w:ascii="Times New Roman" w:eastAsia="Times New Roman" w:hAnsi="Times New Roman" w:cs="Times New Roman"/>
                <w:sz w:val="24"/>
                <w:szCs w:val="24"/>
                <w:lang w:eastAsia="es-CO"/>
              </w:rPr>
              <w:t xml:space="preserve"> y todas sus </w:t>
            </w:r>
            <w:r w:rsidRPr="00401DFF">
              <w:rPr>
                <w:rFonts w:ascii="Times New Roman" w:eastAsia="Times New Roman" w:hAnsi="Times New Roman" w:cs="Times New Roman"/>
                <w:b/>
                <w:bCs/>
                <w:sz w:val="24"/>
                <w:szCs w:val="24"/>
                <w:lang w:eastAsia="es-CO"/>
              </w:rPr>
              <w:t>subsidiarias</w:t>
            </w:r>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no controladora</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patrimonio de una </w:t>
            </w:r>
            <w:r w:rsidRPr="00401DFF">
              <w:rPr>
                <w:rFonts w:ascii="Times New Roman" w:eastAsia="Times New Roman" w:hAnsi="Times New Roman" w:cs="Times New Roman"/>
                <w:b/>
                <w:bCs/>
                <w:sz w:val="24"/>
                <w:szCs w:val="24"/>
                <w:lang w:eastAsia="es-CO"/>
              </w:rPr>
              <w:t>subsidiaria</w:t>
            </w:r>
            <w:r w:rsidRPr="00401DFF">
              <w:rPr>
                <w:rFonts w:ascii="Times New Roman" w:eastAsia="Times New Roman" w:hAnsi="Times New Roman" w:cs="Times New Roman"/>
                <w:sz w:val="24"/>
                <w:szCs w:val="24"/>
                <w:lang w:eastAsia="es-CO"/>
              </w:rPr>
              <w:t xml:space="preserve"> no atribuible, directa o indirectamente, a la </w:t>
            </w:r>
            <w:r w:rsidRPr="00401DFF">
              <w:rPr>
                <w:rFonts w:ascii="Times New Roman" w:eastAsia="Times New Roman" w:hAnsi="Times New Roman" w:cs="Times New Roman"/>
                <w:b/>
                <w:bCs/>
                <w:sz w:val="24"/>
                <w:szCs w:val="24"/>
                <w:lang w:eastAsia="es-CO"/>
              </w:rPr>
              <w:t>controladora</w:t>
            </w:r>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Poder</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Derechos existentes que otorgan la capacidad </w:t>
            </w:r>
            <w:r w:rsidRPr="00401DFF">
              <w:rPr>
                <w:rFonts w:ascii="Times New Roman" w:eastAsia="Times New Roman" w:hAnsi="Times New Roman" w:cs="Times New Roman"/>
                <w:sz w:val="24"/>
                <w:szCs w:val="24"/>
                <w:lang w:eastAsia="es-CO"/>
              </w:rPr>
              <w:lastRenderedPageBreak/>
              <w:t xml:space="preserve">presente de dirigir las </w:t>
            </w:r>
            <w:r w:rsidRPr="00401DFF">
              <w:rPr>
                <w:rFonts w:ascii="Times New Roman" w:eastAsia="Times New Roman" w:hAnsi="Times New Roman" w:cs="Times New Roman"/>
                <w:b/>
                <w:bCs/>
                <w:sz w:val="24"/>
                <w:szCs w:val="24"/>
                <w:lang w:eastAsia="es-CO"/>
              </w:rPr>
              <w:t>actividades relevantes</w:t>
            </w:r>
            <w:r w:rsidRPr="00401DFF">
              <w:rPr>
                <w:rFonts w:ascii="Times New Roman" w:eastAsia="Times New Roman" w:hAnsi="Times New Roman" w:cs="Times New Roman"/>
                <w:sz w:val="24"/>
                <w:szCs w:val="24"/>
                <w:lang w:eastAsia="es-CO"/>
              </w:rPr>
              <w:t>.</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quien toma decisiones</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con derechos de toma de decisiones que es un principal o un agente para otras partes.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Subsidiaria</w:t>
            </w:r>
          </w:p>
        </w:tc>
        <w:tc>
          <w:tcPr>
            <w:tcW w:w="4485"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que está controlada por otra entidad.</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siguientes términos se definen en la NIIF 11 y NIIF 12 </w:t>
      </w:r>
      <w:r w:rsidRPr="00401DFF">
        <w:rPr>
          <w:rFonts w:ascii="Times New Roman" w:eastAsia="Times New Roman" w:hAnsi="Times New Roman" w:cs="Times New Roman"/>
          <w:i/>
          <w:iCs/>
          <w:sz w:val="24"/>
          <w:szCs w:val="24"/>
          <w:lang w:eastAsia="es-CO"/>
        </w:rPr>
        <w:t>Información a Revelar sobre Participaciones en Otras Entidades</w:t>
      </w:r>
      <w:r w:rsidRPr="00401DFF">
        <w:rPr>
          <w:rFonts w:ascii="Times New Roman" w:eastAsia="Times New Roman" w:hAnsi="Times New Roman" w:cs="Times New Roman"/>
          <w:sz w:val="24"/>
          <w:szCs w:val="24"/>
          <w:lang w:eastAsia="es-CO"/>
        </w:rPr>
        <w:t xml:space="preserve">, NIC 28 (modificada en 2011) o NIC 24 </w:t>
      </w:r>
      <w:r w:rsidRPr="00401DFF">
        <w:rPr>
          <w:rFonts w:ascii="Times New Roman" w:eastAsia="Times New Roman" w:hAnsi="Times New Roman" w:cs="Times New Roman"/>
          <w:i/>
          <w:iCs/>
          <w:sz w:val="24"/>
          <w:szCs w:val="24"/>
          <w:lang w:eastAsia="es-CO"/>
        </w:rPr>
        <w:t xml:space="preserve">Información a Revelar sobre Partes Relacionadas </w:t>
      </w:r>
      <w:r w:rsidRPr="00401DFF">
        <w:rPr>
          <w:rFonts w:ascii="Times New Roman" w:eastAsia="Times New Roman" w:hAnsi="Times New Roman" w:cs="Times New Roman"/>
          <w:sz w:val="24"/>
          <w:szCs w:val="24"/>
          <w:lang w:eastAsia="es-CO"/>
        </w:rPr>
        <w:t>y se utilizan en esta NIIF con el significado especificado en esas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participación en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personal clave de la gerencia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 Describe la aplicación de los párrafos 1 a 26 y tiene el mismo valor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Los ejemplos de este apéndice reflejan situaciones hipotéticas. Aunque algunos aspectos de los ejemplos pueden darse en hechos y circunstancias de la realidad, al aplicar la NIIF 10 a situaciones reales se deben analizar las características de cada situación concreta en detalle.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del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Para determinar si un inversor controla una participada éste evaluará si presenta todos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exposición, o derecho, a rendimientos variables procedentes de su implicación en la participada;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capacidad de utilizar su poder sobre la participada para influir en el importe de los rendimientos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La consideración de los siguientes factores puede ayudar a realizar esa determinación: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propósito y diseño de la participada (véanse los párrafos B5 a B8);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qué actividades son relevantes y la forma en que se toman las decisiones sobre esas actividades (véanse los párrafos B11 a B13);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los derechos del inversor le otorgan la capacidad presente de dirigir las actividades relevantes (véanse los párrafos B14 a B54);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el inversor está expuesto, o tiene derecho, a los rendimientos variables procedentes de su implicación en la participada (véanse los párrafo B55 a B57);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si el inversor tienen capacidad de utilizar su poder sobre la participada para influir en el importe de los rendimientos del inversor (véanse los párrafos B58 y B72).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Al evaluar el control de una participada, un inversor considerará la naturaleza de su relación con otras partes (véanse los párrafos B73 a B75).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Propósito y diseño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Al evaluar el control de una participada, un inversor considerará el propósito y diseño de una participada para identificar las actividades relevantes, la forma en que se toman las decisiones sobre dichas actividades relevantes, quién tiene la capacidad presente de dirigir esas actividades y quién recibe los rendimientos de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Cuando se consideran el propósito y diseño de una participada, puede quedar claro que una participada está controlada por medio de instrumentos de patrimonio que otorgan al tenedor derechos de voto proporcionales, tales como acciones ordinarias de la participada. En este caso, en ausencia de cualesquiera acuerdos adicionales que alteren la toma de decisiones, la evaluación de control se centrará en qué parte, si la hubiera, es capaz de ejercitar los derechos de voto suficientes para determinar las políticas financiera y de operación de la participada (véanse los párrafos B34 a B50). En el caso más sencillo, el inversor que mantiene una mayoría de esos derechos de voto, en ausencia de otros factores, controla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Para determinar si un inversor controla una participada en casos más complejos, puede ser necesario considerar algunos o todos los demás factores del párrafo B3.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B8 Una participada puede diseñarse de forma que los derechos de voto no sean el factor dominante para decidir quién controla la participada, como pasa cuando los derechos de voto se relacionan con las tareas administrativas y las actividades relevantes se dirigen por medio de acuerdos contractuales. En estos casos, la consideración por parte de un inversor </w:t>
      </w:r>
      <w:r w:rsidRPr="00401DFF">
        <w:rPr>
          <w:rFonts w:ascii="Times New Roman" w:eastAsia="Times New Roman" w:hAnsi="Times New Roman" w:cs="Times New Roman"/>
          <w:sz w:val="24"/>
          <w:szCs w:val="24"/>
          <w:lang w:eastAsia="es-CO"/>
        </w:rPr>
        <w:lastRenderedPageBreak/>
        <w:t>del propósito y diseño de la participada incluirá también la de los riesgos para los que la participada fue diseñada para ser expuesta, los riesgos que se diseñaron para transferir a las partes involucradas en dicha participada y si el inversor está expuesto a alguno o todos de esos riesgos. La consideración de los riesgos incluye no solo el riesgo a la disminución del valor de la inversión sino también el potencial aumento del valor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Para tener poder sobre una participada, un inversor debe tener derechos existentes que den al inversor la capacidad presente de dirigir las actividades relevantes. A efectos de la evaluación del poder, solo se considerarán los derechos sustantivos y los que no son protectores (véanse los párrafos B22 a B28).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La determinación sobre si un inversor tiene poder dependerá de las actividades relevantes, la forma en que se toman las decisiones sobre dichas actividades relevantes y los derechos que tienen el inversor y las otras partes en relación con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Actividades relevantes y dirección de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Para numerosas participadas, sus rendimientos se ven afectados por un rango de actividades financieras y de operación. Ejemplos de actividades que, dependiendo de las circunstancias, pueden ser relevantes,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venta y compra de bienes o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gestión de activos financieros durante su vida (incluyendo cuando haya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selección, adquisición o disposición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investigación y desarrollo de nuevos productos o procesos;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determinación de una estructura de financiación u obtención de financiación.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Ejemplos de decisiones sobre actividades relevantes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establecimiento de decisiones de capital y operativas de la participada, incluyendo presupuestos;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nombramiento y remuneración del personal clave de la gerencia de la participada o suministradores de servicios y rescisión de sus servicios o empleo.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B13 En algunas situaciones, pueden ser actividades relevantes las que se dan antes y después de que surja un conjunto concreto de circunstancias o de que tenga lugar un suceso. Cuando dos o más inversores tienen la capacidad presente de dirigir las actividades relevantes y esas actividades tienen lugar en momentos distintos, los inversores </w:t>
      </w:r>
      <w:r w:rsidRPr="00401DFF">
        <w:rPr>
          <w:rFonts w:ascii="Times New Roman" w:eastAsia="Times New Roman" w:hAnsi="Times New Roman" w:cs="Times New Roman"/>
          <w:sz w:val="24"/>
          <w:szCs w:val="24"/>
          <w:lang w:eastAsia="es-CO"/>
        </w:rPr>
        <w:lastRenderedPageBreak/>
        <w:t>determinarán qué inversores tienen la capacidad de dirigir las actividades que afectan de forma más significativa a esos rendimientos en coherencia con el tratamiento de los derechos de toma de decisiones simultáneos (véase el párrafo 13). Los inversores reconsiderarán esta evaluación a lo largo del tiempo si cambian los hechos o circunstancias relevantes.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805"/>
        <w:gridCol w:w="87"/>
      </w:tblGrid>
      <w:tr w:rsidR="00401DFF" w:rsidRPr="00401DFF" w:rsidTr="00401DFF">
        <w:trPr>
          <w:tblCellSpacing w:w="15" w:type="dxa"/>
          <w:jc w:val="center"/>
        </w:trPr>
        <w:tc>
          <w:tcPr>
            <w:tcW w:w="87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7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w:t>
            </w:r>
            <w:r w:rsidRPr="00401DFF">
              <w:rPr>
                <w:rFonts w:ascii="Times New Roman" w:eastAsia="Times New Roman" w:hAnsi="Times New Roman" w:cs="Times New Roman"/>
                <w:sz w:val="24"/>
                <w:szCs w:val="24"/>
                <w:lang w:eastAsia="es-CO"/>
              </w:rPr>
              <w:br/>
              <w:t xml:space="preserve">Dos inversores crean una participada para desarrollar y comercializar un producto médico. Un inversor es responsable de desarrollar y obtener la aprobación del producto médico por parte del organismo regulador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esa responsabilidad incluye tener la capacidad unilateral de tomar todas la decisiones relativas al desarrollo del producto y obtener la aprobación del órgano regulador. Una vez el regulador ha aprobado el producto, el otro inversor lo fabricará y comercializará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este inversor tiene la capacidad unilateral de tomar todas las decisiones sobre la fabricación y comercialización del proyecto. Si todas las actividades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desarrollo y obtención de la aprobación del regulador, así como la fabricación y comercialización del producto médico</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 son actividades relevantes, cada inversor necesita determinar si es capaz de dirigir las actividades que afectan de forma</w:t>
            </w:r>
            <w:r w:rsidRPr="00401DFF">
              <w:rPr>
                <w:rFonts w:ascii="Times New Roman" w:eastAsia="Times New Roman" w:hAnsi="Times New Roman" w:cs="Times New Roman"/>
                <w:i/>
                <w:iCs/>
                <w:sz w:val="24"/>
                <w:szCs w:val="24"/>
                <w:lang w:eastAsia="es-CO"/>
              </w:rPr>
              <w:t xml:space="preserve"> más </w:t>
            </w:r>
            <w:r w:rsidRPr="00401DFF">
              <w:rPr>
                <w:rFonts w:ascii="Times New Roman" w:eastAsia="Times New Roman" w:hAnsi="Times New Roman" w:cs="Times New Roman"/>
                <w:sz w:val="24"/>
                <w:szCs w:val="24"/>
                <w:lang w:eastAsia="es-CO"/>
              </w:rPr>
              <w:t xml:space="preserve">significativa a los rendimientos de la participada. Por consiguiente, cada inversor necesita considerar si desarrollar y obtener la aprobación del regulador o fabricar y comercializar el producto médico es la actividad que afecta de forma </w:t>
            </w:r>
            <w:r w:rsidRPr="00401DFF">
              <w:rPr>
                <w:rFonts w:ascii="Times New Roman" w:eastAsia="Times New Roman" w:hAnsi="Times New Roman" w:cs="Times New Roman"/>
                <w:i/>
                <w:iCs/>
                <w:sz w:val="24"/>
                <w:szCs w:val="24"/>
                <w:lang w:eastAsia="es-CO"/>
              </w:rPr>
              <w:t>más</w:t>
            </w:r>
            <w:r w:rsidRPr="00401DFF">
              <w:rPr>
                <w:rFonts w:ascii="Times New Roman" w:eastAsia="Times New Roman" w:hAnsi="Times New Roman" w:cs="Times New Roman"/>
                <w:sz w:val="24"/>
                <w:szCs w:val="24"/>
                <w:lang w:eastAsia="es-CO"/>
              </w:rPr>
              <w:t xml:space="preserve"> significativa a los rendimientos de la participada y si es capaz de dirigir esa actividad. Para determinar qué inversor tiene poder, los inversores considerarán:</w:t>
            </w:r>
            <w:r w:rsidRPr="00401DFF">
              <w:rPr>
                <w:rFonts w:ascii="Times New Roman" w:eastAsia="Times New Roman" w:hAnsi="Times New Roman" w:cs="Times New Roman"/>
                <w:sz w:val="24"/>
                <w:szCs w:val="24"/>
                <w:lang w:eastAsia="es-CO"/>
              </w:rPr>
              <w:br/>
              <w:t>(a) el propósito y diseño de la participada;</w:t>
            </w:r>
            <w:r w:rsidRPr="00401DFF">
              <w:rPr>
                <w:rFonts w:ascii="Times New Roman" w:eastAsia="Times New Roman" w:hAnsi="Times New Roman" w:cs="Times New Roman"/>
                <w:sz w:val="24"/>
                <w:szCs w:val="24"/>
                <w:lang w:eastAsia="es-CO"/>
              </w:rPr>
              <w:br/>
              <w:t>(b) los factores que determinan el margen de ganancia, ingresos de actividades ordinarias y valor de la participada, así como el valor del producto médico;</w:t>
            </w:r>
            <w:r w:rsidRPr="00401DFF">
              <w:rPr>
                <w:rFonts w:ascii="Times New Roman" w:eastAsia="Times New Roman" w:hAnsi="Times New Roman" w:cs="Times New Roman"/>
                <w:sz w:val="24"/>
                <w:szCs w:val="24"/>
                <w:lang w:eastAsia="es-CO"/>
              </w:rPr>
              <w:br/>
              <w:t>(c) el efecto sobre los rendimientos de la participada de la autoridad para tomar decisiones de cada inversor con respecto a los factores de (b); y</w:t>
            </w:r>
            <w:r w:rsidRPr="00401DFF">
              <w:rPr>
                <w:rFonts w:ascii="Times New Roman" w:eastAsia="Times New Roman" w:hAnsi="Times New Roman" w:cs="Times New Roman"/>
                <w:sz w:val="24"/>
                <w:szCs w:val="24"/>
                <w:lang w:eastAsia="es-CO"/>
              </w:rPr>
              <w:br/>
              <w:t>(d) la exposición de los inversores a la variabilidad de los rendimientos.</w:t>
            </w:r>
            <w:r w:rsidRPr="00401DFF">
              <w:rPr>
                <w:rFonts w:ascii="Times New Roman" w:eastAsia="Times New Roman" w:hAnsi="Times New Roman" w:cs="Times New Roman"/>
                <w:sz w:val="24"/>
                <w:szCs w:val="24"/>
                <w:lang w:eastAsia="es-CO"/>
              </w:rPr>
              <w:br/>
              <w:t>En este ejemplo concreto, los inversores necesitarían considerar también:</w:t>
            </w:r>
            <w:r w:rsidRPr="00401DFF">
              <w:rPr>
                <w:rFonts w:ascii="Times New Roman" w:eastAsia="Times New Roman" w:hAnsi="Times New Roman" w:cs="Times New Roman"/>
                <w:sz w:val="24"/>
                <w:szCs w:val="24"/>
                <w:lang w:eastAsia="es-CO"/>
              </w:rPr>
              <w:br/>
              <w:t>(e) la incertidumbre, y el esfuerzo que requiere, la obtención de la aprobación del regulador (considerando que el inversor logre con éxito el desarrollo y obtención de la aprobación del regulador de productos médicos); y</w:t>
            </w:r>
            <w:r w:rsidRPr="00401DFF">
              <w:rPr>
                <w:rFonts w:ascii="Times New Roman" w:eastAsia="Times New Roman" w:hAnsi="Times New Roman" w:cs="Times New Roman"/>
                <w:sz w:val="24"/>
                <w:szCs w:val="24"/>
                <w:lang w:eastAsia="es-CO"/>
              </w:rPr>
              <w:br/>
              <w:t>(f) qué inversor controla el producto médico una vez que se ha superado la fase de desarrollo.</w:t>
            </w:r>
          </w:p>
        </w:tc>
      </w:tr>
      <w:tr w:rsidR="00401DFF" w:rsidRPr="00401DFF" w:rsidTr="00401DFF">
        <w:trPr>
          <w:tblCellSpacing w:w="15" w:type="dxa"/>
          <w:jc w:val="center"/>
        </w:trPr>
        <w:tc>
          <w:tcPr>
            <w:tcW w:w="87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r w:rsidR="00401DFF" w:rsidRPr="00401DFF" w:rsidTr="00401DFF">
        <w:trPr>
          <w:gridAfter w:val="1"/>
          <w:wAfter w:w="42" w:type="dxa"/>
          <w:tblCellSpacing w:w="15" w:type="dxa"/>
          <w:jc w:val="center"/>
        </w:trPr>
        <w:tc>
          <w:tcPr>
            <w:tcW w:w="87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...Continuación </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gridAfter w:val="1"/>
          <w:wAfter w:w="42" w:type="dxa"/>
          <w:tblCellSpacing w:w="15" w:type="dxa"/>
          <w:jc w:val="center"/>
        </w:trPr>
        <w:tc>
          <w:tcPr>
            <w:tcW w:w="87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2</w:t>
            </w:r>
            <w:r w:rsidRPr="00401DFF">
              <w:rPr>
                <w:rFonts w:ascii="Times New Roman" w:eastAsia="Times New Roman" w:hAnsi="Times New Roman" w:cs="Times New Roman"/>
                <w:sz w:val="24"/>
                <w:szCs w:val="24"/>
                <w:lang w:eastAsia="es-CO"/>
              </w:rPr>
              <w:br/>
              <w:t xml:space="preserve">Un vehículo de inversión (la participada) se crea y financia con un instrumento de deuda mantenido por un inversor (el inversor en la deuda) e instrumentos de patrimonio mantenidos por un número de otros inversores. El tramo de patrimonio se diseña para absorber las primeras pérdidas y recibir los rendimientos residuales de la participada. Uno de los inversores del patrimonio quien ostenta el 30 por ciento del patrimonio es también el gerente del activo. La participada utiliza sus productos para comprar una cartera de </w:t>
            </w:r>
            <w:r w:rsidRPr="00401DFF">
              <w:rPr>
                <w:rFonts w:ascii="Times New Roman" w:eastAsia="Times New Roman" w:hAnsi="Times New Roman" w:cs="Times New Roman"/>
                <w:sz w:val="24"/>
                <w:szCs w:val="24"/>
                <w:lang w:eastAsia="es-CO"/>
              </w:rPr>
              <w:lastRenderedPageBreak/>
              <w:t xml:space="preserve">activos financieros, que exponen a la participada al riesgo de crédito asociado con el posible incumplimiento de los pagos del principal e intereses de los activos. La transacción se comercializa al inversor de la deuda como una inversión con exposición mínima al riesgo de crédito asociado con el posible incumplimiento de los activos de la cartera debido a la naturaleza de estos activos y porque el tramo de patrimonio está diseñado para absorber las primeras pérdidas de la participada. Los rendimientos de la participada están afectados significativamente por la gestión de la cartera de activos de la participada, lo que incluye las decisiones sobre la selección, adquisición y disposición de los activos dentro de las guías relativas a la cartera y la gestión en caso de incumplimiento en cualquiera de los activos de dicha cartera. Todas esas actividades se gestionan por el gerente de los activos hasta que los incumplimientos alcanzan una proporción especificada del valor de la cartera (es decir, cuando el valor de la cartera es tal que el tramo de patrimonio de la participada se ha consumido). Desde ese momento, un tercero fiduciario gestiona los activos de acuerdo con las instrucciones del inversor de la deuda. La gestión de la cartera de activos de la participada es una actividad relevante de la participada. El gerente de los activos tiene la capacidad de dirigir las actividades relevantes hasta que los activos incumplidos alcancen la proporción especificada del valor de la cartera; el inversor de la deuda tiene la capacidad de dirigir las actividades relevantes cuando el valor de los activos incumplidos sobrepase esa proporción especificada del valor de la cartera. El gerente de los activos y el inversor de la deuda necesitan cada uno determinar si son capaces de dirigir las actividades que afectan de forma </w:t>
            </w:r>
            <w:r w:rsidRPr="00401DFF">
              <w:rPr>
                <w:rFonts w:ascii="Times New Roman" w:eastAsia="Times New Roman" w:hAnsi="Times New Roman" w:cs="Times New Roman"/>
                <w:i/>
                <w:iCs/>
                <w:sz w:val="24"/>
                <w:szCs w:val="24"/>
                <w:lang w:eastAsia="es-CO"/>
              </w:rPr>
              <w:t xml:space="preserve">más </w:t>
            </w:r>
            <w:r w:rsidRPr="00401DFF">
              <w:rPr>
                <w:rFonts w:ascii="Times New Roman" w:eastAsia="Times New Roman" w:hAnsi="Times New Roman" w:cs="Times New Roman"/>
                <w:sz w:val="24"/>
                <w:szCs w:val="24"/>
                <w:lang w:eastAsia="es-CO"/>
              </w:rPr>
              <w:t>significativa a los rendimientos de la participada, incluyendo la consideración del propósito y diseño de la participada, así como la exposición de cada parte a la variabilidad de los rendimientos.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Derechos que otorgan poder a un inversor sobre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El poder surge de derechos. Para tener poder sobre una participada, un inversor debe tener derechos existentes que le den la capacidad presente de dirigir las actividades relevantes. Los derechos que podrían dar poder a un inversor pueden diferir entre participadas.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Ejemplos de derechos que, individualmente o en combinación, pueden dar a un inversor poder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derechos en forma de derechos de voto (o derechos de voto potenciales) de una participada (véanse los párrafos B34 a B50);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derecho a nombrar, reasignar o cesar a miembros del personal clave de la gerencia de una participada que tengan la capacidad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derecho a nombrar o cesar a otra entidad para que dirija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derecho a dirigir la participada para realizar transacciones en beneficio del inversor, o vetar cualquier cambio en éstas;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otros derechos (tales como derechos de toma de decisiones especificadas en un contrato de gerencia) que otorga al tenedor la capacidad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Generalmente, cuando una participada tiene un rango de actividades financieras y de operación que afectan de forma significativa a los rendimientos de la participada y cuando se requiere continuamente una toma de decisiones sustantiva con respecto a estas actividades, serán los derechos de voto o similares lo que otorguen poder a un inversor, bien individualmente o en combinación con otros acuerdos.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Cuando los derechos de voto puedan no tener un efecto significativo sobre los rendimientos de una participada, tales como cuando los derechos de voto relacionados únicamente con tareas administrativas y acuerdos contractuales determinen la dirección de las actividades relevantes, el inversor necesitará evaluar esos acuerdos contractuales para determinar si tiene derechos suficientes que le den poder sobre la participada. Para determinar si un inversor tiene derechos suficientes para darle poder, el inversor considerará el propósito y diseño de la participada (véanse los párrafos B5 a B8) y los requerimientos de los párrafos B51 a B54 junto con los párrafos B18 a B20).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En algunas circunstancias puede resultar difícil determinar si los derechos de un inversor son suficientes para darle poder sobre la participada. En estos casos, para facilitar la evaluación del poder a realizar, el inversor considerará la evidencia de si tiene la capacidad factible de dirigir unilateralmente las actividades relevantes. Se prestará atención, aunque no se limitará, a los siguientes aspectos, que, considerados conjuntamente con sus derechos y los indicadores de los párrafos B19 y B20, pueden proporcionar evidencia de que los derechos del inversor son suficientes para otorgarle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inversor puede, sin tener el derecho contractual a hacerlo, nombrar o aprobar al personal clave de la gerencia de la participada que tiene la capacidad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inversor puede, sin tener el derecho contractual a hacerlo, dirigir la participada para realizar transacciones significativas en beneficio del inversor, o puede vetar cualquier cambio en éstas.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inversor puede dominar los procesos de nominación para la elección de miembros del órgano de gobierno de la participada o la obtención de delegaciones de derechos de voto de otros tenedores.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personal clave de la gerencia de la participada son partes relacionadas del inversor (por ejemplo, el ejecutivo principal de una participada y el ejecutivo principal del inversor son la misma persona).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mayoría de los miembros del órgano de gobierno de la participada son partes relacionadas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B19 Algunas veces habrá indicaciones de que el inversor tiene una relación especial con la participada, que sugiere que éste tiene algo más que un participación pasiva en dicha participada. La existencia de cualquier indicador individual, o una combinación particular de indicadores, no significa necesariamente que se cumpla el criterio de poder. Sin embargo, tener algo más que una participación pasiva en la participada puede indicar que el inversor tiene otros derechos relacionados suficientes para otorgarle poder o proporcionar evidencia de la existencia de poder sobre la participada. Por ejemplo, los siguientes elementos sugieren que el inversor tiene algo más que una participación pasiva en la participada lo que, en combinación con otros derechos, puede indicar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personal clave de la gerencia que tiene la capacidad de dirigir las actividades relevantes son empleados actuales del inversor o lo han sido anteriormente.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operaciones de la participada dependen del inversor, tal como en las situaciones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participada depende del inversor para financiar una parte significativa de sus operaciones.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inversor garantiza una parte significativa de las obligaciones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participada depende de los servicios críticos, tecnología suministros o materias primas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El inversor controla activos tales como licencias o marcas registradas que son críticas para las operaciones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La participada depende del inversor en materia de personal clave de la gerencia, tales como cuando el personal del inversor tiene conocimientos especializados de las operaciones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parte significativa de las actividades de la participada involucran o están realizadas en nombre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exposición del inversor, o los derechos, a rendimientos procedentes de su implicación con la participada es desproporcionadamente mayor que sus votos u otros derechos similares. Por ejemplo, puede haber una situación en la que se otorgue a un inversor, o se exponga, a más de la mitad de los rendimientos de la participada pero mantenga menos de la mitad de los derechos de votos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Cuanto mayor sea la exposición del inversor, o los derechos, a la variabilidad de los rendimientos procedente de su implicación en una participada, mayor será el incentivo del inversor para obtener derechos suficientes que le den poder. Por ello, estar más expuesto a la variabilidad de los rendimientos es un indiciador de que el inversor puede tener poder. Sin embargo, la medida de la exposición del inversor no determina, en sí misma, si un inversor tiene poder sobre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B21 Cuando los factores establecidos en el párrafo B18 y los indicadores establecidos en los párrafos B19 y B20 se consideran conjuntamente con los derechos del inversor, se dará mayor peso a la evidencia de poder descrita en el párrafo B18.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sustantivos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Un inversor, al evaluar si tiene poder, considerará solo los derechos sustantivos relacionados con una participada (mantenidos por el inversor y otros). Para que un derecho sea sustantivo, el tenedor debe poseer la capacidad factible de ejercer ese derecho.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B23 La determinación de si los derechos son sustantivos requiere juicio profesional, teniendo en cuenta todos los hechos y circunstancias. Los factores a considerar para llevar a cabo esa determinación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existen barreras (económicas o de otro tipo) que impidan al tenedor (o tenedores) el ejercicio de los derechos. Ejemplos de estas barreras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Penalizaciones financieras e incentivos que impedirían (o disuadirían) al tenedor del ejercicio de sus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Un precio de ejercicio o conversión que crea una barrera financiera que impediría (o disuadiría) al tenedor del ejercicio de sus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Términos y condiciones que hacen improbable que los derechos fueran ejercidos, por ejemplo, condiciones que reducen el límite temporal de su ejercicio.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La ausencia de un mecanismo razonable, explícito, en los documentos de constitución de una participada o en las leyes o regulaciones aplicables que permitiría al tenedor ejercer sus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La incapacidad del tenedor de los derechos de obtener la información necesaria para ejercer sus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Barreras operativas o incentivos que impedirían (o disuadirían) al tenedor del ejercicio de sus derechos (por ejemplo la ausencia de otros gerentes con voluntad o capacidad de proporcionar servicios especializados o proporcionar los servicios y hacerse cargo de otras participaciones mantenidas por el gerente implicado).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Requerimientos legales o de regulación que impiden al tenedor el ejercicio de sus derechos (por ejemplo cuando se prohíbe a un inversor extranjero el ejercicio de sus derechos).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Cuando el ejercicio de los derechos requiere el acuerdo de más de una parte, o cuando los derechos se mantienen por más de una parte, si existe o no un mecanismo que proporciona a esas partes la capacidad factible de ejercer sus derechos de forma colectiva en el caso de que decidan hacerlo así. La ausencia de tal mecanismo es un indicador de que </w:t>
      </w:r>
      <w:r w:rsidRPr="00401DFF">
        <w:rPr>
          <w:rFonts w:ascii="Times New Roman" w:eastAsia="Times New Roman" w:hAnsi="Times New Roman" w:cs="Times New Roman"/>
          <w:sz w:val="24"/>
          <w:szCs w:val="24"/>
          <w:lang w:eastAsia="es-CO"/>
        </w:rPr>
        <w:lastRenderedPageBreak/>
        <w:t>los derechos pueden no ser sustantivos. Cuantas más partes estén obligadas a ponerse de acuerdo para ejercer los derechos, menos probable será que esos derechos sean sustantivos. Sin embargo, un consejo de administración cuyos miembros son independientes de quien toma decisiones puede servir como mecanismo para que numerosos inversores actúen de forma colectiva en el ejercicio de sus derechos. Por ello, es más probable que derechos de destitución ejercitables por un consejo de administración independiente sean sustantivos, que si los mismos derechos fueran ejercitables individualmente por un gran número de inversores.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la parte o partes que mantienen los derechos se beneficiarían del ejercicio de esos derechos. Por ejemplo, el tenedor de derechos de voto potenciales en una participada (véanse los párrafos B47 a B50) considerará el precio de ejercicio o conversión del instrumento. Las cláusulas y condiciones de los derechos de voto potenciales son más probables que sean sustantivos cuando el instrumento tiene un precio favorable o el inversor se beneficiaría por otras razones (por ejemplo mediante la realización de sinergias entre el inversor y la participada) del ejercicio o conversión del instrumento.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Cuando las decisiones sobre la dirección de las actividades de relevancia necesitan realizarse, para ser sustantivos los derechos también necesitan ser ejercitables. Usualmente, para ser sustantivos, los derechos necesitan ser ejercitables en el presente. Sin embargo, algunas veces los derechos pueden ser sustantivos, aún cuando los derechos no sean ejercitables en el presente.</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83"/>
        <w:gridCol w:w="175"/>
      </w:tblGrid>
      <w:tr w:rsidR="00401DFF" w:rsidRPr="00401DFF" w:rsidTr="00401DFF">
        <w:trPr>
          <w:tblCellSpacing w:w="15" w:type="dxa"/>
          <w:jc w:val="center"/>
        </w:trPr>
        <w:tc>
          <w:tcPr>
            <w:tcW w:w="885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85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3</w:t>
            </w:r>
            <w:r w:rsidRPr="00401DFF">
              <w:rPr>
                <w:rFonts w:ascii="Times New Roman" w:eastAsia="Times New Roman" w:hAnsi="Times New Roman" w:cs="Times New Roman"/>
                <w:sz w:val="24"/>
                <w:szCs w:val="24"/>
                <w:lang w:eastAsia="es-CO"/>
              </w:rPr>
              <w:br/>
              <w:t>La participada tiene reuniones anuales de accionistas en las se toman decisiones para dirigir las actividades relevantes. La próxima reunión programada de accionistas es dentro de ocho meses. Sin embargo, los accionistas que de forma individual o colectiva mantienen al menos el 5 por ciento de los derechos de voto pueden convocar una reunión extraordinaria para cambiar las políticas existentes sobre las actividades relevantes, aunque los requerimientos de convocatoria a los otros accionistas implican que esta reunión no podrá celebrarse antes de 30 días. Las políticas sobre las actividades relevantes pueden cambiarse solo en reuniones de accionistas programadas o extraordinarias. Esto incluye la aprobación de ventas significativas de activos, así como la realización o disposición de inversiones significativas.</w:t>
            </w:r>
            <w:r w:rsidRPr="00401DFF">
              <w:rPr>
                <w:rFonts w:ascii="Times New Roman" w:eastAsia="Times New Roman" w:hAnsi="Times New Roman" w:cs="Times New Roman"/>
                <w:sz w:val="24"/>
                <w:szCs w:val="24"/>
                <w:lang w:eastAsia="es-CO"/>
              </w:rPr>
              <w:br/>
              <w:t>Los anteriores hechos y circunstancias ocurridos se aplican a los ejemplos 3A a 3D que se describen a continuación. Cada ejemplo se considera de forma aislada.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3A</w:t>
            </w:r>
            <w:r w:rsidRPr="00401DFF">
              <w:rPr>
                <w:rFonts w:ascii="Times New Roman" w:eastAsia="Times New Roman" w:hAnsi="Times New Roman" w:cs="Times New Roman"/>
                <w:sz w:val="24"/>
                <w:szCs w:val="24"/>
                <w:lang w:eastAsia="es-CO"/>
              </w:rPr>
              <w:br/>
              <w:t>Un inversor mantiene una mayoría de derechos de voto en la participada. Los derechos de voto del inversor son sustantivos porque el inversor es capaz de tomar decisiones sobre la dirección de las actividades relevantes cuando necesitan tomarse. El hecho de que vayan a transcurrir 30 días antes de que el inversor pueda ejercer sus derechos de voto no impide que el inversor tenga la capacidad presente de dirigir las actividades relevantes a partir del momento en que el inversor adquiere la participación.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3B</w:t>
            </w:r>
            <w:r w:rsidRPr="00401DFF">
              <w:rPr>
                <w:rFonts w:ascii="Times New Roman" w:eastAsia="Times New Roman" w:hAnsi="Times New Roman" w:cs="Times New Roman"/>
                <w:sz w:val="24"/>
                <w:szCs w:val="24"/>
                <w:lang w:eastAsia="es-CO"/>
              </w:rPr>
              <w:br/>
              <w:t xml:space="preserve">Un inversor es parte de un contrato a término para adquirir la mayoría de las acciones de la </w:t>
            </w:r>
            <w:r w:rsidRPr="00401DFF">
              <w:rPr>
                <w:rFonts w:ascii="Times New Roman" w:eastAsia="Times New Roman" w:hAnsi="Times New Roman" w:cs="Times New Roman"/>
                <w:sz w:val="24"/>
                <w:szCs w:val="24"/>
                <w:lang w:eastAsia="es-CO"/>
              </w:rPr>
              <w:lastRenderedPageBreak/>
              <w:t>participada. La fecha de liquidación del contrato a término es de 25 días. Los accionistas existentes no son capaces de cambiar las políticas existentes sobre las actividades relevantes porque una reunión extraordinaria no se puede mantener hasta pasados 30 días, en cuyo momento el contrato a término habrá sido liquidado. Por ello, el inversor tiene derechos que son esencialmente equivalentes a la mayoría de los accionistas del ejemplo 3A anterior (es decir, el inversor que mantiene el contrato a término puede tomar decisiones sobre la dirección de las actividades relevantes cuando necesiten tomarse). El contrato a término del inversor es un derecho sustantivo que otorga al inversor la capacidad presente de dirigir las actividades relevantes incluso antes de que se liquide el contrato a término.</w:t>
            </w:r>
          </w:p>
        </w:tc>
      </w:tr>
      <w:tr w:rsidR="00401DFF" w:rsidRPr="00401DFF" w:rsidTr="00401DFF">
        <w:trPr>
          <w:tblCellSpacing w:w="15" w:type="dxa"/>
          <w:jc w:val="center"/>
        </w:trPr>
        <w:tc>
          <w:tcPr>
            <w:tcW w:w="885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rPr>
          <w:gridAfter w:val="1"/>
          <w:wAfter w:w="132" w:type="dxa"/>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gridAfter w:val="1"/>
          <w:wAfter w:w="132" w:type="dxa"/>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3C</w:t>
            </w:r>
            <w:r w:rsidRPr="00401DFF">
              <w:rPr>
                <w:rFonts w:ascii="Times New Roman" w:eastAsia="Times New Roman" w:hAnsi="Times New Roman" w:cs="Times New Roman"/>
                <w:sz w:val="24"/>
                <w:szCs w:val="24"/>
                <w:lang w:eastAsia="es-CO"/>
              </w:rPr>
              <w:br/>
              <w:t>Un inversor mantiene una opción sustantiva para adquirir la mayoría de las acciones de la participada que es ejercitable en 25 días y el precio es muy favorable. Se llegaría a la misma conclusión que en el ejemplo 3B.</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3D</w:t>
            </w:r>
            <w:r w:rsidRPr="00401DFF">
              <w:rPr>
                <w:rFonts w:ascii="Times New Roman" w:eastAsia="Times New Roman" w:hAnsi="Times New Roman" w:cs="Times New Roman"/>
                <w:sz w:val="24"/>
                <w:szCs w:val="24"/>
                <w:lang w:eastAsia="es-CO"/>
              </w:rPr>
              <w:br/>
              <w:t>Un inversor es parte de un contrato a término para adquirir la mayoría de las acciones de la participada sin otros derechos relacionados con ésta. La fecha de liquidación del contrato a término es dentro de seis meses. Al contrario de los ejemplos anteriores, el inversor no tiene la capacidad presente de dirigir las actividades relevantes. Los accionistas existentes tienen la capacidad presente de dirigir las actividades relevantes porque pueden cambiar las políticas existentes sobre dichas actividades antes de que se liquide el contrato a término.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Los derechos sustantivos ejercitables por otras partes pueden impedir a un inversor controlar la participada con la que se relacionan esos derechos. Estos derechos sustantivos no requieren que los tenedores tengan la capacidad de poner en marcha decisiones. Siempre que los derechos no sean meramente protectores (véanse los párrafos B26 a B28), los derechos sustantivos mantenidos por otras partes pueden impedir al inversor controlar la participada incluso si los derechos otorgan a los tenedores solo la capacidad presente de aprobar o bloquear decisiones relacionadas con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protectores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Al evaluar si los derechos otorgan a un inversor poder sobre una participada, dicho inversor evaluará si sus derechos, y los derechos mantenidos por otros, son derechos protectores. Los derechos protectores se relacionan con cambios sustantivos de las actividades de una participada o se aplican en circunstancias excepcionales. Sin embargo, no todos los derechos que se aplican en circunstancias excepcionales o dependen de sucesos son protectores (véanse los párrafos B13 y B53).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B27 Puesto que los derechos protectores son diseñados para proteger las participaciones de sus tenedores sin otorgar poder a esa parte sobre la participada con la que esos derechos se </w:t>
      </w:r>
      <w:r w:rsidRPr="00401DFF">
        <w:rPr>
          <w:rFonts w:ascii="Times New Roman" w:eastAsia="Times New Roman" w:hAnsi="Times New Roman" w:cs="Times New Roman"/>
          <w:sz w:val="24"/>
          <w:szCs w:val="24"/>
          <w:lang w:eastAsia="es-CO"/>
        </w:rPr>
        <w:lastRenderedPageBreak/>
        <w:t>relacionan, un inversor que mantiene solo derechos protectores puede no tener poder o impedir a otra parte tener poder sobre una participada (véase el párrafo 14).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Ejemplos de derechos protectores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Derechos de un prestamista a limitar que un prestatario lleve a cabo actividades que podrían cambiar de forma significativa el riesgo de crédito del prestatario en detrimento del prestamista.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derecho de una parte que mantiene una participación no controladora en una participada a aprobar gastos de capital mayores de lo requerido en el curso ordinario del negocio, o a aprobar la emisión de instrumentos de deuda o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derecho de un prestamista a tomar los activos de un prestatario si éste no cumple las condiciones de reembolso del préstamo especificadas.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Franquicias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B29 Un acuerdo de franquicia en el que la participada es la franquiciada a menudo concede los derechos del franquiciador que se diseñan para proteger la marca de franquicia. Los acuerdos de franquicia habitualmente conceden al franquiciador algunos derechos de toma de decisiones con respecto a las operaciones de la franquiciada.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B30 Generalmente, los derechos del franquiciador no limitan la capacidad de partes distintas de éste para tomar decisiones que tienen un efecto significativo sobre los rendimientos del franquiciado. Ni hacen que los derechos del franquiciador en acuerdos de franquicia necesariamente le den la capacidad presente de dirigir las actividades que afectan significativamente a los rendimientos de la franquiciada.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Es necesario distinguir entre tener la capacidad presente de tomar decisiones que afecten significativamente a los rendimientos de la franquiciada y tener la capacidad de tomar decisiones que protejan la marca de franquicia. El franquiciador no tiene poder sobre el franquiciado si otras partes tienen derechos existentes que les otorgan la capacidad presente de dirigir las actividades relevantes de la franquiciada.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Mediante la realización de un acuerdo de franquicia el franquiciado ha tomado una decisión unilateral de operar su negocio de acuerdo con las cláusulas del acuerdo de franquicia, pero por su propia cuenta.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El control sobre decisiones sustantivas tales como la forma legal de la franquiciada y su estructura de financiación puede determinarse por partes distintas del franquiciador y puede afectar de forma significativa a los rendimientos de la franquiciada. Cuanto más bajo sea el nivel de apoyo financiero proporcionado por el franquiciador y más baja sea la exposición del franquiciador a la variabilidad de los rendimientos de la franquiciada, mayor será la probabilidad de que el franquiciador tenga únicamente derechos protectores.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A menudo un inversor tiene la capacidad presente, a través de los derechos de voto o similares, para dirigir las actividades relevantes. Un inversor considerará los requerimientos de esta sección (párrafos B35 a B50) si las actividades relevantes de una participada están dirigidas a través de los 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Poder con una mayoría de 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Un inversor que mantiene más de la mitad de los derechos de voto de una participada tiene poder en las siguientes situaciones, a menos de que se apliquen los párrafos B36 o B37: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actividades relevantes son dirigidas por el voto del tenedor de la mayoría de los derechos de voto,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mayoría de los miembros del órgano de gobierno que dirige las actividades relevantes se nombran por el voto del tenedor de la mayoría de los 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Mayoría de los derechos de voto pero no de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B36 Para un inversor que mantiene más de la mitad de los derechos de voto de una participada, para tener poder sobre una participada, los derechos de voto del inversor deben ser sustantivos, de acuerdo con los párrafos B22 a B25, y debe proporcionar al inversor la capacidad presente de dirigir las actividades relevantes, que a menudo será mediante la determinación de las políticas financieras y de operación. Si otra entidad tiene derechos existentes que proporcionen a esa entidad el derecho de dirigir las actividades relevantes y esa entidad no es un agente del inversor, el inversor no tiene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Cuando los derechos de voto no son sustantivos, un inversor no tiene poder sobre una participada, aún cuando el inversor mantenga la mayoría de los derechos de voto en la participada. Por ejemplo, un inversor que tiene más de la mitad de los derechos de voto de una participada puede no tener poder si las actividades relevantes están sujetas a la dirección de un gobierno, tribunal, administrador, depositario, liquidador o regulador.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Poder sin una mayoría de derechos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B38 Un inversor puede tener poder incluso si mantiene menos de una mayoría de los derechos de voto de una participada. Un inversor puede tener poder con menos de una mayoría de los derechos de voto de una participada, por ejemplo, a través: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acuerdo contractual entre el inversor y otros tenedores de voto (véase el párrafo B39);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derechos que surgen de otros acuerdos contractuales (véase el párrafo B40);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derechos de voto del inversor (véanse los párrafos B41 a B45);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derechos de voto potenciales (véanse los párrafos B47 a B50);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combinación de (a) a (d).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Acuerdo contractual con otros tenedores de voto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B39 Un acuerdo contractual entre un inversor y otros tenedores de voto puede otorgar al inversor el derecho a ejercer derechos de voto suficientes para darle poder, incluso si no tiene derechos de voto suficientes para darle ese poder sin el acuerdo contractual. Sin embargo, un acuerdo contractual puede asegurar que el inversor pueda dirigir suficientemente a otros tenedores de voto sobre la forma de votar para permitir a dicho inversor tomar decisiones sobre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procedentes de otros acuerdos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B40 Otros derechos de toma de decisiones, en combinación con derechos de voto, pueden otorgar a un inversor la capacidad presente de dirigir las actividades relevantes. Por ejemplo, los derechos especificados en un acuerdo contractual en combinación con los derechos de voto pueden ser suficientes para dar a un inversor la capacidad presente de dirigir los procesos de fabricación de una participada o dirigir otras actividades financieras o de operación de ésta que afecte significativamente a los rendimientos de dicha participada. Sin embargo, en ausencia de cualesquiera otros derechos, la dependencia económica de una participada con el inversor (tal como las relaciones de un suministrador con su principal cliente) no conduce a que dicho inversor tenga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de voto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B41 Cuando el inversor tiene la capacidad factible de dirigir las actividades relevantes de forma unilateral, un inversor con menos de la mayoría de los derechos de voto tiene derechos que son suficientes para otorgarle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B42 Al evaluar si los derechos de voto de un inversor son suficientes para otorgarle poder, éste considerará todos los hechos y circunstancias,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montante de los derechos de voto que mantiene el inversor en relación con el montante y dispersión de los que mantienen otros tenedores de voto, destacando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cuantos más derechos de voto mantenga un inversor, mayor será la probabilidad de que el inversor tenga derechos existentes que le otorguen la capacidad presente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cuantos más derechos de voto mantenga un inversor en relación a otros tenedores de voto, mayor será la probabilidad de que el inversor tenga derechos existentes que le otorguen la capacidad presente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(iii) cuantas más partes necesitaran actuar conjuntamente para que el inversor perdiera una votación, mayor será la probabilidad de que el inversor tenga derechos existentes que le otorguen la capacidad presente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derechos de voto potenciales mantenidos por el inversor, otros tenedores de voto u otras partes (véanse los párrafo B47 a B50);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derechos que surgen de otros acuerdos contractuales (véase el párrafo B40);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cualesquiera hechos y circunstancias adicionales que indiquen que el inversor tiene, o no tiene, la capacidad presente de dirigir las actividades relevantes en el momento en que esas decisiones necesiten tomarse, incluyendo los patrones de conducta de voto en reuniones de accionistas anteriores.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 Cuando la dirección de las actividades relevantes se determina por mayoría de voto y un inversor mantiene de forma significativa más derechos de voto que cualquier otro tenedor de voto o grupo organizado de tenedores de voto, y los otros accionistas se encuentren ampliamente dispersos, parece claro, después de considerar los factores enumerados en el párrafo 42(a) a (c) por sí solos, que el inversor tiene poder sobre la participada.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10"/>
      </w:tblGrid>
      <w:tr w:rsidR="00401DFF" w:rsidRPr="00401DFF" w:rsidTr="00401DFF">
        <w:trPr>
          <w:tblCellSpacing w:w="15" w:type="dxa"/>
          <w:jc w:val="center"/>
        </w:trPr>
        <w:tc>
          <w:tcPr>
            <w:tcW w:w="88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85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4</w:t>
            </w:r>
            <w:r w:rsidRPr="00401DFF">
              <w:rPr>
                <w:rFonts w:ascii="Times New Roman" w:eastAsia="Times New Roman" w:hAnsi="Times New Roman" w:cs="Times New Roman"/>
                <w:sz w:val="24"/>
                <w:szCs w:val="24"/>
                <w:lang w:eastAsia="es-CO"/>
              </w:rPr>
              <w:br/>
              <w:t>Un inversor adquiere el 48 por ciento de los derechos de voto de una participada. Los derechos de voto restantes se mantienen por miles de accionistas, ninguno individualmente mantiene más del 1 por ciento de los derechos de voto. Ninguno de los accionistas tiene ningún acuerdo para consultar con cualquiera de los otros o tomar decisiones colectivas. Al evaluar la proporción de derechos de voto a adquirir, sobre la base de la dimensión relativa de los otros accionistas, el inversor determinó que un 48 por ciento de participación sería suficiente para darle el control. En este caso, sobre la base de la dimensión absoluta de su participación y de la dimensión relativa de los otros accionistas, el inversor concluye que tiene participación de voto dominante suficiente para cumplir el criterio de poder sin necesidad de considerar las otras evidencias de poder.</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5</w:t>
            </w:r>
            <w:r w:rsidRPr="00401DFF">
              <w:rPr>
                <w:rFonts w:ascii="Times New Roman" w:eastAsia="Times New Roman" w:hAnsi="Times New Roman" w:cs="Times New Roman"/>
                <w:sz w:val="24"/>
                <w:szCs w:val="24"/>
                <w:lang w:eastAsia="es-CO"/>
              </w:rPr>
              <w:br/>
              <w:t xml:space="preserve">El inversor A mantiene el 40 por ciento de los derechos de voto de una participada y doce inversores distintos mantienen cada uno un 5 por ciento de los derechos de voto de ésta. Un acuerdo de accionistas concede al inversor A el derecho a nombrar, destituir y establecer la remuneración de la gerencia responsable de dirigir las actividades relevantes. Para cambiar el acuerdo, se requiere una mayoría de voto de dos tercios de los accionistas. En este caso, el inversor A concluye que la dimensión absoluta de la participación del inversor y la dimensión relativa de los otros accionistas por sí solas no son concluyentes para determinar si el inversor tiene derechos suficientes para otorgarle poder. Sin embargo, el inversor A determina que su derecho contractual para nombrar, destituir y establecer la remuneración de la gerencia es suficiente para concluir que tiene poder sobre la participada. Al evaluar si el inversor A tiene poder, no se considerará el hecho de que el inversor A pueda no haber ejercido este derecho o la probabilidad de que el inversor A </w:t>
            </w:r>
            <w:r w:rsidRPr="00401DFF">
              <w:rPr>
                <w:rFonts w:ascii="Times New Roman" w:eastAsia="Times New Roman" w:hAnsi="Times New Roman" w:cs="Times New Roman"/>
                <w:sz w:val="24"/>
                <w:szCs w:val="24"/>
                <w:lang w:eastAsia="es-CO"/>
              </w:rPr>
              <w:lastRenderedPageBreak/>
              <w:t>ejercite su derecho a seleccionar, nombrar o destituir a la gerencia.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B44 En otras situaciones, puede estar claro después de considerar los factores enumerados en el párrafo B42(a) a (c) por sí mismos que un inversor no tiene poder.</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2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de aplicación</w:t>
            </w:r>
          </w:p>
        </w:tc>
      </w:tr>
      <w:tr w:rsidR="00401DFF" w:rsidRPr="00401DFF" w:rsidTr="00401DFF">
        <w:trPr>
          <w:tblCellSpacing w:w="15" w:type="dxa"/>
          <w:jc w:val="center"/>
        </w:trPr>
        <w:tc>
          <w:tcPr>
            <w:tcW w:w="892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6</w:t>
            </w:r>
            <w:r w:rsidRPr="00401DFF">
              <w:rPr>
                <w:rFonts w:ascii="Times New Roman" w:eastAsia="Times New Roman" w:hAnsi="Times New Roman" w:cs="Times New Roman"/>
                <w:sz w:val="24"/>
                <w:szCs w:val="24"/>
                <w:lang w:eastAsia="es-CO"/>
              </w:rPr>
              <w:br/>
              <w:t>El inversor A mantiene el 45 por ciento de los derechos de voto de una participada. Otros dos inversores mantienen cada uno el 26 por ciento de los derechos de voto de ésta. El resto de los derechos de voto los mantienen otros tres accionistas, cada uno con un 1 por ciento. No existen otros acuerdos que afecten a la toma de decisiones. En este caso, la dimensión de la participación de voto del inversor A y su tamaño relativo con respecto a los otros accionistas son suficientes para concluir que el inversor A no tiene poder. Únicamente necesitarían cooperar los otros dos accionistas para ser capaces de impedir que el inversor A dirigiera las actividades relevantes de la participada.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B45 Sin embargo, los factores enumerados en el párrafo B42(a) a (c) por sí mismos pueden no ser concluyentes. Si un inversor, habiendo considerado esos factores, no tiene claro si tiene poder, considerará hechos y circunstancias adicionales, tales como si otros accionistas son pasivos por naturaleza como demostraron mediante patrones de conducta de voto en reuniones de accionistas anteriores. Esto incluye la evaluación de los factores establecidos en el párrafo B18 y los indicadores de los párrafos B19 y B20. Cuantos menos derechos de voto mantenga el inversor, y menos partes necesitaran actuar conjuntamente para que el inversor perdiera una votación, mayor sería la dependencia de hechos y circunstancias adicionales para evaluar si los derechos del inversor son suficientes para otorgarle poder. Cuando los hechos y circunstancias de los párrafos B18 a B20 se consideren conjuntamente con los derechos del inversor, se dará mayor peso a la evidencia de poder del párrafo B18 que a los indicadores de poder de los párrafos B19 y B20.</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7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97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7</w:t>
            </w:r>
            <w:r w:rsidRPr="00401DFF">
              <w:rPr>
                <w:rFonts w:ascii="Times New Roman" w:eastAsia="Times New Roman" w:hAnsi="Times New Roman" w:cs="Times New Roman"/>
                <w:sz w:val="24"/>
                <w:szCs w:val="24"/>
                <w:lang w:eastAsia="es-CO"/>
              </w:rPr>
              <w:br/>
              <w:t>Un inversor mantiene el 45 por ciento de los derechos de voto de una participada. Otros once inversores mantienen cada uno el 5 por ciento de los derechos de voto de dicha participada. Ninguno de los accionistas tiene acuerdos contractuales para consultar con cualquiera de los otros o tomar decisiones colectivas. En este caso, la dimensión absoluta de la participación del inversor y la dimensión relativa de los otros accionistas por sí solas no son concluyentes para determinar si el inversor tiene derechos suficientes para otorgarle poder sobre la participada. Deberían considerarse hechos y circunstancias adicionales que pudieran proporcionar evidencia de que el inversor tiene, o no, poder.</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8</w:t>
            </w:r>
            <w:r w:rsidRPr="00401DFF">
              <w:rPr>
                <w:rFonts w:ascii="Times New Roman" w:eastAsia="Times New Roman" w:hAnsi="Times New Roman" w:cs="Times New Roman"/>
                <w:sz w:val="24"/>
                <w:szCs w:val="24"/>
                <w:lang w:eastAsia="es-CO"/>
              </w:rPr>
              <w:br/>
              <w:t xml:space="preserve">Un inversor mantiene el 35 por ciento de los derechos de voto de una participada. Otros tres inversores mantienen cada uno el 5 por ciento de los derechos de voto de la participada. Los derechos de voto restantes se mantienen por numerosos accionistas, ninguno individualmente mantiene más del 1 por ciento de los derechos de voto. Ningún accionista </w:t>
            </w:r>
            <w:r w:rsidRPr="00401DFF">
              <w:rPr>
                <w:rFonts w:ascii="Times New Roman" w:eastAsia="Times New Roman" w:hAnsi="Times New Roman" w:cs="Times New Roman"/>
                <w:sz w:val="24"/>
                <w:szCs w:val="24"/>
                <w:lang w:eastAsia="es-CO"/>
              </w:rPr>
              <w:lastRenderedPageBreak/>
              <w:t xml:space="preserve">tiene acuerdos para consultar con cualquiera de los otros o tomar decisiones colectivas. Las decisiones sobre las actividades relevantes de la participada requieren la aprobación de la mayoría de los votos emitidos en las reuniones de accionistas correspondientes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en las correspondientes reuniones de accionistas recientes se han emitido el 75 por ciento de los derechos de voto de la participada. En este caso, la participación activa de los otros accionistas en reuniones de accionistas recientes indica que el inversor no tendría la capacidad factible de dirigir de forma unilateral las actividades relevantes, independientemente de si el inversor ha dirigido las actividades relevantes porque un número suficiente de otros accionistas votaron en el mismo sentido que el inversor.</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B46 Si no está claro, habiendo considerado los factores enumerados en el párrafo B42(a) a (d), que el inversor tenga poder, el inversor no controla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de voto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B47 Al evaluar el control, un inversor considerará sus derechos de voto potenciales, así como los derechos de voto potenciales mantenidos por otras partes, para determinar si tiene poder. Los derechos de voto potenciales son derechos a obtener derechos de voto de una participada, tales como los que surgen de instrumentos u opciones convertibles, incluyendo contratos a término. Esos derechos de voto potenciales se considerarán únicamente si son sustantivos (véanse los párrafos B22 a B25).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B48 Al considerar los derechos de voto potenciales, un inversor considerará el propósito y diseño del instrumento, así como el propósito y diseño de cualquier otra implicación que tenga el inversor con la participada. Esto incluye una evaluación de las diversas cláusulas y condiciones del instrumento, así como de las expectativas aparentes del inversor, motivos y razones para acordar dichas cláusulas y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B49 Si el inversor tiene también votos u otros derechos de toma de decisiones relativos a las actividades de la participada, éste evaluará si esos derechos, en combinación con derechos potenciales de voto, le otorgan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B50 Los derechos de voto potenciales sustantivos por sí mismos, o en combinación con otros derechos, pueden otorgar a un inversor la capacidad presente de dirigir las actividades relevantes. Por ejemplo, este probablemente sea el caso cuando un inversor mantiene el 40 por ciento de los derechos de voto de una participada y, de acuerdo con el párrafo B23, mantiene derechos sustantivos que surgen de opciones para adquirir un 20 por ciento adicional de los derechos de voto.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898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98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9</w:t>
            </w:r>
            <w:r w:rsidRPr="00401DFF">
              <w:rPr>
                <w:rFonts w:ascii="Times New Roman" w:eastAsia="Times New Roman" w:hAnsi="Times New Roman" w:cs="Times New Roman"/>
                <w:sz w:val="24"/>
                <w:szCs w:val="24"/>
                <w:lang w:eastAsia="es-CO"/>
              </w:rPr>
              <w:br/>
              <w:t xml:space="preserve">El inversor A mantiene el 70 por ciento de los derechos de voto de una participada. El inversor B tiene el 30 por ciento de los derechos de voto de la participada, así como una opción para adquirir la mitad de los derechos de voto del inversor A. La opción es ejercitable para los próximos dos años a un precio fijo que es muy desfavorable (y se espera </w:t>
            </w:r>
            <w:r w:rsidRPr="00401DFF">
              <w:rPr>
                <w:rFonts w:ascii="Times New Roman" w:eastAsia="Times New Roman" w:hAnsi="Times New Roman" w:cs="Times New Roman"/>
                <w:sz w:val="24"/>
                <w:szCs w:val="24"/>
                <w:lang w:eastAsia="es-CO"/>
              </w:rPr>
              <w:lastRenderedPageBreak/>
              <w:t>que se mantenga así por ese periodo de dos años). El inversor A ha estado ejerciendo sus votos y está dirigiendo de forma activa las actividades relevantes de la participada. En este caso, el inversor A es probable que cumpla el criterio de poder porque parece tener la capacidad presente de dirigir las actividades relevantes. Aunque el inversor B tiene opciones ejercitables en el momento presente para comprar los derechos de voto adicionales (que si se ejercen le darían mayoría de derechos de voto en la participada), las cláusulas y condiciones asociadas con esas opciones son tales que las opciones no se consideran sustantivas.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10</w:t>
            </w:r>
            <w:r w:rsidRPr="00401DFF">
              <w:rPr>
                <w:rFonts w:ascii="Times New Roman" w:eastAsia="Times New Roman" w:hAnsi="Times New Roman" w:cs="Times New Roman"/>
                <w:sz w:val="24"/>
                <w:szCs w:val="24"/>
                <w:lang w:eastAsia="es-CO"/>
              </w:rPr>
              <w:br/>
              <w:t>El inversor A y otros dos inversores mantienen cada uno un tercio de los derechos de voto de una participada. La actividad de negocio de la participada está estrechamente relacionada con el inversor A. Junto con sus instrumentos de patrimonio, el inversor A también mantiene instrumentos de deuda que son convertibles en acciones ordinarias de la participada en cualquier momento por un precio fijo que es desfavorable (pero no muy desfavorable). Si se convirtiera la deuda, el inversor A mantendría el 60 por ciento de los derechos de voto de la participada. Si se convirtieran los instrumentos de deuda en acciones ordinarias, el inversor A se beneficiaría de la realización de sinergias. El inversor A tiene poder sobre la participada porque mantiene derechos de voto sobre ésta junto con derechos de voto potenciales sustantivos que le otorgan la capacidad presente de dirigir las actividades relevantes.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Poder cuando los derechos de voto o similares no tienen un efecto significativo sobre los rendimientos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B51 Al evaluar el propósito y diseño de una participada (véanse los párrafos B5 a B8), un inversor considerará la implicación y decisiones tomadas en la creación de la participada como parte de su diseño y evaluará si las condiciones y características de la transacción de la implicación proporcionan al inversor derechos que son suficientes para otorgarle poder. Estar involucrado en el diseño de una participada en sí mismo no es suficiente para dar a un inversor control. Sin embargo, la implicación en el diseño puede indicar que el inversor tuvo la oportunidad de obtener derechos que son suficientes para otorgarle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B52 Además, un inversor considerará acuerdos contractuales tales como derechos de compra, de venta y de liquidación establecidos en la creación de la participada. Cuando estos acuerdos contractuales involucren actividades que están estrechamente relacionadas con la participada, estas actividades son, en esencia, una parte integral de las actividades globales ésta, aún cuando puedan tener lugar al margen de los límites legales de la participada. Por ello, los derechos de toma de decisiones explícitos o implícitos insertados en los acuerdos contractuales que están estrechamente relacionados con la participada necesitarán considerarse como actividades relevantes al determinar el poder sobre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B53 Para algunas participadas, las actividades relevantes suceden solo cuando surgen circunstancias particulares o tienen lugar eventos. La participada puede estar diseñada de forma que la dirección de sus actividades y sus rendimientos estén predeterminados a </w:t>
      </w:r>
      <w:r w:rsidRPr="00401DFF">
        <w:rPr>
          <w:rFonts w:ascii="Times New Roman" w:eastAsia="Times New Roman" w:hAnsi="Times New Roman" w:cs="Times New Roman"/>
          <w:sz w:val="24"/>
          <w:szCs w:val="24"/>
          <w:lang w:eastAsia="es-CO"/>
        </w:rPr>
        <w:lastRenderedPageBreak/>
        <w:t>menos y hasta que surjan esas circunstancias particulares o tengan lugar los sucesos. En este caso, solo las decisiones sobre las actividades de la participada, cuando esas circunstancias o sucesos tengan lugar, pueden afectar significativamente a sus rendimientos y por ello ser actividades relevantes. Las circunstancias o sucesos no necesitan haber ocurrido para que un inversor con la capacidad para tomar esas decisiones tenga poder. El hecho de que el derecho a tomar decisiones esté condicionado a que surjan circunstancias o tengan lugar sucesos no hacen, por sí mismos, esos derechos protectores.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00"/>
      </w:tblGrid>
      <w:tr w:rsidR="00401DFF" w:rsidRPr="00401DFF" w:rsidTr="00401DFF">
        <w:trPr>
          <w:tblCellSpacing w:w="15" w:type="dxa"/>
          <w:jc w:val="center"/>
        </w:trPr>
        <w:tc>
          <w:tcPr>
            <w:tcW w:w="83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3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11</w:t>
            </w:r>
            <w:r w:rsidRPr="00401DFF">
              <w:rPr>
                <w:rFonts w:ascii="Times New Roman" w:eastAsia="Times New Roman" w:hAnsi="Times New Roman" w:cs="Times New Roman"/>
                <w:sz w:val="24"/>
                <w:szCs w:val="24"/>
                <w:lang w:eastAsia="es-CO"/>
              </w:rPr>
              <w:br/>
              <w:t xml:space="preserve">La única actividad de negocio de una participada, tal como se especifica en sus documentos de constitución, es comprar derechos por cobrar y administrarlos diariamente para sus inversores. La administración diaria incluye el cobro y transferencia de los pagos del principal e intereses cuando sean exigibles. Hasta que haya incumplimiento de un derecho por cobrar la participada vende de forma automática el derecho por cobrar a un inversor según lo acordado de forma separada en un acuerdo de venta entre el inversor y la participada. La única actividad relevante es gestionar los derechos por cobrar hasta que haya incumplimiento porque es la única actividad que afecta de forma significativa a los rendimientos de la participada. La gestión de los derechos por cobrar antes del incumplimiento no es una actividad relevante porque no requiere tomar decisiones sustantivas que puedan afectar de forma significativa a los rendimientos de la participada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las actividades anteriores al incumplimiento están predeterminadas y conllevan solo cobrar los flujos de efectivo cuando sean exigibles y transferirlos a los inversores. Por ello, al evaluar las actividades globales de la participada que afectan de forma significativa a los rendimientos de ésta, solo se debe considerar el derecho del inversor a gestionar los activos hasta que haya incumplimiento. En este ejemplo, el diseño de la participada asegura que el inversor tiene autoridad para tomar decisiones sobre las actividades que afectan de forma significativa a los rendimientos y en el momento exacto en que se requiere esta autoridad para tomar decisiones. Las cláusulas del acuerdo de venta son globales para todas las transacciones y la constitución de la participada. Por ello, las cláusulas del acuerdo de venta junto con los documentos de constitución de la participada llevan a la conclusión de que el inversor tiene poder sobre la participada aún cuando el inversor tenga la propiedad de los derechos por cobrar solo hasta que haya incumplimiento y gestione los derecho por cobrar incumplidos al margen de los límites legales de la participada.</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12</w:t>
            </w:r>
            <w:r w:rsidRPr="00401DFF">
              <w:rPr>
                <w:rFonts w:ascii="Times New Roman" w:eastAsia="Times New Roman" w:hAnsi="Times New Roman" w:cs="Times New Roman"/>
                <w:sz w:val="24"/>
                <w:szCs w:val="24"/>
                <w:lang w:eastAsia="es-CO"/>
              </w:rPr>
              <w:br/>
              <w:t>Los únicos activos de una participada son los derechos por cobrar. Cuando se consideran el propósito y diseño de la participada, se determina que la única actividad relevante es gestionar los derechos por cobrar hasta que haya incumplimiento. La parte que tiene la capacidad de gestionar los derechos por cobrar incumplidos tiene poder sobre la participada independientemente de si algunos prestatarios han incumplido.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B54 Un inversor puede tener un compromiso explícito o implícito de asegurar que una participada continuará operando como se diseñó. Este compromiso puede incrementar la </w:t>
      </w:r>
      <w:r w:rsidRPr="00401DFF">
        <w:rPr>
          <w:rFonts w:ascii="Times New Roman" w:eastAsia="Times New Roman" w:hAnsi="Times New Roman" w:cs="Times New Roman"/>
          <w:sz w:val="24"/>
          <w:szCs w:val="24"/>
          <w:lang w:eastAsia="es-CO"/>
        </w:rPr>
        <w:lastRenderedPageBreak/>
        <w:t>exposición del inversor a la variabilidad de los rendimientos y por ello incrementar el incentivo para que el inversor obtenga derechos suficientes para otorgarle poder. Por ello, un compromiso para asegurar que una participada operará como se diseñó puede ser un indicador de que el inversor tiene poder, pero no otorga, por sí mismo, al inversor poder, ni impide a otra parte tener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Exposición, o derechos, a rendimientos variables de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B55 Al evaluar si un inversor tiene control sobre una participada, el inversor determinará si está expuesto, o tiene derechos, a los rendimientos variables procedentes de su implicación en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B56 Los rendimientos variables son rendimientos no fijos que tienen el potencial de variar como consecuencia del rendimiento de una participada. Los rendimientos variables pueden ser solo positivos, solo negativos o tanto positivos como negativos (véase el párrafo 15). Un inversor evaluará si los rendimientos procedentes de una participada son variables y la forma en que éstos están en la base de la esencia del acuerdo independientemente de la forma legal de los rendimientos. Por ejemplo, un inversor puede mantener un bono con pagos a tasa de interés fija. Los pagos a tasa de interés fija son rendimientos variables para el propósito de esta NIIF porque están sujetos al riesgo de incumplimiento y exponen al inversor al riesgo de crédito del emisor del bono. El volumen de la variabilidad (es decir hasta qué punto son esos rendimientos variables) dependerá del riesgo de crédito del bono. De forma análoga, comisiones de rendimiento fijas para gestionar los activos de una participada son rendimientos variables porque exponen al inversor al riesgo de rendimiento de la participada. El volumen de variabilidad dependerá de la capacidad de la participada para generar suficientes ingresos para pagar la comisión.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B57 Ejemplos de rendimientos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Dividendos, otras distribuciones de beneficios económicos procedentes de la participada (por ejemplo intereses de títulos de deuda emitidos por la participada) y cambios en el valor de la inversión del inversor en la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Remuneración por administrar los activos o pasivos de una participada, comisiones y exposición a pérdidas por proporcionar apoyo de crédito o liquidez, participaciones residuales en los activos y pasivos de la participada en la liquidación de ésta, beneficios fiscales, y acceso a liquidez futura que un inversor tenga por su implicación en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Rendimientos que no están disponibles para otros tenedores de participaciones. Por ejemplo, un inversor puede utilizar sus activos en combinación con los activos de la participada, tales como combinación de funciones operativas para conseguir economías de escala, ahorro de costos, fuentes de productos escasos, obtener acceso a conocimientos del propietario o limitando algunas operaciones o activos, para mejorar el valor de otros activos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Vinculación entre poder y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Poder delegado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B58 Cuando un inversor con derechos de toma de decisiones (quien toma decisiones) evalúa si controla una participada, determinará si es un principal o un agente. Un inversor también determinará si otra entidad con derechos de toma de decisiones está actuando como un agente del inversor. Un agente es una parte dedicada principalmente a actuar en nombre y a beneficio de otra parte o partes (el principal o principales) y, por ello, no controla la participada cuando ejerce su autoridad para tomar decisiones (véanse los párrafos 17 y 18). Por ello, algunas veces el poder de un principal puede mantenerse y ejercerse por un agente, pero en nombre del principal. Quien toma decisiones no es un agente solo por el hecho de que otras partes puedan beneficiarse de las decisiones que toma.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B59 Un inversor puede delegar su autoridad para tomar decisiones a un agente en algunos temas específicos o en todas actividades relevantes. Al evaluar si controla una participada, el inversor tratará los derechos de toma de decisiones delegados a su agente como mantenidos por el inversor directamente. En situaciones en las que existe más de un principal, cada uno de los principales evaluará si tiene poder sobre la participada considerando los requerimientos de los párrafos B5 a B54. Los párrafos B60 a B72 proporcionan guías para determinar si quien toma decisiones es un agente o un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B60 Quien toma decisiones considerará la relación global entre él mismo, la participada gestionada y otras partes involucradas en la participada, en particular todos los factores señalados a continuación, para determinar si es un agente: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alcance de su autoridad para tomar decisiones sobre la participada (párrafos B62 y B63).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derechos mantenidos por otras partes (párrafos B64 a B67).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remuneración a la que tiene derecho de acuerdo con los acuerdos de remuneración (párrafos B68 a B70).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exposición de quien toma decisiones a la variabilidad de los rendimientos procedentes de otras participaciones que mantiene en la participada (párrafos B71 y B72).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Se aplicarán diferentes ponderaciones a cada uno de los factores sobre la base de hechos y circunstancias particulares.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B61 Determinar si quien toma decisiones es un agente requiere una evaluación de todos los factores enumerados en el párrafo B60 a menos que una sola parte mantenga derechos sustantivos de destituir a quien toma decisiones (derechos de destitución) y pueda cesarlo sin motivo (véase el párrafo B65).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El alcance de la autoridad para tomar decisiones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B62 El alcance de la autoridad para tomar decisiones de quien toma dichas decisiones se evaluará considerando: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actividades que le son permitidas según el acuerdo de toma de decisiones y lo estipulado por estatuto,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discreción que tiene quien toma decisiones cuando toma decisiones sobre esas actividades.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B63 Quien toma decisiones considerará el propósito y diseño de la participada, los riesgos para los que la participada fue diseñada para ser expuesta, los riesgos que se diseñó pasar a las partes involucradas y el nivel de implicación que tuvo quien toma decisiones en el diseño de una participada. Por ejemplo, si quien toma decisiones está significativamente involucrado en el diseño de la participada (incluyendo la determinación del alcance de la autoridad para tomar decisiones), esa implicación puede indicar que quien toma dichas decisiones tuvo la oportunidad e incentivo de obtener derechos que den lugar a que tenga la capacidad para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Derechos mantenidos por otras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B64 Los derechos sustantivos mantenidos por otras partes pueden afectar a la capacidad de quien toma decisiones para dirigir las actividades relevantes de una participada. Los derechos de destitución sustantivos u otros derechos pueden indicar que quien toma decisiones es un agente.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B65 Cuando una sola parte mantiene derechos de destitución sustantivos y puede cesar a quien toma decisiones sin motivo, esto, aisladamente, es suficiente para concluir que este último es un agente. Si más de una parte mantiene estos derechos (y ninguna parte individualmente puede destituir a quien toma decisiones sin el acuerdo de las otras partes) esos derechos no son, aisladamente, concluyentes para determinar que quien toma decisiones actúa principalmente en nombre y beneficio de otros. Además, cuanto mayor sea el número de partes que se requiere que actúen juntas para ejercer los derechos a destituir a quien toma decisiones y mayor sea la magnitud de otros intereses económicos de quien toma decisiones y la variabilidad asociada con éstos (es decir remuneración y otros intereses), menor será el peso que deberá aplicarse a este factor.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B66 Al evaluar si quien toma decisiones es un agente, deberán considerarse los derechos sustantivos mantenidos por otras partes que restringen la discreción de quien toma decisiones de forma similar a los derechos de destitución. Por ejemplo, se le requiere a quien toma decisiones que obtenga la aprobación de sus actos por un pequeño número de otras partes es, generalmente, un agente. (Véanse los párrafos B22 a B25 para guías adicionales sobre derechos y si son sustantivos).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B67 La consideración de los derechos mantenidos por otras partes incluirá una evaluación de los derechos ejercitables por el consejo de administración de una participada (u otro órgano de gobierno) y sus efectos sobre la autoridad para tomar decisiones [véase el párrafo B23(b)].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Remuneración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B68 Cuanto mayor sea la magnitud de la remuneración de quien toma decisiones y la variabilidad asociada con ésta, relacionadas con los rendimientos esperados procedentes de la actividades de la participada, mayor será la probabilidad de que quien toma decisiones sea un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B69 Para determinar si quien toma decisiones es un principal o un agente se considerará también si existen las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remuneración de quien toma decisiones es acorde con los servicios prestados.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acuerdo de remuneración incluye solo cláusulas, condiciones o importes que están presentes habitualmente en acuerdos para servicios similares y el nivel de formación se ha negociado sobre una base de independencia.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B70 Quien toma decisiones puede no ser un agente a menos que las condiciones establecidas en el párrafo B69(a) y (b) estén presentes. Sin embargo, el cumplimiento de esas condiciones de forma aislada no es suficiente para concluir que quien toma decisiones es un agente.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Exposición a la variabilidad de rendimientos procedentes de otras participaciones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B71 Para evaluar si es un agente quien toma decisiones cuando éste último mantiene otras participaciones en una participada (por ejemplo inversiones en la participada o proporciona garantías con respecto al rendimiento de la participada), se considerará su exposición a la variabilidad de los rendimientos procedentes de esas participaciones. Mantener otras participaciones en una participada indica que quien toma decisiones puede ser un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B72 Al evaluar su exposición a la variabilidad de los rendimientos procedentes de otras participaciones en la participada quien toma decisiones considerará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Cuanto mayor sea la magnitud de sus intereses económicos y la variabilidad asociada a éstos, teniendo en cuenta su remuneración y otros intereses en total, mayor será la probabilidad de que quien toma decisiones sea el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su exposición a la variabilidad de los rendimientos es diferente a la de los otros inversores y, si así es, si ésta puede influir en sus acciones. Por ejemplo, este puede ser el caso de que quien toma decisiones mantenga participaciones subordinadas en una participada, o proporcione otras formas de mejora crediticia a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Quien toma decisiones evaluará su exposición con respecto a la variabilidad total de los rendimientos de la participada. Esta evaluación se realizará principalmente sobre la base de los rendimientos esperados de las actividades de la participada pero sin ignorar la </w:t>
      </w:r>
      <w:r w:rsidRPr="00401DFF">
        <w:rPr>
          <w:rFonts w:ascii="Times New Roman" w:eastAsia="Times New Roman" w:hAnsi="Times New Roman" w:cs="Times New Roman"/>
          <w:sz w:val="24"/>
          <w:szCs w:val="24"/>
          <w:lang w:eastAsia="es-CO"/>
        </w:rPr>
        <w:lastRenderedPageBreak/>
        <w:t>exposición máxima de quien toma decisiones a la variabilidad de los rendimientos de la participada a través de otras participaciones que mantenga quien toma decisiones.</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42"/>
        <w:gridCol w:w="216"/>
      </w:tblGrid>
      <w:tr w:rsidR="00401DFF" w:rsidRPr="00401DFF" w:rsidTr="00401DFF">
        <w:trPr>
          <w:tblCellSpacing w:w="15" w:type="dxa"/>
          <w:jc w:val="center"/>
        </w:trPr>
        <w:tc>
          <w:tcPr>
            <w:tcW w:w="90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90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13</w:t>
            </w:r>
            <w:r w:rsidRPr="00401DFF">
              <w:rPr>
                <w:rFonts w:ascii="Times New Roman" w:eastAsia="Times New Roman" w:hAnsi="Times New Roman" w:cs="Times New Roman"/>
                <w:sz w:val="24"/>
                <w:szCs w:val="24"/>
                <w:lang w:eastAsia="es-CO"/>
              </w:rPr>
              <w:br/>
              <w:t>Quien toma decisiones (gerente del fondo) establece, comercializa y gestiona un fondo regulado, cotizado en un mercado público de acuerdo con parámetros definidos detalladamente establecidos en el mandato de inversión tal como requieren sus leyes y regulaciones locales. El fondo se comercializó a los inversores como una inversión en una cartera diversificada de valores de patrimonio de entidades cotizadas en mercados públicos. Dentro de los parámetros definidos, el gerente del fondo tiene discreción sobre los activos en los que invertir. El gerente del fondo ha realizado una inversión proporcional del 10 por ciento en el fondo y recibe una comisión basada en el mercado por sus servicios igual al 1 por ciento del valor de los activos netos del fondo. Las comisiones son acordes con los servicios prestados. El gerente del fondo no tiene ninguna obligación de financiar pérdidas por encima del 10 por ciento de la inversión. No se requiere que el fondo establezca, y no ha establecido, un consejo de administración independiente. Los inversores no mantienen ningún derecho sustantivo que afectaría a la autoridad para tomar decisiones del gerente del fondo, pero puede rescatar sus participaciones dentro de límites particulares establecidos por el fondo.</w:t>
            </w:r>
          </w:p>
        </w:tc>
      </w:tr>
      <w:tr w:rsidR="00401DFF" w:rsidRPr="00401DFF" w:rsidTr="00401DFF">
        <w:trPr>
          <w:tblCellSpacing w:w="15" w:type="dxa"/>
          <w:jc w:val="center"/>
        </w:trPr>
        <w:tc>
          <w:tcPr>
            <w:tcW w:w="906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r w:rsidR="00401DFF" w:rsidRPr="00401DFF" w:rsidTr="00401DFF">
        <w:trPr>
          <w:gridAfter w:val="1"/>
          <w:wAfter w:w="180" w:type="dxa"/>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gridAfter w:val="1"/>
          <w:wAfter w:w="180" w:type="dxa"/>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Aunque operando dentro de los parámetros establecidos en el mandato de inversión y de acuerdo con los requerimientos de regulación, el gerente del fondo tiene derechos de toma de decisiones que le otorgan la capacidad presente de dirigir las actividades relevantes del fondo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los inversores no mantienen derechos sustantivos que puedan afectar la autoridad para tomar decisiones del gerente del fondo. El gerente del fondo recibe una comisión basada en el mercado por sus servicios que es acorde con el servicio prestado y tiene también una inversión proporcional en el fondo. La remuneración y su inversión exponen al gerente del fondo a la variabilidad de los rendimientos de las actividades del fondo sin crear una exposición que sea tan significativa que indique que el gerente del fondo es un principal.</w:t>
            </w:r>
            <w:r w:rsidRPr="00401DFF">
              <w:rPr>
                <w:rFonts w:ascii="Times New Roman" w:eastAsia="Times New Roman" w:hAnsi="Times New Roman" w:cs="Times New Roman"/>
                <w:sz w:val="24"/>
                <w:szCs w:val="24"/>
                <w:lang w:eastAsia="es-CO"/>
              </w:rPr>
              <w:br/>
              <w:t>En este ejemplo, la consideración de la exposición del gerente del fondo a la variabilidad de rendimientos del fondo junto con su autoridad para tomar decisiones dentro de los parámetros restringidos indica que el gerente del fondo es un agente. Por ello, el gerente del fondo concluye que no controla el fondo.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14</w:t>
            </w:r>
            <w:r w:rsidRPr="00401DFF">
              <w:rPr>
                <w:rFonts w:ascii="Times New Roman" w:eastAsia="Times New Roman" w:hAnsi="Times New Roman" w:cs="Times New Roman"/>
                <w:sz w:val="24"/>
                <w:szCs w:val="24"/>
                <w:lang w:eastAsia="es-CO"/>
              </w:rPr>
              <w:br/>
              <w:t xml:space="preserve">Quien toma decisiones establece, la comercialización y gestión de un fondo que proporciona oportunidades de inversión a un número de inversores. Quien toma decisiones (gerente del fondo) debe tomar decisiones en el mejor interés de todos los inversores y según los acuerdos que gobiernan el fondo. No obstante, el gerente del fondo tiene amplia discreción para tomar decisiones. El gerente del fondo recibe una comisión basada en el mercado por sus servicios igual al 1 por ciento de los activos gestionados y del 20 por ciento de todas las ganancias del fondo si se logra un nivel </w:t>
            </w:r>
            <w:r w:rsidRPr="00401DFF">
              <w:rPr>
                <w:rFonts w:ascii="Times New Roman" w:eastAsia="Times New Roman" w:hAnsi="Times New Roman" w:cs="Times New Roman"/>
                <w:sz w:val="24"/>
                <w:szCs w:val="24"/>
                <w:lang w:eastAsia="es-CO"/>
              </w:rPr>
              <w:lastRenderedPageBreak/>
              <w:t>especificado de ganancia. Las comisiones son acordes con los servicios prestados.</w:t>
            </w:r>
            <w:r w:rsidRPr="00401DFF">
              <w:rPr>
                <w:rFonts w:ascii="Times New Roman" w:eastAsia="Times New Roman" w:hAnsi="Times New Roman" w:cs="Times New Roman"/>
                <w:sz w:val="24"/>
                <w:szCs w:val="24"/>
                <w:lang w:eastAsia="es-CO"/>
              </w:rPr>
              <w:br/>
              <w:t>Aunque debe tomar decisiones en el mejor interés de todos los inversores, el gerente del fondo tiene amplia autoridad para tomar decisiones para dirigir las actividades relevantes del fondo. Al gerente del fondo se le pagan comisiones fijas y relacionadas con el rendimiento que son acordes con los servicios prestados. Además la remuneración alinea los intereses del gerente del fondo con los de los otros inversores para incrementar el valor del fondo, sin crear exposición a la variabilidad de los rendimientos de las actividades del fondo que sea tan significativa que la remuneración, cuando se considera aisladamente, indique que el gerente del fondo es un principal.</w:t>
            </w:r>
            <w:r w:rsidRPr="00401DFF">
              <w:rPr>
                <w:rFonts w:ascii="Times New Roman" w:eastAsia="Times New Roman" w:hAnsi="Times New Roman" w:cs="Times New Roman"/>
                <w:sz w:val="24"/>
                <w:szCs w:val="24"/>
                <w:lang w:eastAsia="es-CO"/>
              </w:rPr>
              <w:br/>
              <w:t>El patrón de conducta de hechos anterior y el análisis se aplica a los ejemplos 14A a 14D que se describen a continuación. Cada ejemplo se considera de forma aislada.</w:t>
            </w:r>
          </w:p>
        </w:tc>
      </w:tr>
      <w:tr w:rsidR="00401DFF" w:rsidRPr="00401DFF" w:rsidTr="00401DFF">
        <w:trPr>
          <w:gridAfter w:val="1"/>
          <w:wAfter w:w="180" w:type="dxa"/>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45"/>
        <w:gridCol w:w="213"/>
      </w:tblGrid>
      <w:tr w:rsidR="00401DFF" w:rsidRPr="00401DFF" w:rsidTr="00401DFF">
        <w:trPr>
          <w:tblCellSpacing w:w="15" w:type="dxa"/>
          <w:jc w:val="center"/>
        </w:trPr>
        <w:tc>
          <w:tcPr>
            <w:tcW w:w="918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918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14A</w:t>
            </w:r>
            <w:r w:rsidRPr="00401DFF">
              <w:rPr>
                <w:rFonts w:ascii="Times New Roman" w:eastAsia="Times New Roman" w:hAnsi="Times New Roman" w:cs="Times New Roman"/>
                <w:sz w:val="24"/>
                <w:szCs w:val="24"/>
                <w:lang w:eastAsia="es-CO"/>
              </w:rPr>
              <w:br/>
              <w:t>El gerente del fondo también tiene un 2 por ciento de inversión en el fondo que alinea sus intereses con los de los otros inversores. El gerente del fondo no tiene ninguna obligación de financiar pérdidas por encima del 2 por ciento de la inversión. Los inversores pueden destituir al gerente del fondo por mayoría simple de voto, pero solo por infracción del contrato.</w:t>
            </w:r>
            <w:r w:rsidRPr="00401DFF">
              <w:rPr>
                <w:rFonts w:ascii="Times New Roman" w:eastAsia="Times New Roman" w:hAnsi="Times New Roman" w:cs="Times New Roman"/>
                <w:sz w:val="24"/>
                <w:szCs w:val="24"/>
                <w:lang w:eastAsia="es-CO"/>
              </w:rPr>
              <w:br/>
              <w:t>La inversión del 2 por ciento del gerente del fondo incrementa su exposición a la variabilidad de los rendimientos de las actividades del fondo sin crear una exposición que sea tan significativa que indique que el gerente del fondo es un principal. Los derechos de los otros inversores a destituir al gerente del fondo se consideran derechos protectores porque solo son ejercitables en caso de infracción del contrato. En este ejemplo, aunque el gerente del fondo tiene amplia autoridad para tomar decisiones y está expuesto a la variabilidad de los rendimientos por su participación y remuneración, la exposición del gerente de fondo indica que éste es un agente. Por ello, el gerente del fondo concluye que no controla el fondo.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14B</w:t>
            </w:r>
            <w:r w:rsidRPr="00401DFF">
              <w:rPr>
                <w:rFonts w:ascii="Times New Roman" w:eastAsia="Times New Roman" w:hAnsi="Times New Roman" w:cs="Times New Roman"/>
                <w:sz w:val="24"/>
                <w:szCs w:val="24"/>
                <w:lang w:eastAsia="es-CO"/>
              </w:rPr>
              <w:br/>
              <w:t>El gerente del fondo tiene una inversión proporcional más que sustancial en el fondo, pero no tiene ninguna obligación de financiar pérdidas por encima de esa inversión. Los inversores pueden destituir al gerente del fondo por mayoría simple de voto, pero solo por infracción del contrato.</w:t>
            </w:r>
            <w:r w:rsidRPr="00401DFF">
              <w:rPr>
                <w:rFonts w:ascii="Times New Roman" w:eastAsia="Times New Roman" w:hAnsi="Times New Roman" w:cs="Times New Roman"/>
                <w:sz w:val="24"/>
                <w:szCs w:val="24"/>
                <w:lang w:eastAsia="es-CO"/>
              </w:rPr>
              <w:br/>
              <w:t xml:space="preserve">En este ejemplo, los derechos de los otros inversores a cesar al gerente del fondo se consideran derechos protectores porque solo son ejercitables en caso de infracción del contrato. Aunque se pagan al gerente del fondo comisiones fijas y relacionadas con el rendimiento que son acordes con los servicios prestados, la combinación de la inversión del gerente de fondo junto con su remuneración podrían crear una exposición a la variabilidad de los rendimientos de las actividades del fondo tan significativa que indique que el gerente del fondo es un principal. Cuanto mayor sea la magnitud de los intereses económicos del gerente del fondo, y la variabilidad asociada con éstos (considerando su remuneración y otros intereses en su totalidad), mayor será el énfasis que pondría el gerente del fondo en dichos intereses económicos en el análisis, y mayor será la probabilidad de que el gerente </w:t>
            </w:r>
            <w:r w:rsidRPr="00401DFF">
              <w:rPr>
                <w:rFonts w:ascii="Times New Roman" w:eastAsia="Times New Roman" w:hAnsi="Times New Roman" w:cs="Times New Roman"/>
                <w:sz w:val="24"/>
                <w:szCs w:val="24"/>
                <w:lang w:eastAsia="es-CO"/>
              </w:rPr>
              <w:lastRenderedPageBreak/>
              <w:t>del fondo sea un principal.</w:t>
            </w:r>
            <w:r w:rsidRPr="00401DFF">
              <w:rPr>
                <w:rFonts w:ascii="Times New Roman" w:eastAsia="Times New Roman" w:hAnsi="Times New Roman" w:cs="Times New Roman"/>
                <w:sz w:val="24"/>
                <w:szCs w:val="24"/>
                <w:lang w:eastAsia="es-CO"/>
              </w:rPr>
              <w:br/>
              <w:t>Por ejemplo, habiendo considerado su remuneración y los otros factores, el gerente del fondo puede considerar que un 20 por ciento de inversión sea suficiente para concluir que controla el fondo. Sin embargo, en circunstancias diferentes (es decir, si la remuneración u otros factores son diferentes), puede surgir control cuando el nivel de inversión sea diferente.</w:t>
            </w:r>
          </w:p>
        </w:tc>
      </w:tr>
      <w:tr w:rsidR="00401DFF" w:rsidRPr="00401DFF" w:rsidTr="00401DFF">
        <w:trPr>
          <w:tblCellSpacing w:w="15" w:type="dxa"/>
          <w:jc w:val="center"/>
        </w:trPr>
        <w:tc>
          <w:tcPr>
            <w:tcW w:w="9180"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rPr>
          <w:gridAfter w:val="1"/>
          <w:wAfter w:w="180" w:type="dxa"/>
          <w:tblCellSpacing w:w="15" w:type="dxa"/>
          <w:jc w:val="center"/>
        </w:trPr>
        <w:tc>
          <w:tcPr>
            <w:tcW w:w="92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gridAfter w:val="1"/>
          <w:wAfter w:w="180" w:type="dxa"/>
          <w:tblCellSpacing w:w="15" w:type="dxa"/>
          <w:jc w:val="center"/>
        </w:trPr>
        <w:tc>
          <w:tcPr>
            <w:tcW w:w="92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14C</w:t>
            </w:r>
            <w:r w:rsidRPr="00401DFF">
              <w:rPr>
                <w:rFonts w:ascii="Times New Roman" w:eastAsia="Times New Roman" w:hAnsi="Times New Roman" w:cs="Times New Roman"/>
                <w:sz w:val="24"/>
                <w:szCs w:val="24"/>
                <w:lang w:eastAsia="es-CO"/>
              </w:rPr>
              <w:br/>
              <w:t>El gerente del fondo tiene una inversión proporcional en el fondo, pero no tiene ninguna obligación de financiar pérdidas por encima de su 20 por ciento de inversión. El fondo tiene un consejo de administración, cuyos miembros son independientes del gerente del fondo y son nombrados por los otros inversores. El consejo nombra anualmente al gerente de fondo. Si el consejo decide no renovar el contrato del gerente de fondo, los servicios prestados por éste podrían prestarse por otros gerentes del sector industrial.</w:t>
            </w:r>
            <w:r w:rsidRPr="00401DFF">
              <w:rPr>
                <w:rFonts w:ascii="Times New Roman" w:eastAsia="Times New Roman" w:hAnsi="Times New Roman" w:cs="Times New Roman"/>
                <w:sz w:val="24"/>
                <w:szCs w:val="24"/>
                <w:lang w:eastAsia="es-CO"/>
              </w:rPr>
              <w:br/>
              <w:t xml:space="preserve">Aunque se pagan al gerente del fondo comisiones fijas y relacionadas con el rendimiento que son acordes con los servicios prestados, la combinación de la inversión del 20 por ciento del gerente de fondo junto con su remuneración podrían crear una exposición a la variabilidad de los rendimientos de las actividades del fondo tan significativa que indique que el gerente del fondo es un principal. Sin embargo, los inversores tienen derechos sustanciales para destituir al gerente del fondo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el consejo de administración proporciona un mecanismo para asegurar que los inversores pueden cesar al gerente del fondo si decidieran hacerlo.</w:t>
            </w:r>
            <w:r w:rsidRPr="00401DFF">
              <w:rPr>
                <w:rFonts w:ascii="Times New Roman" w:eastAsia="Times New Roman" w:hAnsi="Times New Roman" w:cs="Times New Roman"/>
                <w:sz w:val="24"/>
                <w:szCs w:val="24"/>
                <w:lang w:eastAsia="es-CO"/>
              </w:rPr>
              <w:br/>
              <w:t>En este ejemplo, el gerente del fondo pone en el análisis mayor énfasis en los derechos de destitución sustantivos. Por ello, aunque el gerente del fondo tiene amplia autoridad para tomar decisiones y está expuesto a la variabilidad de los rendimientos del fondo por remuneración e inversión, los derechos sustantivos mantenidos por los otros inversores indican que el gerente del fondo es un agente. Por ello, el gerente del fondo concluye que no controla el fondo.</w:t>
            </w:r>
          </w:p>
        </w:tc>
      </w:tr>
      <w:tr w:rsidR="00401DFF" w:rsidRPr="00401DFF" w:rsidTr="00401DFF">
        <w:trPr>
          <w:gridAfter w:val="1"/>
          <w:wAfter w:w="180" w:type="dxa"/>
          <w:tblCellSpacing w:w="15" w:type="dxa"/>
          <w:jc w:val="center"/>
        </w:trPr>
        <w:tc>
          <w:tcPr>
            <w:tcW w:w="921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45"/>
        <w:gridCol w:w="213"/>
      </w:tblGrid>
      <w:tr w:rsidR="00401DFF" w:rsidRPr="00401DFF" w:rsidTr="00401DFF">
        <w:trPr>
          <w:tblCellSpacing w:w="15" w:type="dxa"/>
          <w:jc w:val="center"/>
        </w:trPr>
        <w:tc>
          <w:tcPr>
            <w:tcW w:w="922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922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15</w:t>
            </w:r>
            <w:r w:rsidRPr="00401DFF">
              <w:rPr>
                <w:rFonts w:ascii="Times New Roman" w:eastAsia="Times New Roman" w:hAnsi="Times New Roman" w:cs="Times New Roman"/>
                <w:sz w:val="24"/>
                <w:szCs w:val="24"/>
                <w:lang w:eastAsia="es-CO"/>
              </w:rPr>
              <w:br/>
              <w:t xml:space="preserve">Una participada se crea para comprar una cartera de valores garantizados por activos a tasa fija, financiada por instrumentos de deuda a tasa fija e instrumentos de patrimonio. Los instrumentos de patrimonio se diseñan para proporcionar protección de las primeras pérdidas a los inversores de deuda y recibir los rendimientos residuales de la participada. La transacción se comercializó entre inversores de deuda potenciales como una inversión en una cartera de valores garantizados por activos con exposición al riesgo de crédito asociado con el posible incumplimiento de los emisores de los valores garantizados por activos de la cartera y al riesgo de tasa de interés asociado con la gestión de la cartera. En el momento de la formación, los instrumentos de patrimonio representan el 10 por ciento del </w:t>
            </w:r>
            <w:r w:rsidRPr="00401DFF">
              <w:rPr>
                <w:rFonts w:ascii="Times New Roman" w:eastAsia="Times New Roman" w:hAnsi="Times New Roman" w:cs="Times New Roman"/>
                <w:sz w:val="24"/>
                <w:szCs w:val="24"/>
                <w:lang w:eastAsia="es-CO"/>
              </w:rPr>
              <w:lastRenderedPageBreak/>
              <w:t>valor de los activos comprados. Quien toma decisiones (el gerente de los activos) gestiona la cartera de activos de forma activa tomando decisiones de inversión dentro de los parámetros establecidos en el folleto informativo de la participada. Por esos servicios, el gerente de los activos recibe una comisión fija basada en el mercado (es decir, un 1 por ciento de los activos que gestiona) y comisiones relacionadas con el rendimiento (es decir un 10 por ciento de las ganancias) si las ganancias de la participada superan un nivel especificado. Las comisiones son acordes con los servicios prestados. El gerente de los activos mantiene un 35 por ciento del patrimonio en la participada. El 65 por ciento restante del patrimonio, y todos los instrumentos de deuda, se mantienen por un gran número de inversores ampliamente dispersos que no son partes relacionadas. El gerente de los activos puede ser destituido, sin motivo, por decisión de los otros inversores por mayoría simple.</w:t>
            </w:r>
            <w:r w:rsidRPr="00401DFF">
              <w:rPr>
                <w:rFonts w:ascii="Times New Roman" w:eastAsia="Times New Roman" w:hAnsi="Times New Roman" w:cs="Times New Roman"/>
                <w:sz w:val="24"/>
                <w:szCs w:val="24"/>
                <w:lang w:eastAsia="es-CO"/>
              </w:rPr>
              <w:br/>
              <w:t>Al gerente del fondo se le pagan comisiones fijas y relacionadas con el rendimiento que son acordes con los servicios prestados. La remuneración alinea los intereses del gerente de fondo con los de los otros inversores para incrementar el valor del fondo. El gerente de los activos tiene exposición a la variabilidad de los rendimientos procedentes de las actividades del fondo porque mantiene el 35 por ciento del patrimonio y por su remuneración.</w:t>
            </w:r>
            <w:r w:rsidRPr="00401DFF">
              <w:rPr>
                <w:rFonts w:ascii="Times New Roman" w:eastAsia="Times New Roman" w:hAnsi="Times New Roman" w:cs="Times New Roman"/>
                <w:sz w:val="24"/>
                <w:szCs w:val="24"/>
                <w:lang w:eastAsia="es-CO"/>
              </w:rPr>
              <w:br/>
              <w:t xml:space="preserve">Aunque opera dentro de los parámetros establecidos en el folleto informativo de la participada, el gerente de los activos tiene la capacidad presente de tomar decisiones de inversión que afectan de forma significativa a los rendimientos de la participada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los derechos de destitución mantenidos por los otros inversores tienen poco peso en el análisis porque esos derechos se mantienen por un gran número de inversores ampliamente dispersos. En este ejemplo, el gerente de los activos pone mayor énfasis en su exposición a la variabilidad de los rendimientos del fondo procedentes de su participación en el patrimonio, que se subordina a los instrumentos de deuda. La participación del 35 por ciento del patrimonio crea una exposición subordinada a pérdidas y derechos a los rendimientos de la participada, que son tan significativos que indica que el gerente de los activos es el principal. Por ello, el gerente de los activos concluye que controla la participada.</w:t>
            </w:r>
          </w:p>
        </w:tc>
      </w:tr>
      <w:tr w:rsidR="00401DFF" w:rsidRPr="00401DFF" w:rsidTr="00401DFF">
        <w:trPr>
          <w:tblCellSpacing w:w="15" w:type="dxa"/>
          <w:jc w:val="center"/>
        </w:trPr>
        <w:tc>
          <w:tcPr>
            <w:tcW w:w="922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rPr>
          <w:gridAfter w:val="1"/>
          <w:wAfter w:w="180" w:type="dxa"/>
          <w:tblCellSpacing w:w="15" w:type="dxa"/>
          <w:jc w:val="center"/>
        </w:trPr>
        <w:tc>
          <w:tcPr>
            <w:tcW w:w="92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gridAfter w:val="1"/>
          <w:wAfter w:w="180" w:type="dxa"/>
          <w:tblCellSpacing w:w="15" w:type="dxa"/>
          <w:jc w:val="center"/>
        </w:trPr>
        <w:tc>
          <w:tcPr>
            <w:tcW w:w="92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16</w:t>
            </w:r>
            <w:r w:rsidRPr="00401DFF">
              <w:rPr>
                <w:rFonts w:ascii="Times New Roman" w:eastAsia="Times New Roman" w:hAnsi="Times New Roman" w:cs="Times New Roman"/>
                <w:sz w:val="24"/>
                <w:szCs w:val="24"/>
                <w:lang w:eastAsia="es-CO"/>
              </w:rPr>
              <w:br/>
              <w:t xml:space="preserve">Quien toma decisiones (el patrocinador) patrocina una entidad conducto multi-venta, que emite instrumentos de deuda a corto plazo a inversores que no son partes relacionadas. La transacción se comercializa a los inversores potenciales como una inversión en una cartera de activos a medio plazo con tasas altas con exposición mínima al riesgo de crédito asociado con el posible incumplimiento de los emisores de los activos de la cartera. Varios transferidores venden carteras de activos a medio plazo de alta calidad a la entidad conducto. Cada transferidor atiende el servicio de la cartera de activos que vende a la entidad conducto y gestiona los derechos por cobrar en el momento del incumplimiento por una comisión de administración basada en el mercado. Cada transferidor también proporciona protección de las primeras pérdidas contra las pérdidas de créditos procedentes de su cartera de activos mediante una garantía de los activos transferidos a la entidad conducto superior a la necesaria. El patrocinador establece las cláusulas de la entidad conducto y gestiona las operaciones de ésta por una comisión </w:t>
            </w:r>
            <w:r w:rsidRPr="00401DFF">
              <w:rPr>
                <w:rFonts w:ascii="Times New Roman" w:eastAsia="Times New Roman" w:hAnsi="Times New Roman" w:cs="Times New Roman"/>
                <w:sz w:val="24"/>
                <w:szCs w:val="24"/>
                <w:lang w:eastAsia="es-CO"/>
              </w:rPr>
              <w:lastRenderedPageBreak/>
              <w:t>basada en el mercado. La comisión es acorde con los servicios prestados. El patrocinador aprueba a los vendedores a los que se les permite vender a la entidad conducto, aprueba los activos a comprar por la entidad conducto y toma decisiones sobre la financiación de ésta. El patrocinador debe actual en el mejor interés de todos los inversores.</w:t>
            </w:r>
            <w:r w:rsidRPr="00401DFF">
              <w:rPr>
                <w:rFonts w:ascii="Times New Roman" w:eastAsia="Times New Roman" w:hAnsi="Times New Roman" w:cs="Times New Roman"/>
                <w:sz w:val="24"/>
                <w:szCs w:val="24"/>
                <w:lang w:eastAsia="es-CO"/>
              </w:rPr>
              <w:br/>
              <w:t>El patrocinador tiene derecho a los rendimientos residuales de la entidad conducto y también proporciona a la entidad conducto mejoras del crédito y liquidez. La mejora del crédito proporcionada por el patrocinador absorbe pérdidas de hasta el 5 por ciento de todos los activos de la entidad conducto después de que las pérdidas sean absorbidas por el transferidor. Los servicios de liquidez no se adelantan contra los activos incumplidos. Los inversores no mantienen derechos sustantivos que podrían afectar a la autoridad para tomar decisiones del patrocinador.</w:t>
            </w:r>
          </w:p>
        </w:tc>
      </w:tr>
      <w:tr w:rsidR="00401DFF" w:rsidRPr="00401DFF" w:rsidTr="00401DFF">
        <w:trPr>
          <w:gridAfter w:val="1"/>
          <w:wAfter w:w="180" w:type="dxa"/>
          <w:tblCellSpacing w:w="15" w:type="dxa"/>
          <w:jc w:val="center"/>
        </w:trPr>
        <w:tc>
          <w:tcPr>
            <w:tcW w:w="924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22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922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Aún cuando se paga al patrocinador una comisión sobre la base del mercado por sus servicios que es acorde con los servicios prestados, éste está expuesto a la variabilidad de los rendimientos por las actividades de la entidad conducto debido a sus derechos a los rendimientos residuales de la entidad conducto y la provisión de mejoras de crédito y liquidez (es decir la entidad conducto está expuesta al riesgo de liquidez por utilizar instrumentos de deuda a corto plazo para financiar activos a medio plazo. Aún cuando cada uno de los transferidores tenga derechos para la toma de decisiones que afectan al valor de los activos de la entidad conducto, el patrocinador tiene una autoridad amplia para tomar decisiones que le otorga la capacidad presente de dirigir las actividades que afectan de forma </w:t>
            </w:r>
            <w:r w:rsidRPr="00401DFF">
              <w:rPr>
                <w:rFonts w:ascii="Times New Roman" w:eastAsia="Times New Roman" w:hAnsi="Times New Roman" w:cs="Times New Roman"/>
                <w:i/>
                <w:iCs/>
                <w:sz w:val="24"/>
                <w:szCs w:val="24"/>
                <w:lang w:eastAsia="es-CO"/>
              </w:rPr>
              <w:t>más</w:t>
            </w:r>
            <w:r w:rsidRPr="00401DFF">
              <w:rPr>
                <w:rFonts w:ascii="Times New Roman" w:eastAsia="Times New Roman" w:hAnsi="Times New Roman" w:cs="Times New Roman"/>
                <w:sz w:val="24"/>
                <w:szCs w:val="24"/>
                <w:lang w:eastAsia="es-CO"/>
              </w:rPr>
              <w:t xml:space="preserve"> significativa a los rendimientos de la entidad conducto [es decir, el patrocinador estableció las condiciones de la entidad conducto, tiene el derecho a tomar decisiones sobre los activos (aprobación de los activos comprados y de los transferidores de esos activos) y la financiación de la entidad conducto (cuya nueva inversión debe financiarse de forma regular)]. El derecho a los rendimientos residuales de la entidad conducto y la provisión de mejoras crediticias y liquidez exponen al patrocinador a la variabilidad de los rendimientos de las actividades de la entidad conducto que es diferente de la de los otros inversores. Por consiguiente, esa exposición indica que el patrocinador es un principal y, por ello, el patrocinador concluye que controla la entidad conducto. La obligación del patrocinador de actuar en el mejor interés de todos los inversores no impide que el patrocinador sea un principal.</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Relación con otras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B73 Al evaluar el control, un inversor considerará la naturaleza de su relación con otras partes y si éstas están actuando en nombre del inversor (es decir, son “agentes </w:t>
      </w:r>
      <w:r w:rsidRPr="00401DFF">
        <w:rPr>
          <w:rFonts w:ascii="Times New Roman" w:eastAsia="Times New Roman" w:hAnsi="Times New Roman" w:cs="Times New Roman"/>
          <w:i/>
          <w:iCs/>
          <w:sz w:val="24"/>
          <w:szCs w:val="24"/>
          <w:lang w:eastAsia="es-CO"/>
        </w:rPr>
        <w:t>de facto”).</w:t>
      </w:r>
      <w:r w:rsidRPr="00401DFF">
        <w:rPr>
          <w:rFonts w:ascii="Times New Roman" w:eastAsia="Times New Roman" w:hAnsi="Times New Roman" w:cs="Times New Roman"/>
          <w:sz w:val="24"/>
          <w:szCs w:val="24"/>
          <w:lang w:eastAsia="es-CO"/>
        </w:rPr>
        <w:t xml:space="preserve"> La determinación de si otras partes están actuando como agentes </w:t>
      </w:r>
      <w:r w:rsidRPr="00401DFF">
        <w:rPr>
          <w:rFonts w:ascii="Times New Roman" w:eastAsia="Times New Roman" w:hAnsi="Times New Roman" w:cs="Times New Roman"/>
          <w:i/>
          <w:iCs/>
          <w:sz w:val="24"/>
          <w:szCs w:val="24"/>
          <w:lang w:eastAsia="es-CO"/>
        </w:rPr>
        <w:t xml:space="preserve">de facto </w:t>
      </w:r>
      <w:r w:rsidRPr="00401DFF">
        <w:rPr>
          <w:rFonts w:ascii="Times New Roman" w:eastAsia="Times New Roman" w:hAnsi="Times New Roman" w:cs="Times New Roman"/>
          <w:sz w:val="24"/>
          <w:szCs w:val="24"/>
          <w:lang w:eastAsia="es-CO"/>
        </w:rPr>
        <w:t>requiere de juicio profesional, considerando no solo la naturaleza de la relación sino también la forma en que esas partes interactúan entre ellas y 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B74 Esta relación no necesita involucrar un acuerdo contractual. Una parte es un agente </w:t>
      </w:r>
      <w:r w:rsidRPr="00401DFF">
        <w:rPr>
          <w:rFonts w:ascii="Times New Roman" w:eastAsia="Times New Roman" w:hAnsi="Times New Roman" w:cs="Times New Roman"/>
          <w:i/>
          <w:iCs/>
          <w:sz w:val="24"/>
          <w:szCs w:val="24"/>
          <w:lang w:eastAsia="es-CO"/>
        </w:rPr>
        <w:t xml:space="preserve">de facto </w:t>
      </w:r>
      <w:r w:rsidRPr="00401DFF">
        <w:rPr>
          <w:rFonts w:ascii="Times New Roman" w:eastAsia="Times New Roman" w:hAnsi="Times New Roman" w:cs="Times New Roman"/>
          <w:sz w:val="24"/>
          <w:szCs w:val="24"/>
          <w:lang w:eastAsia="es-CO"/>
        </w:rPr>
        <w:t xml:space="preserve">cuando el inversor tiene, o tienen los que dirigen las actividades del inversor, la capacidad de dirigir a esa parte para que actúe en su nombre. En estas circunstancias, el inversor considerará los derechos de toma de decisiones del agente </w:t>
      </w:r>
      <w:r w:rsidRPr="00401DFF">
        <w:rPr>
          <w:rFonts w:ascii="Times New Roman" w:eastAsia="Times New Roman" w:hAnsi="Times New Roman" w:cs="Times New Roman"/>
          <w:i/>
          <w:iCs/>
          <w:sz w:val="24"/>
          <w:szCs w:val="24"/>
          <w:lang w:eastAsia="es-CO"/>
        </w:rPr>
        <w:t>de facto</w:t>
      </w:r>
      <w:r w:rsidRPr="00401DFF">
        <w:rPr>
          <w:rFonts w:ascii="Times New Roman" w:eastAsia="Times New Roman" w:hAnsi="Times New Roman" w:cs="Times New Roman"/>
          <w:sz w:val="24"/>
          <w:szCs w:val="24"/>
          <w:lang w:eastAsia="es-CO"/>
        </w:rPr>
        <w:t xml:space="preserve"> y su exposición indirecta, o derechos, a rendimientos variables a través del agente </w:t>
      </w:r>
      <w:r w:rsidRPr="00401DFF">
        <w:rPr>
          <w:rFonts w:ascii="Times New Roman" w:eastAsia="Times New Roman" w:hAnsi="Times New Roman" w:cs="Times New Roman"/>
          <w:i/>
          <w:iCs/>
          <w:sz w:val="24"/>
          <w:szCs w:val="24"/>
          <w:lang w:eastAsia="es-CO"/>
        </w:rPr>
        <w:t xml:space="preserve">de facto </w:t>
      </w:r>
      <w:r w:rsidRPr="00401DFF">
        <w:rPr>
          <w:rFonts w:ascii="Times New Roman" w:eastAsia="Times New Roman" w:hAnsi="Times New Roman" w:cs="Times New Roman"/>
          <w:sz w:val="24"/>
          <w:szCs w:val="24"/>
          <w:lang w:eastAsia="es-CO"/>
        </w:rPr>
        <w:t>junto con los suyos propios al evaluar el control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B75 Los siguientes son ejemplos de estas otras partes que, mediante la naturaleza de sus relaciones, pueden actuar como agente </w:t>
      </w:r>
      <w:r w:rsidRPr="00401DFF">
        <w:rPr>
          <w:rFonts w:ascii="Times New Roman" w:eastAsia="Times New Roman" w:hAnsi="Times New Roman" w:cs="Times New Roman"/>
          <w:i/>
          <w:iCs/>
          <w:sz w:val="24"/>
          <w:szCs w:val="24"/>
          <w:lang w:eastAsia="es-CO"/>
        </w:rPr>
        <w:t>de facto</w:t>
      </w:r>
      <w:r w:rsidRPr="00401DFF">
        <w:rPr>
          <w:rFonts w:ascii="Times New Roman" w:eastAsia="Times New Roman" w:hAnsi="Times New Roman" w:cs="Times New Roman"/>
          <w:sz w:val="24"/>
          <w:szCs w:val="24"/>
          <w:lang w:eastAsia="es-CO"/>
        </w:rPr>
        <w:t xml:space="preserve">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Partes relacionadas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Una parte que recibe su participación en la participada como una aportación o préstamo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parte que ha acordado no vender, transferir o gravar sus participaciones en la participada sin la aprobación previa del inversor (excepto en situaciones en las que el inversor y la otra parte tengan el derecho a la aprobación previa y los derechos se basen en cláusulas mutuamente acordadas por partes independientes interesadas.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parte que no puede financiar sus operaciones sin el apoyo financiero subordinado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Una participada para la que la mayoría de los miembros de su órgano de gobierno o para la que su personal clave de la gerencia son los mismos que los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Una parte que tiene una relación de negocio estrecha con el inversor, tales como la relación entre un suministrador de servicios profesionales y uno de sus clientes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 de activos especificados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B76 Un inversor valorará si trata una parte de una participada como una entidad considerada por separado y, si es así, si controla dicha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B77 Un inversor tratará una parte de una participada como una entidad considerada por separado si y solo si se satisfacen las siguientes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activos especificados de la participada (y las mejoras crediticias relacionadas, si las hubiera) son la única fuente de pago de los pasivos especificados de la participada o de otras participaciones especificadas de ésta. Las partes distintas de aquellas con el pasivo especificado no tienen derechos u obligaciones relacionadas con los activos especificados o con los flujos de efectivo residuales procedentes de esos activos. En esencia, ningún rendimiento procedente de los activos especificados puede utilizarse por lo que resta de la participada y ningún pasivo de la entidad considerada por separado puede pagarse con los activos de lo que resta de la participada. Por ello, en esencia, todos los activos, pasivos y </w:t>
      </w:r>
      <w:r w:rsidRPr="00401DFF">
        <w:rPr>
          <w:rFonts w:ascii="Times New Roman" w:eastAsia="Times New Roman" w:hAnsi="Times New Roman" w:cs="Times New Roman"/>
          <w:sz w:val="24"/>
          <w:szCs w:val="24"/>
          <w:lang w:eastAsia="es-CO"/>
        </w:rPr>
        <w:lastRenderedPageBreak/>
        <w:t>patrimonio de la entidad considerada por separado están protegidos de la participada global. Esta entidad considerada por separado se denomina habitualmente un “silo”.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B78 Cuando la condición del párrafo B77 se satisface, un inversor identificará las actividades que afectan significativamente a los rendimientos de la entidad considerada por separado y la forma en que se dirigen esas actividades para evaluar si tiene poder sobre esa parte de la participada. Al evaluar el control de la entidad considerada por separado, el inversor considerará también si está expuesta o tiene derechos a los rendimientos variables por su implicación en esa entidad considerada por separado y la capacidad de utilizar su poder sobre esa parte de la participada para influir en el importe de rendimientos del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B79 Si el inversor controla la entidad considerada por separado, el inversor consolidará esa parte de la participada. En ese caso, otras partes excluirán esa parte de la participada al evaluar el control de la participada y al consolidarla.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continua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B80 Un inversor evaluará nuevamente si controla una participada si los hechos y circunstancias indican que existen cambios en uno o más de los tres elementos de control enumerados en el párrafo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B81 Si existe un cambio en la forma en que puede ejercerse el poder sobre una participada, ese cambio debe reflejarse en la forma en que un inversor evalúa su poder sobre una participada. Por ejemplo, los cambios en los derechos de toma de decisiones pueden significar que las actividades relevantes han dejado de ser dirigidas a través de los derechos de voto, sino que en su lugar otros acuerdos, tales como contratos, otorgan a otra parte o partes la capacidad presente de dirigir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B82 Un suceso puede ocasionar que un inversor gane o pierda poder sobre una participada sin que el inversor se encuentre involucrado en ese suceso. Por ejemplo, un inversor puede ganar poder sobre una participada porque los derechos de toma de decisiones mantenidos por otra parte o partes que anteriormente impedían al inversor controlar una participada han caducado.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B83 Un inversor también considerará los cambios que afecten a su exposición, o derechos, a rendimientos variables por su implicación en esa participada. Por ejemplo, un inversor que tiene poder sobre una participada puede perder el control de ésta si el inversor deja de tener derecho a recibir rendimientos o de estar expuesto a obligaciones, porque el inversor no haya satisfecho el párrafo 7(b) (por ejemplo si se termina un contrato para recibir comisiones relacionadas con el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B84 Un inversor considerará si su evaluación de que actúa como un agente o un principal ha cambiado. Los cambios en la relación global entre el inversor y otras partes puede significar que un inversor ha dejado de actuar como un agente, aún cuando haya actuado previamente como un agente y viceversa. Por ejemplo, si los cambios en los derechos del </w:t>
      </w:r>
      <w:r w:rsidRPr="00401DFF">
        <w:rPr>
          <w:rFonts w:ascii="Times New Roman" w:eastAsia="Times New Roman" w:hAnsi="Times New Roman" w:cs="Times New Roman"/>
          <w:sz w:val="24"/>
          <w:szCs w:val="24"/>
          <w:lang w:eastAsia="es-CO"/>
        </w:rPr>
        <w:lastRenderedPageBreak/>
        <w:t>inversor, o de otras partes, tienen lugar, el inversor reconsiderará su estatus como un principal o un agente.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B85 La evaluación inicial de un inversor del control o su estatus como principal o agente no cambiaría simplemente debido a un cambio en las condiciones de mercado (por ejemplo un cambio en los rendimientos de la participada producidos por condiciones del mercado), a menos que el cambio en las condiciones de mercado modifiquen uno o más de los tres elementos de control enumerados en el párrafo 7 o cambios en la relación global entre un principal y un agente.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Requerimientos de contabilización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Procedimientos de consolidación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B86 Los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Combinan partidas similares de activos, pasivos, patrimonio, ingresos y gastos y flujos de efectivo de la controladora con los de sus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Compensan (eliminan) el importe en libros de la inversión de la controladora en cada subsidiaria y la parte de la controladora en el patrimonio de cada subsidiaria (la NIIF 3 explica la forma de contabilizar la plusvalía relacionada).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Eliminan en su totalidad los activos y pasivos, patrimonio, ingresos, gastos y flujos de efectivo intragrupo relacionados con transacciones entre las entidades del grupo (resultados del periodo procedente de transacciones intragrupo que están reconocidos en activos, tales como inventarios y activos fijos, se eliminan totalmente). Las pérdidas intragrupo pueden indicar un deterioro de valor, que requerirá su reconocimiento en los estados financieros consolidados. La NIC 12 </w:t>
      </w:r>
      <w:r w:rsidRPr="00401DFF">
        <w:rPr>
          <w:rFonts w:ascii="Times New Roman" w:eastAsia="Times New Roman" w:hAnsi="Times New Roman" w:cs="Times New Roman"/>
          <w:i/>
          <w:iCs/>
          <w:sz w:val="24"/>
          <w:szCs w:val="24"/>
          <w:lang w:eastAsia="es-CO"/>
        </w:rPr>
        <w:t>Impuesto a las Ganancias</w:t>
      </w:r>
      <w:r w:rsidRPr="00401DFF">
        <w:rPr>
          <w:rFonts w:ascii="Times New Roman" w:eastAsia="Times New Roman" w:hAnsi="Times New Roman" w:cs="Times New Roman"/>
          <w:sz w:val="24"/>
          <w:szCs w:val="24"/>
          <w:lang w:eastAsia="es-CO"/>
        </w:rPr>
        <w:t xml:space="preserve"> se aplicará a las diferencias temporarias que surjan como consecuencia de la eliminación de las ganancias y pérdidas derivadas de las transacciones intragrupo.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Políticas contables uniformes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B87 Si un miembro del grupo utiliza políticas contables diferentes de las adoptadas en los estados financieros consolidados, para transacciones y otros sucesos similares en circunstancias parecidas, se realizarán los ajustes adecuados en los estados financieros de los miembros del grupo al elaborar los estados financieros consolidados para asegurar la conformidad con las políticas contables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B88 Una entidad incluirá los ingresos y gastos de una subsidiaria en los estados financieros consolidados desde la fecha en que obtenga el control hasta la fecha en que cese dicho control sobre la subsidiaria. Los ingresos y gastos de la subsidiaria deberán basarse en los importes de los activos y pasivos reconocidos en los estados financieros consolidados en la </w:t>
      </w:r>
      <w:r w:rsidRPr="00401DFF">
        <w:rPr>
          <w:rFonts w:ascii="Times New Roman" w:eastAsia="Times New Roman" w:hAnsi="Times New Roman" w:cs="Times New Roman"/>
          <w:sz w:val="24"/>
          <w:szCs w:val="24"/>
          <w:lang w:eastAsia="es-CO"/>
        </w:rPr>
        <w:lastRenderedPageBreak/>
        <w:t>fecha de la adquisición. Por ejemplo, un gasto por depreciación reconocido en el estado del resultado integral consolidado después de la fecha de la adquisición se basará en los valores razonables de los activos depreciables relacionados reconocidos en los estados financieros consolidados en la fecha de la adquisición.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Derechos de voto potenciales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B89 Cuando existan derechos de voto potenciales, u otros instrumentos derivados que contengan derechos de voto potenciales, la proporción del resultado del periodo y cambios en el patrimonio asignados a la controladora y a las participaciones no controladoras al preparar los estados financieros consolidados se determinará únicamente sobre la base de las participaciones en la propiedad existentes y no reflejarán el posible ejercicio o conversión de derechos de voto potenciales y otros instrumentos derivados, a menos de que se aplique el párrafo B90.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B90 En algunas circunstancias, una entidad tiene, en esencia, una participación en la propiedad que existe como resultado de una transacción que le da acceso, en ese momento, a los rendimientos asociados con una participación en la propiedad. En estas circunstancias, la proporción asignada a la controladora y participaciones no controladoras al elaborar los estados financieros consolidados, se determinará teniendo en cuenta el ejercicio eventual de esos derechos de voto potenciales y otros instrumentos derivados que dan acceso a la entidad a los rendimientos en ese momento.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B91 La NIIF 9 no se aplicará a participaciones en subsidiarias que se consoliden. Cuando los instrumentos que contienen derechos de voto potenciales dan en esencia, en ese momento, acceso a los rendimientos asociados con la participación en la propiedad de una subsidiaria, los instrumentos no están sujetos los requerimientos de la NIIF 9. En los demás casos, los instrumentos que contengan derechos de voto potenciales en una subsidiaria se contabilizarán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B92 Los estados financieros de la controladora y de sus subsidiarias, utilizados para la elaboración de los estados financieros consolidados, deberán estar referidos a la misma fecha de presentación. Cuando los finales de los períodos sobre los que informan la controladora y una de las subsidiarias fueran diferentes, ésta última elaborará, a efectos de la consolidación, información financiera adicional a la misma fecha que los estados financieros de la controladora para permitir a ésta consolidar la información financiera de la subsidiaria, a menos que sea impracticable hacerlo.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B93 Si fuera impracticable hacerlo, la controladora consolidará la información financiera de la subsidiaria utilizando los estados financieros más recientes de ésta ajustados por los efectos de transacciones significativas o sucesos que tengan lugar entre la fecha de esos estados financieros y la fecha de los estados financieros consolidados. En cualquier caso, la diferencia entre la fecha de los estados financieros de la subsidiaria y la de los estados financieros consolidados no será mayor de tres meses, y la duración de los periodos sobre </w:t>
      </w:r>
      <w:r w:rsidRPr="00401DFF">
        <w:rPr>
          <w:rFonts w:ascii="Times New Roman" w:eastAsia="Times New Roman" w:hAnsi="Times New Roman" w:cs="Times New Roman"/>
          <w:sz w:val="24"/>
          <w:szCs w:val="24"/>
          <w:lang w:eastAsia="es-CO"/>
        </w:rPr>
        <w:lastRenderedPageBreak/>
        <w:t>los que se informa y cualquier diferencia entre las fechas de los estados financieros será la misma de periodo 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B94 Una entidad atribuirá el resultado del periodo y cada componente de otro resultado integral a los propietarios de la controladora y a las participaciones no controladoras. La entidad atribuirá también el resultado integral total a los propietarios de la controladora y a las participaciones no controladoras incluso si los resultados de las participaciones no controladoras dan lugar a un saldo deudor.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B95 Si una subsidiaria tiene en circulación acciones preferentes con derechos acumulativos que estén clasificados como patrimonio, y cuyos tenedores sean las participaciones no controladoras, la entidad computará su participación en el resultado del periodo después de ajustar los dividendos de estas acciones, al margen de que éstos hayan sido declarados o no.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Cambios en la proporción mantenida por las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B96 Cuando cambie la proporción de patrimonio mantenido por las participaciones no controladoras, una entidad ajustará los importes en libros de las participaciones controladoras y no controladoras para reflejar los cambios en sus participaciones relativas en la subsidiaria. La entidad reconocerá directamente en patrimonio la diferencia entre el importe por el que se ajusten las participaciones no controladoras y el valor razonable de la contraprestación pagada o recibida y atribuida a los propietarios de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B97 Una controladora puede perder el control de una subsidiaria en dos o más acuerdos (transacciones). Sin embargo, algunas veces las circunstancias indican que los acuerdos múltiples deben contabilizarse como una transacción única. Para determinar si los acuerdos se han de contabilizar como una única transacción, una controladora considerará todas las cláusulas y condiciones de dichos acuerdos y sus efectos económicos. Uno o varios de los siguientes indicios indican que una controladora debería contabilizar los acuerdos múltiples como una única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Son realizados en el mismo momento o teniendo en cuenta el uno al otro.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Forman una transacción única diseñada para lograr un efecto comercial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hecho de que ocurra un acuerdo depende de al menos uno de los otros acuerdos.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 acuerdo considerado en sí mismo no está económicamente justificado, pero sí lo está cuando se le considera juntamente con otros. Un ejemplo es cuando el precio de una disposición de acciones se fija por debajo del mercado y se compensa con otra posterior a un precio superior al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B98 Cuando una controladora pierda el control de una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dará de baja en cuentas: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activos (incluyendo la plusvalía) y pasivos de la subsidiaria por su importe en libros en la fecha en que se perdió el control;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importe en libros de todas las participaciones no controladoras en la anterior subsidiaria en la fecha en que se pierda el control (incluyendo todos los componentes de otro resultado integral atribuible a las mismas);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reconocerá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valor razonable de la contraprestación recibida, si la hubiera, por la transacción, suceso o circunstancias que diera lugar a la 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cuando la transacción, suceso o circunstancia que dé lugar a la pérdida de control conlleve una distribución de acciones de la subsidiaria a los propietarios en su condición de tales, dicha distribución;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inversión conservada en la que anteriormente fue subsidiaria por su valor razonable en la fecha en que se pierda 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Reclasificará el resultado del periodo, o transferirá directamente a ganancias acumuladas si se requiere por otras NIIF, los importes reconocidos en otro resultado integral en relación con la subsidiaria sobre la base descrita en el párrafo B99.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Reconocerá toda diferencia resultante como ganancia o pérdida en el resultado del periodo atribuible a la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B99 Si una controladora pierde el control de una subsidiaria, la primera contabilizará todos los importes anteriormente reconocidos en otro resultado integral en relación con esa subsidiaria sobre la misma base que se habría requerido si la controladora hubiera dispuesto los activos o pasivos relacionados. Por ello, cuando se pierda el control de una subsidiaria, si una ganancia o pérdida anteriormente reconocida en otro resultado integral se hubiera reclasificado al resultado del periodo por la disposición de los activos o pasivos relacionados, la controladora reclasificará la ganancia o pérdida de patrimonio al resultado del periodo (como un ajuste por reclasificación). Cuando se pierda el control de una subsidiaria, si un superávit de revaluación anteriormente reconocido en otro resultado integral se hubiera transferido directamente a ganancias acumuladas por la disposición del activo, la controladora transferirá el superávit de revaluación directamente a ganancias acumuladas.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lastRenderedPageBreak/>
        <w:t>Este apéndice forma parte integral de la NIIF y tiene el mismo carácter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C1 Una entidad aplicará esta NIIF en los periodos anuales que comiencen a partir del 1 de enero de 2013. Se permite su aplicación anticipada. Si una entidad aplica esta NIIF de forma anticipada, revelará ese hecho y aplicará al mismo tiempo la NIIF 11, NIIF 12, NIC 27 </w:t>
      </w:r>
      <w:r w:rsidRPr="00401DFF">
        <w:rPr>
          <w:rFonts w:ascii="Times New Roman" w:eastAsia="Times New Roman" w:hAnsi="Times New Roman" w:cs="Times New Roman"/>
          <w:i/>
          <w:iCs/>
          <w:sz w:val="24"/>
          <w:szCs w:val="24"/>
          <w:lang w:eastAsia="es-CO"/>
        </w:rPr>
        <w:t xml:space="preserve">Estados Financieros Separados </w:t>
      </w:r>
      <w:r w:rsidRPr="00401DFF">
        <w:rPr>
          <w:rFonts w:ascii="Times New Roman" w:eastAsia="Times New Roman" w:hAnsi="Times New Roman" w:cs="Times New Roman"/>
          <w:sz w:val="24"/>
          <w:szCs w:val="24"/>
          <w:lang w:eastAsia="es-CO"/>
        </w:rPr>
        <w:t>y NIC 28 (modificadas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C2 Una entidad aplicará esta NIIF retroactivamente, de acuerdo con la NIC 8 </w:t>
      </w:r>
      <w:r w:rsidRPr="00401DFF">
        <w:rPr>
          <w:rFonts w:ascii="Times New Roman" w:eastAsia="Times New Roman" w:hAnsi="Times New Roman" w:cs="Times New Roman"/>
          <w:i/>
          <w:iCs/>
          <w:sz w:val="24"/>
          <w:szCs w:val="24"/>
          <w:lang w:eastAsia="es-CO"/>
        </w:rPr>
        <w:t>Políticas Contables, Cambios en Estimaciones Contables y Errores,</w:t>
      </w:r>
      <w:r w:rsidRPr="00401DFF">
        <w:rPr>
          <w:rFonts w:ascii="Times New Roman" w:eastAsia="Times New Roman" w:hAnsi="Times New Roman" w:cs="Times New Roman"/>
          <w:sz w:val="24"/>
          <w:szCs w:val="24"/>
          <w:lang w:eastAsia="es-CO"/>
        </w:rPr>
        <w:t xml:space="preserve"> excepto por lo especificado en los párrafos C3 a C6.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C3 Al aplicar esta NIIF por primera vez, no se requiere que una entidad realice ajustes a la contabilidad por su implicación cuando: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las entidades que estaban consolidadas anteriormente de acuerdo con la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y SIC-12 </w:t>
      </w:r>
      <w:r w:rsidRPr="00401DFF">
        <w:rPr>
          <w:rFonts w:ascii="Times New Roman" w:eastAsia="Times New Roman" w:hAnsi="Times New Roman" w:cs="Times New Roman"/>
          <w:i/>
          <w:iCs/>
          <w:sz w:val="24"/>
          <w:szCs w:val="24"/>
          <w:lang w:eastAsia="es-CO"/>
        </w:rPr>
        <w:t>Consolidación-Entidades de Cometido Específico,</w:t>
      </w:r>
      <w:r w:rsidRPr="00401DFF">
        <w:rPr>
          <w:rFonts w:ascii="Times New Roman" w:eastAsia="Times New Roman" w:hAnsi="Times New Roman" w:cs="Times New Roman"/>
          <w:sz w:val="24"/>
          <w:szCs w:val="24"/>
          <w:lang w:eastAsia="es-CO"/>
        </w:rPr>
        <w:t xml:space="preserve"> continúan siendo consolidadas de acuerdo con esta NIIF;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entidades que estaban anteriormente sin consolidar de acuerdo con la NIC 27 y SIC-12 y, de acuerdo con esta NIIF, continúan sin ser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C4 Cuando la aplicación de esta NIIF por primera vez dé lugar a que un inversor consolide una participada que no estaba consolidada de acuerdo con la NIC 27 y la SIC-12 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la participada es un negocio (tal como se define en la NIIF 3), medirá los activos, pasivos y participaciones no controladoras en esa participada no consolidada con anterioridad en la fecha de la aplicación inicial como si esa participada hubiera sido consolidada (y por ello aplicó la contabilidad de adquisición de acuerdo con la NIIF 3) desde la fecha en que inversor obtuvo el control de esa participada sobre la base de los requerimientos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participada no es un negocio (tal como se define en la NIIF 3), medirá los activos, pasivos y participaciones no controladoras en esa participada no consolidada con anterioridad en la fecha de la aplicación inicial como si esa participada hubiera sido consolidada (aplicando el método de la adquisición de acuerdo con la NIIF 3 sin reconocer ninguna plusvalía procedente de la participada) desde la fecha en que inversor obtuvo el control de esa participada sobre la base de los requerimientos de esta NIIF. Las diferencias entre el importe de los activos, pasivos y participaciones no controladoras reconocidas y el importe en libros anterior de la implicación del inversor en la participada se reconocerá como un ajuste que corresponde al saldo de apertura de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si es impracticable la medición de los activos, pasivos y participación no controladora de acuerdo con (a) o (b) (tal como se define en la NIC 8), el inversor: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la participación es un negocio, aplicará los requerimientos de la NIIF 3. La fecha de adquisición atribuida será el comienzo del primer periodo en el que fue practicable la aplicación de la NIIF 3, que podrá ser el periodo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la participada no es un negocio, aplicará el método de la adquisición como se describe en la NIIF 3 sin reconocer la plusvalía de la participada a partir de la fecha de adquisición atribuida. La fecha de adquisición atribuida será el comienzo del primer periodo en el que fue practicable la aplicación de este párrafo, que podrá ser el periodo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inversor reconocerá las diferencias entre el importe de los activos, pasivos y participaciones no controladoras reconocidos en la fecha de adquisición atribuida y los importes reconocidos con anterioridad a partir de su implicación como un ajuste en el patrimonio de ese periodo. Además, el inversor proporcionará información comparativa e información a revelar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C5 Cuando la aplicación de esta NIIF por primera vez dé lugar a que un inversor deje de consolidar una participada que era consolidada de acuerdo con la NIC 27 (modificada en 2008) y la SIC-12, el inversor medirá la participación conservada en la participada en la fecha de la aplicación inicial al importe al que hubiera sido medida si los requerimientos de esta NIIF hubieran estado vigentes cuando el inversor pasó a estar involucrado en la participada o perdió el control de ésta. Si la medición de la participación conservada es impracticable (como se define en la NIC 8), el inversor aplicará los requerimientos de esta NIIF para contabilizar una pérdida de control al comienzo del primer periodo para el que es practicable la aplicación de esta NIIF, que podrá ser el periodo presente. El inversor reconocerá las diferencias entre el importe de los activos, pasivos y participaciones no controladoras anteriormente reconocidos y el importe de la implicación del inversor con la participada como un ajuste en el patrimonio de ese periodo. Además, el inversor proporcionará información comparativa e información a revelar de acuerdo con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C6 Los párrafos 23, 25, B94, B96 a B99 fueron modificaciones a la NIC 27 realizadas en 2008 que se trasladaron a la NIIF 10. Excepto cuando una entidad aplique el párrafo C3, la entidad aplicará los requerimientos de esos párrafos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entidad no reexpresará la atribución del resultado del periodo a periodos sobre los que se informa anteriores si aplica la modificación del párrafo B94 por primera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requerimientos de los párrafos 23 y B96 sobre la contabilidad de los cambios en las participaciones en la propiedad de una subsidiaria después de obtener el control no se aplicarán a los cambios que tengan lugar antes de que una entidad aplique estas modificaciones por primera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Una entidad no reexpresará el importe en libros de una inversión en una antigua subsidiaria si el control se perdió antes de la aplicación por primera vez de las </w:t>
      </w:r>
      <w:r w:rsidRPr="00401DFF">
        <w:rPr>
          <w:rFonts w:ascii="Times New Roman" w:eastAsia="Times New Roman" w:hAnsi="Times New Roman" w:cs="Times New Roman"/>
          <w:sz w:val="24"/>
          <w:szCs w:val="24"/>
          <w:lang w:eastAsia="es-CO"/>
        </w:rPr>
        <w:lastRenderedPageBreak/>
        <w:t>modificaciones de los párrafos 25 y B97 a B99. Además, una entidad no recalculará ganancia o pérdida alguna por la pérdida de control de una subsidiaria que haya ocurrido antes de que se apliquen por primera vez las modificaciones de los párrafos 25 y B97 a B99.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C7 Si una entidad aplica esta NIIF pero no aplica todavía la NIIF 9, cualquier referencia en esta NIIF a la NIIF 9 deberá interpretarse como una referencia a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C8 Esta NIIF deroga los requerimientos relativos a los estados financieros consolidados de la NIC 27 (modificada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C9 Esta NIIF también deroga la SIC-12 </w:t>
      </w:r>
      <w:r w:rsidRPr="00401DFF">
        <w:rPr>
          <w:rFonts w:ascii="Times New Roman" w:eastAsia="Times New Roman" w:hAnsi="Times New Roman" w:cs="Times New Roman"/>
          <w:i/>
          <w:iCs/>
          <w:sz w:val="24"/>
          <w:szCs w:val="24"/>
          <w:lang w:eastAsia="es-CO"/>
        </w:rPr>
        <w:t>Consolidación-Entidades de Cometido Específico</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 El objetivo de esta NIIF es establecer los principios para la presentación de información financiera por entidades que tengan una participación en acuerdos que son controlados conjuntamente (es decir </w:t>
      </w:r>
      <w:r w:rsidRPr="00401DFF">
        <w:rPr>
          <w:rFonts w:ascii="Times New Roman" w:eastAsia="Times New Roman" w:hAnsi="Times New Roman" w:cs="Times New Roman"/>
          <w:b/>
          <w:bCs/>
          <w:i/>
          <w:i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Cumplimiento del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Para cumplir el objetivo del párrafo 1, esta NIIF define </w:t>
      </w:r>
      <w:r w:rsidRPr="00401DFF">
        <w:rPr>
          <w:rFonts w:ascii="Times New Roman" w:eastAsia="Times New Roman" w:hAnsi="Times New Roman" w:cs="Times New Roman"/>
          <w:i/>
          <w:iCs/>
          <w:sz w:val="24"/>
          <w:szCs w:val="24"/>
          <w:lang w:eastAsia="es-CO"/>
        </w:rPr>
        <w:t>control conjunto</w:t>
      </w:r>
      <w:r w:rsidRPr="00401DFF">
        <w:rPr>
          <w:rFonts w:ascii="Times New Roman" w:eastAsia="Times New Roman" w:hAnsi="Times New Roman" w:cs="Times New Roman"/>
          <w:sz w:val="24"/>
          <w:szCs w:val="24"/>
          <w:lang w:eastAsia="es-CO"/>
        </w:rPr>
        <w:t xml:space="preserve"> y requiere que una entidad que es una </w:t>
      </w:r>
      <w:r w:rsidRPr="00401DFF">
        <w:rPr>
          <w:rFonts w:ascii="Times New Roman" w:eastAsia="Times New Roman" w:hAnsi="Times New Roman" w:cs="Times New Roman"/>
          <w:i/>
          <w:iCs/>
          <w:sz w:val="24"/>
          <w:szCs w:val="24"/>
          <w:lang w:eastAsia="es-CO"/>
        </w:rPr>
        <w:t>parte de un acuerdo conjunto</w:t>
      </w:r>
      <w:r w:rsidRPr="00401DFF">
        <w:rPr>
          <w:rFonts w:ascii="Times New Roman" w:eastAsia="Times New Roman" w:hAnsi="Times New Roman" w:cs="Times New Roman"/>
          <w:sz w:val="24"/>
          <w:szCs w:val="24"/>
          <w:lang w:eastAsia="es-CO"/>
        </w:rPr>
        <w:t xml:space="preserve"> determine el tipo de acuerdo conjunto en el que se encuentra involucrada mediante la evaluación de sus derechos y obligaciones y contabilice dichos derechos y obligaciones de acuerdo con el tipo de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 Esta NIIF se aplicará por todas la entidades que sean una parte de un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 Un acuerdo conjunto es un acuerdo mediante el cual dos o más partes mantienen control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Un acuerdo conjunto tiene las siguientes características: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Las partes están obligadas por un acuerdo contractual (véanse los párrafos B2 a B4).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El acuerdo contractual otorga a dos o más de esas partes control conjunto sobre el acuerdo (véanse los párrafos 7 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6 Un acuerdo conjunto es una </w:t>
      </w:r>
      <w:r w:rsidRPr="00401DFF">
        <w:rPr>
          <w:rFonts w:ascii="Times New Roman" w:eastAsia="Times New Roman" w:hAnsi="Times New Roman" w:cs="Times New Roman"/>
          <w:b/>
          <w:bCs/>
          <w:i/>
          <w:iCs/>
          <w:sz w:val="24"/>
          <w:szCs w:val="24"/>
          <w:lang w:eastAsia="es-CO"/>
        </w:rPr>
        <w:t>operación conjunta</w:t>
      </w:r>
      <w:r w:rsidRPr="00401DFF">
        <w:rPr>
          <w:rFonts w:ascii="Times New Roman" w:eastAsia="Times New Roman" w:hAnsi="Times New Roman" w:cs="Times New Roman"/>
          <w:b/>
          <w:bCs/>
          <w:sz w:val="24"/>
          <w:szCs w:val="24"/>
          <w:lang w:eastAsia="es-CO"/>
        </w:rPr>
        <w:t xml:space="preserve"> o un </w:t>
      </w:r>
      <w:r w:rsidRPr="00401DFF">
        <w:rPr>
          <w:rFonts w:ascii="Times New Roman" w:eastAsia="Times New Roman" w:hAnsi="Times New Roman" w:cs="Times New Roman"/>
          <w:b/>
          <w:bCs/>
          <w:i/>
          <w:iCs/>
          <w:sz w:val="24"/>
          <w:szCs w:val="24"/>
          <w:lang w:eastAsia="es-CO"/>
        </w:rPr>
        <w:t>negocio conjunto</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7 </w:t>
      </w:r>
      <w:r w:rsidRPr="00401DFF">
        <w:rPr>
          <w:rFonts w:ascii="Times New Roman" w:eastAsia="Times New Roman" w:hAnsi="Times New Roman" w:cs="Times New Roman"/>
          <w:b/>
          <w:bCs/>
          <w:i/>
          <w:iCs/>
          <w:sz w:val="24"/>
          <w:szCs w:val="24"/>
          <w:lang w:eastAsia="es-CO"/>
        </w:rPr>
        <w:t>Control conjunto</w:t>
      </w:r>
      <w:r w:rsidRPr="00401DFF">
        <w:rPr>
          <w:rFonts w:ascii="Times New Roman" w:eastAsia="Times New Roman" w:hAnsi="Times New Roman" w:cs="Times New Roman"/>
          <w:b/>
          <w:bCs/>
          <w:sz w:val="24"/>
          <w:szCs w:val="24"/>
          <w:lang w:eastAsia="es-CO"/>
        </w:rPr>
        <w:t xml:space="preserve"> es el reparto del control contractualmente decidido de un acuerdo, que existe solo cuando las decisiones sobre las actividades relevantes requieren el consentimiento unánime de las partes que comparten el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Una entidad que es una parte de un acuerdo evaluará si el acuerdo conjunto otorga a todas las partes, o a un grupo de las partes, control del acuerdo de forma colectiva. Todas las partes, o un grupo de las partes, controlan el acuerdo de forma colectiva cuando deben actuar conjuntamente para dirigir las actividades que afectan de forma significativa a los rendimientos del acuerdo (es decir las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Una vez ha sido determinado que todas las partes, o un grupo de las partes, controlan el acuerdo de forma colectiva, existe control conjunto solo cuando las decisiones sobre las actividades relevantes requieren del consentimiento unánime de las partes que controlan el acuerdo de forma colectiva.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En un acuerdo conjunto, ninguna parte individualmente controla el acuerdo por sí misma. Una parte con control conjunto de un acuerdo puede impedir que cualquiera de las otras partes, o grupo de las partes, controle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11 Un acuerdo puede ser un acuerdo conjunto aún cuando no todas las partes tienen control conjunto del acuerdo. Esta NIIF distingue entre partes que tienen control conjunto de un acuerdo conjunto </w:t>
      </w:r>
      <w:r w:rsidRPr="00401DFF">
        <w:rPr>
          <w:rFonts w:ascii="Times New Roman" w:eastAsia="Times New Roman" w:hAnsi="Times New Roman" w:cs="Times New Roman"/>
          <w:i/>
          <w:iCs/>
          <w:sz w:val="24"/>
          <w:szCs w:val="24"/>
          <w:lang w:eastAsia="es-CO"/>
        </w:rPr>
        <w:t>(operadores conjuntos</w:t>
      </w:r>
      <w:r w:rsidRPr="00401DFF">
        <w:rPr>
          <w:rFonts w:ascii="Times New Roman" w:eastAsia="Times New Roman" w:hAnsi="Times New Roman" w:cs="Times New Roman"/>
          <w:sz w:val="24"/>
          <w:szCs w:val="24"/>
          <w:lang w:eastAsia="es-CO"/>
        </w:rPr>
        <w:t xml:space="preserve"> o </w:t>
      </w:r>
      <w:r w:rsidRPr="00401DFF">
        <w:rPr>
          <w:rFonts w:ascii="Times New Roman" w:eastAsia="Times New Roman" w:hAnsi="Times New Roman" w:cs="Times New Roman"/>
          <w:i/>
          <w:iCs/>
          <w:sz w:val="24"/>
          <w:szCs w:val="24"/>
          <w:lang w:eastAsia="es-CO"/>
        </w:rPr>
        <w:t>participantes en un negocio conjunto)</w:t>
      </w:r>
      <w:r w:rsidRPr="00401DFF">
        <w:rPr>
          <w:rFonts w:ascii="Times New Roman" w:eastAsia="Times New Roman" w:hAnsi="Times New Roman" w:cs="Times New Roman"/>
          <w:sz w:val="24"/>
          <w:szCs w:val="24"/>
          <w:lang w:eastAsia="es-CO"/>
        </w:rPr>
        <w:t xml:space="preserve"> y las partes que participan en un acuerdo conjunto pero no tienen control conjunto sobre éste.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Una entidad necesitará aplicar el juicio profesional al evaluar si todas las partes o un grupo de las partes, tiene control conjunto de un acuerdo. Una entidad realizará esta evaluación considerando todos los hechos y circunstancias (véanse los párrafos B5 a B11).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Si cambian los hechos y circunstancias, una entidad evaluará nuevamente si todavía tiene control conjunto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Tipos de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14 Una entidad determinará el tipo de acuerdo conjunto en el que está involucrada. La clasificación de un acuerdo conjunto como una operación conjunta o un negocio </w:t>
      </w:r>
      <w:r w:rsidRPr="00401DFF">
        <w:rPr>
          <w:rFonts w:ascii="Times New Roman" w:eastAsia="Times New Roman" w:hAnsi="Times New Roman" w:cs="Times New Roman"/>
          <w:b/>
          <w:bCs/>
          <w:sz w:val="24"/>
          <w:szCs w:val="24"/>
          <w:lang w:eastAsia="es-CO"/>
        </w:rPr>
        <w:lastRenderedPageBreak/>
        <w:t>conjunto dependerá de los derechos y obligaciones de las partes con respecto al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Una operación conjunta es un acuerdo conjunto mediante el cual las partes que tienen control conjunto del acuerdo tienen derecho a los activos y obligaciones con respecto a los pasivos, relacionados con el acuerdo. Esas partes se denominan operadores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Un negocio conjunto es un acuerdo conjunto mediante el cual las partes que tienen control conjunto del acuerdo tienen derecho a los activos netos del acuerdo. Esas partes se denominan participantes en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Una entidad aplicará el juicio profesional al evaluar si un acuerdo conjunto es una operación conjunta o un negocio conjunto. Una entidad determinará el tipo de acuerdo conjunto en el que está involucrada considerando sus derechos y obligaciones surgidos del acuerdo. Una entidad evaluará sus derechos y obligaciones considerando la estructura y forma legal del acuerdo, las cláusulas acordadas por las partes en el acuerdo contractual y, otros factores y circunstancias, cuando sean relevantes (véanse los párrafos B12 a B33).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En ocasiones las partes se encuentran limitadas por un acuerdo marco que establece las cláusulas contractuales generales para llevar a cabo una o más actividades. El acuerdo marco puede contemplar que las partes establezcan acuerdos conjuntos diferentes para tratar actividades específicas que forman parte del acuerdo. Aún cuando esos acuerdos conjuntos se relacionen con el mismo acuerdo marco, su tipo puede ser diferente si los derechos y obligaciones de las partes difieren cuando llevan a cabo las distintas actividades contempladas en el acuerdo marco. Por consiguiente, operaciones conjuntas y negocios conjuntos pueden coexistir cuando las partes llevan a cabo actividades diferentes que forman parte del mismo acuerdo marco.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Si cambian los hechos y circunstancias, una entidad evaluará nuevamente si ha cambiado el tipo de acuerdo conjunto en que está involucrada.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de las partes de un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Operaciones conjuntas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Un operador conjunto reconocerá en relación con su participación en una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sus activos, incluyendo su participación en los activos mantenidos conjuntamente;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sus pasivos, incluyendo su participación en los pasivos incurridos conjuntamente;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sus ingresos de actividades ordinarias procedentes de la venta de su participación en el producto que surge de la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 su participación en los ingresos de actividades ordinarias procedentes de la venta del producto que realiza la operación conjunta;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 sus gastos, incluyendo su participación en los gastos incurridos conjuntamente.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 operador conjunto contabilizará los activos, pasivos, ingresos de actividades ordinarias y gastos relativos a su participación en una operación conjunta de acuerdo con las NIIF aplicables en particular a los activos, pasivos, ingresos de actividades ordinarias y gastos.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La contabilidad de transacciones tales como la venta, aportación o compra de activos entre una entidad y una operación conjunta en la que es un operador conjunto se especifica en los párrafos B34 a B37.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Una parte que participa en una operación conjunta, pero no tiene control conjunto de ésta, contabilizará también su participación en el acuerdo según los párrafos 20 a 22, si esa parte tiene derecho a los activos y obligaciones con respecto a los pasivos, relativos a la operación conjunta. Si una parte participa en una operación conjunta, pero no tiene el control conjunto de ésta, ni tiene derecho a los activos y obligaciones con respecto a los pasivos, relativos a esa operación conjunta, contabilizará su participación en la operación conjunta de acuerdo con las NIIF aplicables a esa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24 Un participante en un negocio conjunto reconocerá su participación en un negocio conjunto como una inversión y contabilizará esa inversión utilizando el método de la participación de acuerdo con la NIC 28 </w:t>
      </w:r>
      <w:r w:rsidRPr="00401DFF">
        <w:rPr>
          <w:rFonts w:ascii="Times New Roman" w:eastAsia="Times New Roman" w:hAnsi="Times New Roman" w:cs="Times New Roman"/>
          <w:b/>
          <w:bCs/>
          <w:i/>
          <w:iCs/>
          <w:sz w:val="24"/>
          <w:szCs w:val="24"/>
          <w:lang w:eastAsia="es-CO"/>
        </w:rPr>
        <w:t>Inversiones en Asociadas y Negocios Conjuntos</w:t>
      </w:r>
      <w:r w:rsidRPr="00401DFF">
        <w:rPr>
          <w:rFonts w:ascii="Times New Roman" w:eastAsia="Times New Roman" w:hAnsi="Times New Roman" w:cs="Times New Roman"/>
          <w:b/>
          <w:bCs/>
          <w:sz w:val="24"/>
          <w:szCs w:val="24"/>
          <w:lang w:eastAsia="es-CO"/>
        </w:rPr>
        <w:t xml:space="preserve"> a menos que la entidad esté exenta de aplicar el método de la participación tal como se especifica en esa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Una parte que participa en un negocio conjunto, pero no tiene el control conjunto de éste, contabilizará su participación en el acuerdo según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a menos que tenga una influencia significativa sobre el negocio conjunto, en cuyo caso lo contabilizará de acuerdo con la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26 En sus estados financieros separados, un operador conjunto o participante en un negocio conjunto contabilizará su participación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operación conjunta de acuerdo con los párrafos 20 a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un negocio conjunto de acuerdo con el párrafo 10 de la NIC 27 </w:t>
      </w:r>
      <w:r w:rsidRPr="00401DFF">
        <w:rPr>
          <w:rFonts w:ascii="Times New Roman" w:eastAsia="Times New Roman" w:hAnsi="Times New Roman" w:cs="Times New Roman"/>
          <w:b/>
          <w:bCs/>
          <w:i/>
          <w:iCs/>
          <w:sz w:val="24"/>
          <w:szCs w:val="24"/>
          <w:lang w:eastAsia="es-CO"/>
        </w:rPr>
        <w:t>Estados Financieros Separados</w:t>
      </w:r>
      <w:r w:rsidRPr="00401DFF">
        <w:rPr>
          <w:rFonts w:ascii="Times New Roman" w:eastAsia="Times New Roman" w:hAnsi="Times New Roman" w:cs="Times New Roman"/>
          <w:b/>
          <w:b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27 En sus estados financieros separados, una parte que participe en un acuerdo conjunto, pero no tenga el control conjunto sobre éste, contabilizará su participación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una operación conjunta de acuerdo con el párrafo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negocio conjunto de acuerdo con las NIIF 9, a menos que la entidad tenga influencia significativa sobre el negocio conjunto, en cuyo caso aplicará el párrafo 10 de la NIC 27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00"/>
        <w:gridCol w:w="4428"/>
      </w:tblGrid>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acuerdo por el cual dos o más partes tienen </w:t>
            </w:r>
            <w:r w:rsidRPr="00401DFF">
              <w:rPr>
                <w:rFonts w:ascii="Times New Roman" w:eastAsia="Times New Roman" w:hAnsi="Times New Roman" w:cs="Times New Roman"/>
                <w:b/>
                <w:bCs/>
                <w:sz w:val="24"/>
                <w:szCs w:val="24"/>
                <w:lang w:eastAsia="es-CO"/>
              </w:rPr>
              <w:t>control conjunto.</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reparto del control contractualmente decidido de un acuerdo, que existe solo cuando las decisiones sobre las actividades relevantes requieren el consentimiento unánime de las partes que comparten el control.</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w:t>
            </w:r>
            <w:r w:rsidRPr="00401DFF">
              <w:rPr>
                <w:rFonts w:ascii="Times New Roman" w:eastAsia="Times New Roman" w:hAnsi="Times New Roman" w:cs="Times New Roman"/>
                <w:b/>
                <w:bCs/>
                <w:sz w:val="24"/>
                <w:szCs w:val="24"/>
                <w:lang w:eastAsia="es-CO"/>
              </w:rPr>
              <w:t>acuerdo conjunto</w:t>
            </w:r>
            <w:r w:rsidRPr="00401DFF">
              <w:rPr>
                <w:rFonts w:ascii="Times New Roman" w:eastAsia="Times New Roman" w:hAnsi="Times New Roman" w:cs="Times New Roman"/>
                <w:sz w:val="24"/>
                <w:szCs w:val="24"/>
                <w:lang w:eastAsia="es-CO"/>
              </w:rPr>
              <w:t xml:space="preserve">mediante el cual las partes que tienen </w:t>
            </w:r>
            <w:r w:rsidRPr="00401DFF">
              <w:rPr>
                <w:rFonts w:ascii="Times New Roman" w:eastAsia="Times New Roman" w:hAnsi="Times New Roman" w:cs="Times New Roman"/>
                <w:b/>
                <w:bCs/>
                <w:sz w:val="24"/>
                <w:szCs w:val="24"/>
                <w:lang w:eastAsia="es-CO"/>
              </w:rPr>
              <w:t>control conjunto</w:t>
            </w:r>
            <w:r w:rsidRPr="00401DFF">
              <w:rPr>
                <w:rFonts w:ascii="Times New Roman" w:eastAsia="Times New Roman" w:hAnsi="Times New Roman" w:cs="Times New Roman"/>
                <w:sz w:val="24"/>
                <w:szCs w:val="24"/>
                <w:lang w:eastAsia="es-CO"/>
              </w:rPr>
              <w:t xml:space="preserve"> del acuerdo tienen derecho a los activos netos de éste.</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operación conjunta</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 </w:t>
            </w:r>
            <w:r w:rsidRPr="00401DFF">
              <w:rPr>
                <w:rFonts w:ascii="Times New Roman" w:eastAsia="Times New Roman" w:hAnsi="Times New Roman" w:cs="Times New Roman"/>
                <w:b/>
                <w:bCs/>
                <w:sz w:val="24"/>
                <w:szCs w:val="24"/>
                <w:lang w:eastAsia="es-CO"/>
              </w:rPr>
              <w:t>acuerdo conjunto</w:t>
            </w:r>
            <w:r w:rsidRPr="00401DFF">
              <w:rPr>
                <w:rFonts w:ascii="Times New Roman" w:eastAsia="Times New Roman" w:hAnsi="Times New Roman" w:cs="Times New Roman"/>
                <w:sz w:val="24"/>
                <w:szCs w:val="24"/>
                <w:lang w:eastAsia="es-CO"/>
              </w:rPr>
              <w:t xml:space="preserve">mediante el cual las partes que tienen </w:t>
            </w:r>
            <w:r w:rsidRPr="00401DFF">
              <w:rPr>
                <w:rFonts w:ascii="Times New Roman" w:eastAsia="Times New Roman" w:hAnsi="Times New Roman" w:cs="Times New Roman"/>
                <w:b/>
                <w:bCs/>
                <w:sz w:val="24"/>
                <w:szCs w:val="24"/>
                <w:lang w:eastAsia="es-CO"/>
              </w:rPr>
              <w:t>control conjunto</w:t>
            </w:r>
            <w:r w:rsidRPr="00401DFF">
              <w:rPr>
                <w:rFonts w:ascii="Times New Roman" w:eastAsia="Times New Roman" w:hAnsi="Times New Roman" w:cs="Times New Roman"/>
                <w:sz w:val="24"/>
                <w:szCs w:val="24"/>
                <w:lang w:eastAsia="es-CO"/>
              </w:rPr>
              <w:t xml:space="preserve"> del acuerdo tienen derecho a los activos y obligaciones con respecto a los pasivos, relacionados con el acuerdo.</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operador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parte de una </w:t>
            </w:r>
            <w:r w:rsidRPr="00401DFF">
              <w:rPr>
                <w:rFonts w:ascii="Times New Roman" w:eastAsia="Times New Roman" w:hAnsi="Times New Roman" w:cs="Times New Roman"/>
                <w:b/>
                <w:bCs/>
                <w:sz w:val="24"/>
                <w:szCs w:val="24"/>
                <w:lang w:eastAsia="es-CO"/>
              </w:rPr>
              <w:t>operación conjunta</w:t>
            </w:r>
            <w:r w:rsidRPr="00401DFF">
              <w:rPr>
                <w:rFonts w:ascii="Times New Roman" w:eastAsia="Times New Roman" w:hAnsi="Times New Roman" w:cs="Times New Roman"/>
                <w:sz w:val="24"/>
                <w:szCs w:val="24"/>
                <w:lang w:eastAsia="es-CO"/>
              </w:rPr>
              <w:t xml:space="preserve"> que tiene </w:t>
            </w:r>
            <w:r w:rsidRPr="00401DFF">
              <w:rPr>
                <w:rFonts w:ascii="Times New Roman" w:eastAsia="Times New Roman" w:hAnsi="Times New Roman" w:cs="Times New Roman"/>
                <w:b/>
                <w:bCs/>
                <w:sz w:val="24"/>
                <w:szCs w:val="24"/>
                <w:lang w:eastAsia="es-CO"/>
              </w:rPr>
              <w:t>control conjunto</w:t>
            </w:r>
            <w:r w:rsidRPr="00401DFF">
              <w:rPr>
                <w:rFonts w:ascii="Times New Roman" w:eastAsia="Times New Roman" w:hAnsi="Times New Roman" w:cs="Times New Roman"/>
                <w:sz w:val="24"/>
                <w:szCs w:val="24"/>
                <w:lang w:eastAsia="es-CO"/>
              </w:rPr>
              <w:t>sobre ésta.</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parte de un acuerdo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entidad que participa en un </w:t>
            </w:r>
            <w:r w:rsidRPr="00401DFF">
              <w:rPr>
                <w:rFonts w:ascii="Times New Roman" w:eastAsia="Times New Roman" w:hAnsi="Times New Roman" w:cs="Times New Roman"/>
                <w:b/>
                <w:bCs/>
                <w:sz w:val="24"/>
                <w:szCs w:val="24"/>
                <w:lang w:eastAsia="es-CO"/>
              </w:rPr>
              <w:t>acuerdo conjunto</w:t>
            </w:r>
            <w:r w:rsidRPr="00401DFF">
              <w:rPr>
                <w:rFonts w:ascii="Times New Roman" w:eastAsia="Times New Roman" w:hAnsi="Times New Roman" w:cs="Times New Roman"/>
                <w:sz w:val="24"/>
                <w:szCs w:val="24"/>
                <w:lang w:eastAsia="es-CO"/>
              </w:rPr>
              <w:t xml:space="preserve">, independientemente de si esa entidad tiene </w:t>
            </w:r>
            <w:r w:rsidRPr="00401DFF">
              <w:rPr>
                <w:rFonts w:ascii="Times New Roman" w:eastAsia="Times New Roman" w:hAnsi="Times New Roman" w:cs="Times New Roman"/>
                <w:b/>
                <w:bCs/>
                <w:sz w:val="24"/>
                <w:szCs w:val="24"/>
                <w:lang w:eastAsia="es-CO"/>
              </w:rPr>
              <w:t>control conjunto</w:t>
            </w:r>
            <w:r w:rsidRPr="00401DFF">
              <w:rPr>
                <w:rFonts w:ascii="Times New Roman" w:eastAsia="Times New Roman" w:hAnsi="Times New Roman" w:cs="Times New Roman"/>
                <w:sz w:val="24"/>
                <w:szCs w:val="24"/>
                <w:lang w:eastAsia="es-CO"/>
              </w:rPr>
              <w:t xml:space="preserve"> de dicho acuerdo.</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participante en un negocio conjunto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parte de un </w:t>
            </w:r>
            <w:r w:rsidRPr="00401DFF">
              <w:rPr>
                <w:rFonts w:ascii="Times New Roman" w:eastAsia="Times New Roman" w:hAnsi="Times New Roman" w:cs="Times New Roman"/>
                <w:b/>
                <w:bCs/>
                <w:sz w:val="24"/>
                <w:szCs w:val="24"/>
                <w:lang w:eastAsia="es-CO"/>
              </w:rPr>
              <w:t>negocio conjunto</w:t>
            </w:r>
            <w:r w:rsidRPr="00401DFF">
              <w:rPr>
                <w:rFonts w:ascii="Times New Roman" w:eastAsia="Times New Roman" w:hAnsi="Times New Roman" w:cs="Times New Roman"/>
                <w:sz w:val="24"/>
                <w:szCs w:val="24"/>
                <w:lang w:eastAsia="es-CO"/>
              </w:rPr>
              <w:t xml:space="preserve">que tiene </w:t>
            </w:r>
            <w:r w:rsidRPr="00401DFF">
              <w:rPr>
                <w:rFonts w:ascii="Times New Roman" w:eastAsia="Times New Roman" w:hAnsi="Times New Roman" w:cs="Times New Roman"/>
                <w:b/>
                <w:bCs/>
                <w:sz w:val="24"/>
                <w:szCs w:val="24"/>
                <w:lang w:eastAsia="es-CO"/>
              </w:rPr>
              <w:t>control conjunto</w:t>
            </w:r>
            <w:r w:rsidRPr="00401DFF">
              <w:rPr>
                <w:rFonts w:ascii="Times New Roman" w:eastAsia="Times New Roman" w:hAnsi="Times New Roman" w:cs="Times New Roman"/>
                <w:sz w:val="24"/>
                <w:szCs w:val="24"/>
                <w:lang w:eastAsia="es-CO"/>
              </w:rPr>
              <w:t xml:space="preserve"> sobre éste.</w:t>
            </w:r>
          </w:p>
        </w:tc>
      </w:tr>
      <w:tr w:rsidR="00401DFF" w:rsidRPr="00401DFF" w:rsidTr="00401DFF">
        <w:trPr>
          <w:tblCellSpacing w:w="15" w:type="dxa"/>
          <w:jc w:val="center"/>
        </w:trPr>
        <w:tc>
          <w:tcPr>
            <w:tcW w:w="4530"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vehículo separado</w:t>
            </w:r>
          </w:p>
        </w:tc>
        <w:tc>
          <w:tcPr>
            <w:tcW w:w="444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estructura financiera identificable de forma separada que incluye entidades legalmente separadas o entidades reconocidas por estatuto, </w:t>
            </w:r>
            <w:r w:rsidRPr="00401DFF">
              <w:rPr>
                <w:rFonts w:ascii="Times New Roman" w:eastAsia="Times New Roman" w:hAnsi="Times New Roman" w:cs="Times New Roman"/>
                <w:sz w:val="24"/>
                <w:szCs w:val="24"/>
                <w:lang w:eastAsia="es-CO"/>
              </w:rPr>
              <w:lastRenderedPageBreak/>
              <w:t>independientemente de si esas entidades tienen personalidad legal.</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Los siguientes términos se definen en la NIC 27 (modificada en 2011), NIC 28 (modificada en 2011) o en la NIIF 10 </w:t>
      </w:r>
      <w:r w:rsidRPr="00401DFF">
        <w:rPr>
          <w:rFonts w:ascii="Times New Roman" w:eastAsia="Times New Roman" w:hAnsi="Times New Roman" w:cs="Times New Roman"/>
          <w:i/>
          <w:iCs/>
          <w:sz w:val="24"/>
          <w:szCs w:val="24"/>
          <w:lang w:eastAsia="es-CO"/>
        </w:rPr>
        <w:t xml:space="preserve">Estados Financieros Consolidados </w:t>
      </w:r>
      <w:r w:rsidRPr="00401DFF">
        <w:rPr>
          <w:rFonts w:ascii="Times New Roman" w:eastAsia="Times New Roman" w:hAnsi="Times New Roman" w:cs="Times New Roman"/>
          <w:sz w:val="24"/>
          <w:szCs w:val="24"/>
          <w:lang w:eastAsia="es-CO"/>
        </w:rPr>
        <w:t>y se utilizan en esta NIIF con los significados especificados en esas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de una participada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derechos protectores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poder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 Describe la aplicación de los párrafos 1 a 27 y tiene el mismo valor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Los ejemplos de este apéndice reflejan situaciones hipotéticas. Aunque algunos aspectos de los ejemplos pueden darse en hechos y circunstancias de la realidad, al aplicar la NIIF 11 a situaciones reales se deben analizar las características de cada situación concreta en detalle.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 contractual (párrafo 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Los acuerdos contractuales pueden ponerse de manifiesto de diversas formas. Un acuerdo contractual de cumplimiento obligatorio es, a menudo, pero no siempre, por escrito, habitualmente en forma de un contrato o conversaciones documentadas entre las partes. Los mecanismos estatutarios pueden también crear acuerdos de obligado cumplimiento, por sí mismos o conjuntamente con contratos entre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 Cuando los acuerdos conjuntos se estructuran a través de un </w:t>
      </w:r>
      <w:r w:rsidRPr="00401DFF">
        <w:rPr>
          <w:rFonts w:ascii="Times New Roman" w:eastAsia="Times New Roman" w:hAnsi="Times New Roman" w:cs="Times New Roman"/>
          <w:i/>
          <w:iCs/>
          <w:sz w:val="24"/>
          <w:szCs w:val="24"/>
          <w:lang w:eastAsia="es-CO"/>
        </w:rPr>
        <w:t xml:space="preserve">vehículo separado </w:t>
      </w:r>
      <w:r w:rsidRPr="00401DFF">
        <w:rPr>
          <w:rFonts w:ascii="Times New Roman" w:eastAsia="Times New Roman" w:hAnsi="Times New Roman" w:cs="Times New Roman"/>
          <w:sz w:val="24"/>
          <w:szCs w:val="24"/>
          <w:lang w:eastAsia="es-CO"/>
        </w:rPr>
        <w:t>(véanse los párrafos B19 a B33), el acuerdo contractual, o algunos aspectos de éste, se incorporarán en algunos casos en los artículos, escritura constitutiva, o estatutos del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B4 El acuerdo contractual establece las cláusulas por las cuales las partes participan en la actividad que es el sujeto del acuerdo. El acuerdo contractual generalmente trata aspectos tales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propósito, actividad y duración del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forma en que se nombran los miembros del consejo de administración, u órgano de gobierno equivalente, del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proceso de toma de decisiones: los temas que requieren decisiones de las partes, los derechos de voto de las partes y el nivel requerido de apoyo a esos temas. El proceso de toma de decisiones reflejado en el acuerdo contractual establece el control conjunto del acuerdo (véanse los párrafos B5 a B11).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capital u otras aportaciones requeridas a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 forma en que las partes comparten los activos, pasivos, ingresos de actividades ordinarias, gastos o resultado del periodo, relativos al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Control conjunto (párrafos 7 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Al evaluar si una entidad tiene el control conjunto de un acuerdo, una entidad evaluará en primer lugar si todas las partes, o un grupo de las partes, controlan el acuerdo. La NIIF 10 define el control y se utilizará para determinar si todas las partes, o un grupo de las partes, están expuestas, o tienen derecho, a los rendimientos variables por su participación en el acuerdo y tienen la capacidad de influir en esos rendimientos mediante su poder sobre el acuerdo. Cuando todas las partes, o un grupo de las partes, consideradas de forma colectiva, son capaces de dirigir las actividades que afectan de forma significativa a los rendimientos del acuerdo (es decir las actividades relevantes), las partes controlan el acuerdo colectivamente.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Tras concluir que todas las partes, o un grupo de las partes, controlan el acuerdo de forma colectiva, una entidad evaluará si tiene el control conjunto del acuerdo. Existe control conjunto solo cuando las decisiones sobre las actividades relevantes requieren el consentimiento unánime de las partes que de forma colectiva controlan el acuerdo. La evaluación de si el acuerdo es controlado de forma conjunta por todas las partes o por un grupo de éstas, o controlado por una de sus partes en solitario, puede requerir el juicio profesional.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B7 En ocasiones, el proceso de toma de decisiones que se acuerda entre las partes en su acuerdo contractual de forma implícita conduce al control conjunto. Por ejemplo, supóngase que dos partes establecen un acuerdo en el que cada una tiene el 50 por ciento de los derechos de voto y el acuerdo contractual entre ellas especifica que se requiere al menos el 51 por ciento de los derechos de voto para tomar decisiones sobre las actividades relevantes. En este caso, las partes han acordado de forma implícita que tienen control </w:t>
      </w:r>
      <w:r w:rsidRPr="00401DFF">
        <w:rPr>
          <w:rFonts w:ascii="Times New Roman" w:eastAsia="Times New Roman" w:hAnsi="Times New Roman" w:cs="Times New Roman"/>
          <w:sz w:val="24"/>
          <w:szCs w:val="24"/>
          <w:lang w:eastAsia="es-CO"/>
        </w:rPr>
        <w:lastRenderedPageBreak/>
        <w:t>conjunto del acuerdo porque las decisiones sobre las actividades relevantes no pueden tomarse sin que lo acuerden ambas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 En otras circunstancias, el acuerdo contractual requiere una proporción mínima de derechos de voto para tomar decisiones sobre las actividades relevantes. Cuando esa mínima proporción de derechos de voto requerida puede lograrse mediante más de una combinación de las partes que acuerden conjuntamente, ese acuerdo no es un acuerdo conjunto a menos que el acuerdo contractual especifique qué partes (o combinación de éstas) se requieren para acordar de forma unánime las decisiones sobre las actividades relevantes del acuerdo.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25"/>
      </w:tblGrid>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1</w:t>
            </w:r>
            <w:r w:rsidRPr="00401DFF">
              <w:rPr>
                <w:rFonts w:ascii="Times New Roman" w:eastAsia="Times New Roman" w:hAnsi="Times New Roman" w:cs="Times New Roman"/>
                <w:sz w:val="24"/>
                <w:szCs w:val="24"/>
                <w:lang w:eastAsia="es-CO"/>
              </w:rPr>
              <w:br/>
              <w:t>Supóngase que tres partes establecen un acuerdo: A tiene el 50 por ciento de los derechos de voto del acuerdo, B tiene el 30 por ciento y C tiene el 20 por ciento. El acuerdo contractual entre A, B, y C especifica que se requiere al menos el 75 por ciento de los derechos de voto para tomar decisiones sobre las actividades relevantes del acuerdo. Aún cuando A pueda bloquear cualquier decisión, no controla el acuerdo porque necesita el acuerdo de B. Las condiciones de su acuerdo contractual que requieren al menos el 75 por ciento de los derechos de voto para tomar decisiones sobre las actividades relevantes implica que A y B tienen el control conjunto del acuerdo porque las decisiones sobre las actividades relevantes del acuerdo no pueden tomarse sin que lo acuerden A y B.</w:t>
            </w:r>
          </w:p>
        </w:tc>
      </w:tr>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Continúa...</w:t>
            </w:r>
          </w:p>
        </w:tc>
      </w:tr>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Ejemplos de aplicación</w:t>
            </w:r>
          </w:p>
        </w:tc>
      </w:tr>
      <w:tr w:rsidR="00401DFF" w:rsidRPr="00401DFF" w:rsidTr="00401DFF">
        <w:trPr>
          <w:tblCellSpacing w:w="15" w:type="dxa"/>
          <w:jc w:val="center"/>
        </w:trPr>
        <w:tc>
          <w:tcPr>
            <w:tcW w:w="886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2</w:t>
            </w:r>
            <w:r w:rsidRPr="00401DFF">
              <w:rPr>
                <w:rFonts w:ascii="Times New Roman" w:eastAsia="Times New Roman" w:hAnsi="Times New Roman" w:cs="Times New Roman"/>
                <w:sz w:val="24"/>
                <w:szCs w:val="24"/>
                <w:lang w:eastAsia="es-CO"/>
              </w:rPr>
              <w:br/>
              <w:t>Supóngase un acuerdo que tiene tres partes: A tiene el 50 por ciento de los derechos de voto del acuerdo y B y C tienen el 25 por ciento cada uno. El acuerdo contractual entre A, B, y C especifica que se requiere al menos el 75 por ciento de los derechos de voto para tomar decisiones sobre las actividades relevantes del acuerdo. Aún cuando A puede bloquear cualquier decisión, no controla el acuerdo porque necesita el acuerdo de B o de C. En este ejemplo A, B y C controlan de forma colectiva el acuerdo. Sin embargo, existe más de una combinación de las partes que puede acordar alcanzar el 75 por ciento de los derechos de voto (es decir A y B o A y C). En esta situación, para ser un acuerdo conjunto el acuerdo contractual entre las partes necesitaría especificar qué combinación de las partes se requiere que estén de acuerdo de forma unánime para acordar decisiones sobre las actividades relevantes del acuerdo.</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3</w:t>
            </w:r>
            <w:r w:rsidRPr="00401DFF">
              <w:rPr>
                <w:rFonts w:ascii="Times New Roman" w:eastAsia="Times New Roman" w:hAnsi="Times New Roman" w:cs="Times New Roman"/>
                <w:sz w:val="24"/>
                <w:szCs w:val="24"/>
                <w:lang w:eastAsia="es-CO"/>
              </w:rPr>
              <w:br/>
              <w:t>Supóngase un acuerdo en el que A y B tiene cada uno el 35 por ciento de los derechos de voto del acuerdo estando el 30 por ciento restante ampliamente disperso. Las decisiones sobre las actividades relevantes requieren la aprobación por una mayoría de derechos de voto. A y B tienen control conjunto del acuerdo solo si el acuerdo contractual especifica que las decisiones sobre las actividades relevantes del acuerdo requieren que estén de acuerdo A y B.</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B9 El requerimiento de consentimiento unánime significa que cualquier parte con control conjunto del acuerdo puede impedir que cualquier otra parte, o un grupo de otras partes, tomen decisiones unilaterales (sobre las actividades relevantes) sin su consentimiento. Si el requerimiento de consentimiento unánime se relaciona solo con decisiones que otorgan a una parte derechos protectores y no con decisiones sobre las actividades relevantes de un acuerdo, esa parte no es una con control conjunto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B10 Un acuerdo contractual puede incluir cláusulas de resolución de disputas, tales como el arbitraje. Estas disposiciones pueden permitir que se tomen decisiones en ausencia de consentimiento unánime entre las partes que tienen control conjunto. La existencia de estas disposiciones no evitan que el acuerdo esté controlado conjuntamente y, por consiguiente, que sea un acuerdo conjunto. </w:t>
      </w:r>
    </w:p>
    <w:tbl>
      <w:tblPr>
        <w:tblW w:w="2250" w:type="pct"/>
        <w:jc w:val="center"/>
        <w:tblCellSpacing w:w="0" w:type="dxa"/>
        <w:tblCellMar>
          <w:left w:w="0" w:type="dxa"/>
          <w:right w:w="0" w:type="dxa"/>
        </w:tblCellMar>
        <w:tblLook w:val="04A0" w:firstRow="1" w:lastRow="0" w:firstColumn="1" w:lastColumn="0" w:noHBand="0" w:noVBand="1"/>
      </w:tblPr>
      <w:tblGrid>
        <w:gridCol w:w="8528"/>
      </w:tblGrid>
      <w:tr w:rsidR="00401DFF" w:rsidRPr="00401DFF" w:rsidTr="00401DFF">
        <w:trPr>
          <w:tblCellSpacing w:w="0" w:type="dxa"/>
          <w:jc w:val="center"/>
        </w:trPr>
        <w:tc>
          <w:tcPr>
            <w:tcW w:w="877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Evaluación del control conjunto</w:t>
            </w:r>
          </w:p>
        </w:tc>
      </w:tr>
      <w:tr w:rsidR="00401DFF" w:rsidRPr="00401DFF" w:rsidTr="00401DFF">
        <w:trPr>
          <w:tblCellSpacing w:w="0" w:type="dxa"/>
          <w:jc w:val="center"/>
        </w:trPr>
        <w:tc>
          <w:tcPr>
            <w:tcW w:w="877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mc:AlternateContent>
                <mc:Choice Requires="wps">
                  <w:drawing>
                    <wp:inline distT="0" distB="0" distL="0" distR="0" wp14:anchorId="35C594E5" wp14:editId="77EDDF11">
                      <wp:extent cx="5415280" cy="3693160"/>
                      <wp:effectExtent l="0" t="0" r="0" b="0"/>
                      <wp:docPr id="3" name="Rectángulo 3" descr="D2784IMANIIF11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5280" cy="369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3" o:spid="_x0000_s1026" alt="D2784IMANIIF112.png" style="width:426.4pt;height:29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" filled="f" stroked="f">
                      <o:lock v:ext="edit" aspectratio="t"/>
                      <w10:anchorlock/>
                    </v:rect>
                  </w:pict>
                </mc:Fallback>
              </mc:AlternateConten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Cuando un acuerdo queda al margen del alcance de la NIIF 11, una entidad contabilizará su participación en dicho acuerdo según las NIIF correspondientes, tales como la NIIF 10, NIC 28 (modificada en 2011) o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Tipos de acuerdo conjunto (párrafos 14 a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Los acuerdos conjuntos se establecen para una variedad de propósitos (por ejemplo, como forma de que las partes compartan costos y riesgos, o para proporcionar a las partes acceso a nueva tecnología o nuevos mercados), y puede establecerse utilizando estructuras y formas legales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B13 Algunos acuerdos no requieren que la actividad sujeta al acuerdo se lleve a cabo en un vehículo separado. Sin embargo, otros acuerdos involucran la creación de un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La clasificación de acuerdos conjuntos requerida por esta NIIF depende de los derechos y obligaciones de las partes que surgen del acuerdo en el curso normal de negocio. Esta NIIF clasifica los acuerdos conjuntos como operaciones conjuntas o negocios conjuntos. Cuando una entidad tiene derechos sobre los activos y obligaciones con respecto a los pasivos relativos al acuerdo, éste es una operación conjunta. Cuando una entidad tiene derechos sobre los activos netos del acuerdo, éste es un negocio conjunto. Los párrafos B16 a B33 establecen la evaluación que una entidad llevará a cabo para determinar si tiene una participación en una operación conjunta o en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un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Como se señalaba en el párrafo B14, la clasificación de los acuerdos conjuntos requiere que las partes evalúen los derechos y obligaciones que surgen del acuerdo. Cuando realice esa evaluación, una entidad considerará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estructura del acuerdo conjunto (véanse los párrafos B16 a B21).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el acuerdo conjunto se estructura a través de un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forma legal del vehículo separado (véanse los párrafos B22 a B24);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condiciones del acuerdo conjunto (véanse los párrafos B25 a B28);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cuando proceda, otros factores y circunstancias (véanse los párrafos B29 a B33).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Estructura del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Acuerdos conjuntos no estructurados a través de un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Un acuerdo conjunto que no está estructurado a través de un vehículo separado es una operación conjunta. En estos casos, el acuerdo contractual establece los derechos de las partes a los activos y las obligaciones con respecto a los pasivos relativos al acuerdo, y los derechos a los ingresos de actividades ordinarias y las obligaciones con respecto a los gastos que correspondan a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B17 El acuerdo contractual a menudo describe la naturaleza de las actividades que están sujetas al acuerdo y la forma en que las partes pretenden llevar a cabo esas actividades conjuntamente. Por ejemplo, las partes de un acuerdo conjunto podrían acordar fabricar un producto conjuntamente, siendo cada parte responsable de una tarea específica y cada una utilizando sus propios activos e incurriendo en sus propios pasivos. El acuerdo contractual podría también especificar la forma en que los ingresos de actividades ordinarias y gastos que son comunes a las partes se van a compartir entre ellas. En tal caso, cada operador </w:t>
      </w:r>
      <w:r w:rsidRPr="00401DFF">
        <w:rPr>
          <w:rFonts w:ascii="Times New Roman" w:eastAsia="Times New Roman" w:hAnsi="Times New Roman" w:cs="Times New Roman"/>
          <w:sz w:val="24"/>
          <w:szCs w:val="24"/>
          <w:lang w:eastAsia="es-CO"/>
        </w:rPr>
        <w:lastRenderedPageBreak/>
        <w:t>conjunto reconocerá en sus estados financieros los activos y pasivos utilizados para la tarea específica y reconocerá su parte de los ingresos de actividades ordinarias y gastos según el acuerdo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En otros casos, las partes del acuerdo conjunto pueden acordar, por ejemplo compartir y operar un activo conjuntamente. En tal caso, el acuerdo contractual establecerá los derechos de las partes al activo que es operado conjuntamente, y la forma en que se comparten entre las partes el producto o ingresos de actividades ordinarias procedentes del activo y los costos de operación. Cada operador conjunto contabilizará su parte del activo conjunto y su parte acordada de los pasivos, y reconocerá su parte del producto, ingresos de actividades ordinarias y gastos según el acuerdo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Acuerdos conjuntos estructurados a través de un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Un acuerdo conjunto en el que los activos y pasivos relacionados con el acuerdo se mantienen en un vehículo separado puede ser un negocio conjunto o una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Si una parte es un operador conjunto o un participante en un negocio conjunto dependerá de los derechos de las partes a los activos y de las obligaciones con respecto a los pasivos, relacionados con el acuerdo que se mantienen en el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B21 Como señalaba el párrafo B15, cuando las partes tienen estructurado un acuerdo conjunto en un vehículo separado, las partes necesitan evaluar si la forma legal del vehículo separado, las cláusulas del acuerdo contractual y, cuando corresponda, cualesquiera otros factores y circunstancias les otorgan: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derecho a los activos y obligaciones con respecto a los pasivos relativos al acuerdo (es decir, el acuerdo es una operación conjunta);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derecho a los activos netos del acuerdo (es decir, el acuerdo es un negocio conjunto).</w:t>
      </w:r>
    </w:p>
    <w:tbl>
      <w:tblPr>
        <w:tblW w:w="2400" w:type="pct"/>
        <w:jc w:val="center"/>
        <w:tblCellSpacing w:w="0" w:type="dxa"/>
        <w:tblCellMar>
          <w:left w:w="0" w:type="dxa"/>
          <w:right w:w="0" w:type="dxa"/>
        </w:tblCellMar>
        <w:tblLook w:val="04A0" w:firstRow="1" w:lastRow="0" w:firstColumn="1" w:lastColumn="0" w:noHBand="0" w:noVBand="1"/>
      </w:tblPr>
      <w:tblGrid>
        <w:gridCol w:w="8838"/>
      </w:tblGrid>
      <w:tr w:rsidR="00401DFF" w:rsidRPr="00401DFF" w:rsidTr="00401DFF">
        <w:trPr>
          <w:tblCellSpacing w:w="0" w:type="dxa"/>
          <w:jc w:val="center"/>
        </w:trPr>
        <w:tc>
          <w:tcPr>
            <w:tcW w:w="933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un acuerdo conjunto: evaluación de los derechos y obligaciones de las partes que surgen del acuerdo</w:t>
            </w:r>
          </w:p>
        </w:tc>
      </w:tr>
      <w:tr w:rsidR="00401DFF" w:rsidRPr="00401DFF" w:rsidTr="00401DFF">
        <w:trPr>
          <w:tblCellSpacing w:w="0" w:type="dxa"/>
          <w:jc w:val="center"/>
        </w:trPr>
        <w:tc>
          <w:tcPr>
            <w:tcW w:w="933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lastRenderedPageBreak/>
              <mc:AlternateContent>
                <mc:Choice Requires="wps">
                  <w:drawing>
                    <wp:inline distT="0" distB="0" distL="0" distR="0" wp14:anchorId="7B93931F" wp14:editId="67800784">
                      <wp:extent cx="5711825" cy="4263390"/>
                      <wp:effectExtent l="0" t="0" r="0" b="0"/>
                      <wp:docPr id="2" name="Rectángulo 2" descr="D2784IMANIIF1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11825" cy="426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2784IMANIIF113.png" style="width:449.75pt;height:3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" filled="f" stroked="f">
                      <o:lock v:ext="edit" aspectratio="t"/>
                      <w10:anchorlock/>
                    </v:rect>
                  </w:pict>
                </mc:Fallback>
              </mc:AlternateConten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forma legal del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La forma legal del vehículo separado es relevante al evaluar el tipo de acuerdo conjunto. La forma legal ayuda en la evaluación inicial de los derechos de las partes a los activos y de las obligaciones con respecto a los pasivos mantenidos en el vehículo separado, tales como si las partes tienen participaciones en los activos mantenidos en el vehículo separado y si son responsables de los pasivos mantenidos en el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B23 Por ejemplo, las partes pueden llevar a cabo un acuerdo conjunto a través de un vehículo separado, cuya forma legal tenga como consecuencia que se considere éste en sí mismo (es decir los activos y pasivos mantenidos en el vehículo separado son activos y pasivos del vehículo separado y no de las partes). En tal caso la evaluación de los derechos y obligaciones concedidos a las partes por la forma legal del vehículo separado indica que el acuerdo es un negocio conjunto. Sin embargo, las cláusulas acordadas por las partes en su acuerdo contractual (véanse los párrafo B25 a B28) y, cuando corresponda, otros factores y circunstancias (véanse los párrafos B29 a B33) pueden invalidar la evaluación de los derechos y obligaciones concedidos a las partes por la forma legal del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B24 La evaluación de los derechos y obligaciones concedidos a las partes por la forma legal del vehículo separado es suficiente para concluir que el acuerdo es una operación </w:t>
      </w:r>
      <w:r w:rsidRPr="00401DFF">
        <w:rPr>
          <w:rFonts w:ascii="Times New Roman" w:eastAsia="Times New Roman" w:hAnsi="Times New Roman" w:cs="Times New Roman"/>
          <w:sz w:val="24"/>
          <w:szCs w:val="24"/>
          <w:lang w:eastAsia="es-CO"/>
        </w:rPr>
        <w:lastRenderedPageBreak/>
        <w:t>conjunta solo si las partes llevan a cabo el acuerdo conjunto en un vehículo separado cuya forma legal no confiera separación entre las partes y el vehículo separado (es decir, los activos y pasivos mantenidos en el vehículo separado son de las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de las condiciones del acuerdo contractual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En numerosas ocasiones, los derechos y obligaciones acordados por las partes en sus acuerdos contractuales son coherentes, o no entran en conflicto, con los derechos y obligaciones concedidos a las partes por la forma legal del vehículo separado en el que se ha estructurado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En otros casos, las partes utilizan el acuerdo contractual para cambiar el sentido o modificar los derechos y obligaciones concedidos por la forma legal del vehículo separado en el que se ha estructurado el acuerdo.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958"/>
      </w:tblGrid>
      <w:tr w:rsidR="00401DFF" w:rsidRPr="00401DFF" w:rsidTr="00401DFF">
        <w:trPr>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de aplicación</w:t>
            </w:r>
          </w:p>
        </w:tc>
      </w:tr>
      <w:tr w:rsidR="00401DFF" w:rsidRPr="00401DFF" w:rsidTr="00401DFF">
        <w:trPr>
          <w:tblCellSpacing w:w="15" w:type="dxa"/>
          <w:jc w:val="center"/>
        </w:trPr>
        <w:tc>
          <w:tcPr>
            <w:tcW w:w="9060"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4</w:t>
            </w:r>
            <w:r w:rsidRPr="00401DFF">
              <w:rPr>
                <w:rFonts w:ascii="Times New Roman" w:eastAsia="Times New Roman" w:hAnsi="Times New Roman" w:cs="Times New Roman"/>
                <w:sz w:val="24"/>
                <w:szCs w:val="24"/>
                <w:lang w:eastAsia="es-CO"/>
              </w:rPr>
              <w:br/>
              <w:t>Supóngase que dos partes estructuran un acuerdo conjunto en una entidad que es una sociedad por acciones. Cada parte tiene un 50 por ciento de la participación en la propiedad de la sociedad. Haber constituido una sociedad por acciones permite separar a la entidad de los propietarios y en consecuencia los activos y pasivos mantenidos en la entidad son activos y pasivos de la sociedad. En tal caso la evaluación de los derechos y obligaciones concedidos a las partes por la forma legal del vehículo separado indica que las partes tienen derecho a los activos netos del acuerdo.</w:t>
            </w:r>
            <w:r w:rsidRPr="00401DFF">
              <w:rPr>
                <w:rFonts w:ascii="Times New Roman" w:eastAsia="Times New Roman" w:hAnsi="Times New Roman" w:cs="Times New Roman"/>
                <w:sz w:val="24"/>
                <w:szCs w:val="24"/>
                <w:lang w:eastAsia="es-CO"/>
              </w:rPr>
              <w:br/>
              <w:t>Sin embargo, las partes modifican las características de la sociedad por acciones a través de su acuerdo contractual de forma que cada una tiene una participación en los activos de la entidad establecida legalmente y cada una es responsable de los pasivos de la entidad legalmente establecida en la proporción especificada. Estas modificaciones contractuales de las características de una sociedad por acciones pueden traer como consecuencia que un acuerdo sea una operación conjunta.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La siguiente tabla compara las condiciones comunes en acuerdos contractuales entre partes de una operación conjunta y las condiciones comunes en acuerdos contractuales entre partes de un negocio conjunto. Los ejemplos de condiciones contractuales facilitados en la siguiente tabla no son exhaustivos.</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
        <w:gridCol w:w="1703"/>
        <w:gridCol w:w="2882"/>
        <w:gridCol w:w="4125"/>
        <w:gridCol w:w="148"/>
      </w:tblGrid>
      <w:tr w:rsidR="00401DFF" w:rsidRPr="00401DFF" w:rsidTr="00401DFF">
        <w:trPr>
          <w:gridBefore w:val="1"/>
          <w:wBefore w:w="45" w:type="dxa"/>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de las condiciones del acuerdo contractual</w:t>
            </w:r>
          </w:p>
        </w:tc>
      </w:tr>
      <w:tr w:rsidR="00401DFF" w:rsidRPr="00401DFF" w:rsidTr="00401DFF">
        <w:trPr>
          <w:gridBefore w:val="1"/>
          <w:wBefore w:w="45"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Operación conjunta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 conjunto</w:t>
            </w:r>
          </w:p>
        </w:tc>
      </w:tr>
      <w:tr w:rsidR="00401DFF" w:rsidRPr="00401DFF" w:rsidTr="00401DFF">
        <w:trPr>
          <w:gridBefore w:val="1"/>
          <w:wBefore w:w="45" w:type="dxa"/>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Las condiciones del acuerdo contractual</w:t>
            </w:r>
          </w:p>
        </w:tc>
        <w:tc>
          <w:tcPr>
            <w:tcW w:w="369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proporciona a las partes del acuerdo conjunto derecho a los activos y obligaciones con respecto a los pasivos relacionados con el acuerdo.</w:t>
            </w:r>
          </w:p>
        </w:tc>
        <w:tc>
          <w:tcPr>
            <w:tcW w:w="313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proporciona a las partes del acuerdo conjunto derecho a los activos netos del acuerdo (es decir, es el vehículo separado, no las partes, quien tiene derecho a los activos y obligaciones con respecto a los pasivos, relacionados con el acuerdo).</w:t>
            </w:r>
          </w:p>
        </w:tc>
      </w:tr>
      <w:tr w:rsidR="00401DFF" w:rsidRPr="00401DFF" w:rsidTr="00401DFF">
        <w:trPr>
          <w:gridBefore w:val="1"/>
          <w:wBefore w:w="45" w:type="dxa"/>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Operación conjunta</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 conjunto</w:t>
            </w:r>
          </w:p>
        </w:tc>
      </w:tr>
      <w:tr w:rsidR="00401DFF" w:rsidRPr="00401DFF" w:rsidTr="00401DFF">
        <w:trPr>
          <w:gridBefore w:val="1"/>
          <w:wBefore w:w="45" w:type="dxa"/>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Derecho a los activos</w:t>
            </w:r>
          </w:p>
        </w:tc>
        <w:tc>
          <w:tcPr>
            <w:tcW w:w="3690"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las partes del acuerdo conjunto comparten todos los intereses (por ejemplo derechos, titularidad o propiedad) sobre los activos relacionados con el acuerdo en una proporción especificada (por ejemplo en proporción a la participación en la propiedad de las partes en el acuerdo o en proporción a la actividad realizada a través del acuerdo que se les atribuye directamente).</w:t>
            </w:r>
          </w:p>
        </w:tc>
        <w:tc>
          <w:tcPr>
            <w:tcW w:w="313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los activos comprados en el acuerdo o adquiridos con posterioridad por el acuerdo conjunto son activos del acuerdo. Las partes no tienen participación (es decir, no tienen derechos, titularidad o propiedad) sobre los activos del acuerdo.</w:t>
            </w:r>
          </w:p>
        </w:tc>
      </w:tr>
      <w:tr w:rsidR="00401DFF" w:rsidRPr="00401DFF" w:rsidTr="00401DFF">
        <w:trPr>
          <w:gridBefore w:val="1"/>
          <w:wBefore w:w="45" w:type="dxa"/>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Obligaciones con respecto a los pasivos</w:t>
            </w:r>
          </w:p>
        </w:tc>
        <w:tc>
          <w:tcPr>
            <w:tcW w:w="3690" w:type="dxa"/>
            <w:vMerge w:val="restart"/>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las partes del acuerdo conjunto comparten todos los pasivos, obligaciones, costos y gastos en una proporción especificada (por ejemplo en proporción a la participación en la propiedad de las partes en el acuerdo o en proporción a la actividad realizada a través del acuerdo que se les atribuye directamente).</w:t>
            </w:r>
          </w:p>
        </w:tc>
        <w:tc>
          <w:tcPr>
            <w:tcW w:w="313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el acuerdo conjunto es responsable de las deudas y obligaciones del acuerdo.</w:t>
            </w:r>
          </w:p>
        </w:tc>
      </w:tr>
      <w:tr w:rsidR="00401DFF" w:rsidRPr="00401DFF" w:rsidTr="00401DFF">
        <w:trPr>
          <w:gridBefore w:val="1"/>
          <w:wBefore w:w="45" w:type="dxa"/>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0" w:type="auto"/>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las partes del acuerdo conjunto son responsables del acuerdo solo en la medida de sus inversiones respectivas en el acuerdo o de sus respectivas obligaciones a aportar el capital adicional o no pagado al acuerdo, o ambos.</w:t>
            </w:r>
          </w:p>
        </w:tc>
      </w:tr>
      <w:tr w:rsidR="00401DFF" w:rsidRPr="00401DFF" w:rsidTr="00401DFF">
        <w:trPr>
          <w:gridBefore w:val="1"/>
          <w:wBefore w:w="45" w:type="dxa"/>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0" w:type="auto"/>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establece que las partes del acuerdo conjunto son responsables de las demandas planteadas por terceros.</w:t>
            </w:r>
          </w:p>
        </w:tc>
        <w:tc>
          <w:tcPr>
            <w:tcW w:w="3690"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acuerdo contractual señala que los acreedores del acuerdo conjunto no tienen derecho de recurso contra ninguna parte con respecto a deudas u obligaciones del acuerdo.</w:t>
            </w:r>
          </w:p>
        </w:tc>
      </w:tr>
      <w:tr w:rsidR="00401DFF" w:rsidRPr="00401DFF" w:rsidTr="00401DFF">
        <w:trPr>
          <w:gridBefore w:val="1"/>
          <w:wBefore w:w="45" w:type="dxa"/>
          <w:tblCellSpacing w:w="0"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 xml:space="preserve">Continúa... </w:t>
            </w:r>
          </w:p>
        </w:tc>
      </w:tr>
      <w:tr w:rsidR="00401DFF" w:rsidRPr="00401DFF" w:rsidTr="00401DFF">
        <w:tblPrEx>
          <w:tblCellSpacing w:w="15" w:type="dxa"/>
          <w:tblCellMar>
            <w:top w:w="15" w:type="dxa"/>
            <w:left w:w="15" w:type="dxa"/>
            <w:bottom w:w="15" w:type="dxa"/>
            <w:right w:w="15" w:type="dxa"/>
          </w:tblCellMar>
        </w:tblPrEx>
        <w:trPr>
          <w:gridAfter w:val="1"/>
          <w:wAfter w:w="180" w:type="dxa"/>
          <w:tblCellSpacing w:w="15" w:type="dxa"/>
          <w:jc w:val="center"/>
        </w:trPr>
        <w:tc>
          <w:tcPr>
            <w:tcW w:w="11265" w:type="dxa"/>
            <w:gridSpan w:val="4"/>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Continuación</w:t>
            </w:r>
          </w:p>
        </w:tc>
      </w:tr>
      <w:tr w:rsidR="00401DFF" w:rsidRPr="00401DFF" w:rsidTr="00401DFF">
        <w:tblPrEx>
          <w:tblCellSpacing w:w="15" w:type="dxa"/>
          <w:tblCellMar>
            <w:top w:w="15" w:type="dxa"/>
            <w:left w:w="15" w:type="dxa"/>
            <w:bottom w:w="15" w:type="dxa"/>
            <w:right w:w="15" w:type="dxa"/>
          </w:tblCellMar>
        </w:tblPrEx>
        <w:trPr>
          <w:gridAfter w:val="1"/>
          <w:wAfter w:w="180" w:type="dxa"/>
          <w:tblCellSpacing w:w="15" w:type="dxa"/>
          <w:jc w:val="center"/>
        </w:trPr>
        <w:tc>
          <w:tcPr>
            <w:tcW w:w="385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367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Operación conjunta</w:t>
            </w:r>
          </w:p>
        </w:tc>
        <w:tc>
          <w:tcPr>
            <w:tcW w:w="361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 conjunto</w:t>
            </w:r>
          </w:p>
        </w:tc>
      </w:tr>
      <w:tr w:rsidR="00401DFF" w:rsidRPr="00401DFF" w:rsidTr="00401DFF">
        <w:tblPrEx>
          <w:tblCellSpacing w:w="15" w:type="dxa"/>
          <w:tblCellMar>
            <w:top w:w="15" w:type="dxa"/>
            <w:left w:w="15" w:type="dxa"/>
            <w:bottom w:w="15" w:type="dxa"/>
            <w:right w:w="15" w:type="dxa"/>
          </w:tblCellMar>
        </w:tblPrEx>
        <w:trPr>
          <w:gridAfter w:val="1"/>
          <w:wAfter w:w="180" w:type="dxa"/>
          <w:tblCellSpacing w:w="15" w:type="dxa"/>
          <w:jc w:val="center"/>
        </w:trPr>
        <w:tc>
          <w:tcPr>
            <w:tcW w:w="385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Ingresos de actividades ordinarias, gastos y resultado del </w:t>
            </w:r>
            <w:r w:rsidRPr="00401DFF">
              <w:rPr>
                <w:rFonts w:ascii="Times New Roman" w:eastAsia="Times New Roman" w:hAnsi="Times New Roman" w:cs="Times New Roman"/>
                <w:b/>
                <w:bCs/>
                <w:sz w:val="24"/>
                <w:szCs w:val="24"/>
                <w:lang w:eastAsia="es-CO"/>
              </w:rPr>
              <w:lastRenderedPageBreak/>
              <w:t>periodo</w:t>
            </w:r>
          </w:p>
        </w:tc>
        <w:tc>
          <w:tcPr>
            <w:tcW w:w="367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El acuerdo contractual establece la distribución de los </w:t>
            </w:r>
            <w:r w:rsidRPr="00401DFF">
              <w:rPr>
                <w:rFonts w:ascii="Times New Roman" w:eastAsia="Times New Roman" w:hAnsi="Times New Roman" w:cs="Times New Roman"/>
                <w:b/>
                <w:bCs/>
                <w:sz w:val="24"/>
                <w:szCs w:val="24"/>
                <w:lang w:eastAsia="es-CO"/>
              </w:rPr>
              <w:t xml:space="preserve">ingresos de actividades ordinarias y gastos sobre la base del rendimiento </w:t>
            </w:r>
            <w:r w:rsidRPr="00401DFF">
              <w:rPr>
                <w:rFonts w:ascii="Times New Roman" w:eastAsia="Times New Roman" w:hAnsi="Times New Roman" w:cs="Times New Roman"/>
                <w:b/>
                <w:bCs/>
                <w:sz w:val="24"/>
                <w:szCs w:val="24"/>
                <w:lang w:eastAsia="es-CO"/>
              </w:rPr>
              <w:lastRenderedPageBreak/>
              <w:t>relativo de cada parte en el acuerdo conjunto.</w:t>
            </w:r>
            <w:r w:rsidRPr="00401DFF">
              <w:rPr>
                <w:rFonts w:ascii="Times New Roman" w:eastAsia="Times New Roman" w:hAnsi="Times New Roman" w:cs="Times New Roman"/>
                <w:sz w:val="24"/>
                <w:szCs w:val="24"/>
                <w:lang w:eastAsia="es-CO"/>
              </w:rPr>
              <w:t xml:space="preserve"> Por ejemplo, el acuerdo contractual puede establecer que los ingresos de actividades ordinarias y gastos se distribuyen sobre la base de la capacidad que cada parte utiliza de la planta operada conjuntamente, que podría diferir de su participación en la propiedad del acuerdo conjunto. En otras ocasiones, las partes pueden tener acordado compartir el resultado del periodo relacionado con el acuerdo sobre la base de una proporción especificada, tal como la participación en la propiedad de la partes en el acuerdo. Esto no impediría al acuerdo ser una operación conjunta si las partes tienen derechos a los activos, y obligaciones con respecto a los pasivos, relacionados con el acuerdo.</w:t>
            </w:r>
          </w:p>
        </w:tc>
        <w:tc>
          <w:tcPr>
            <w:tcW w:w="3615" w:type="dxa"/>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El acuerdo contractual establece la participación de cada parte en el resultado del periodo relacionado con las actividades del acuerdo.</w:t>
            </w:r>
          </w:p>
        </w:tc>
      </w:tr>
      <w:tr w:rsidR="00401DFF" w:rsidRPr="00401DFF" w:rsidTr="00401DFF">
        <w:tblPrEx>
          <w:tblCellSpacing w:w="15" w:type="dxa"/>
          <w:tblCellMar>
            <w:top w:w="15" w:type="dxa"/>
            <w:left w:w="15" w:type="dxa"/>
            <w:bottom w:w="15" w:type="dxa"/>
            <w:right w:w="15" w:type="dxa"/>
          </w:tblCellMar>
        </w:tblPrEx>
        <w:trPr>
          <w:gridAfter w:val="1"/>
          <w:wAfter w:w="180" w:type="dxa"/>
          <w:tblCellSpacing w:w="15" w:type="dxa"/>
          <w:jc w:val="center"/>
        </w:trPr>
        <w:tc>
          <w:tcPr>
            <w:tcW w:w="3855"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Garantías</w:t>
            </w:r>
          </w:p>
        </w:tc>
        <w:tc>
          <w:tcPr>
            <w:tcW w:w="7350" w:type="dxa"/>
            <w:gridSpan w:val="2"/>
            <w:tcBorders>
              <w:top w:val="outset" w:sz="6" w:space="0" w:color="auto"/>
              <w:left w:val="outset" w:sz="6" w:space="0" w:color="auto"/>
              <w:bottom w:val="outset" w:sz="6" w:space="0" w:color="auto"/>
              <w:right w:val="outset" w:sz="6" w:space="0" w:color="auto"/>
            </w:tcBorders>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Normalmente, se requiere que las partes de los acuerdos conjuntos proporcionen garantías a terceros de que, por ejemplo, recibirán un servicio del acuerdo conjunto, o proporcionarán financiación a éste. La provisión de estas garantías, o el compromiso de las partes de proporcionarlas, no determina, por sí misma, que el acuerdo conjunto sea una operación conjunta. La característica que determina si el acuerdo conjunto es una operación conjunta o un negocio conjunto es si las partes tienen obligaciones con respecto a los pasivos relacionados con el acuerdo (para algunos de los cuales las partes pueden, o no, haber proporcionado una garantía).</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Cuando el acuerdo contractual especifica que las partes tienen derecho a los activos, y obligaciones con respecto a los pasivos, relacionados con el acuerdo, son partes de una operación conjunta y no necesitan considerar otros factores y circunstancias (párrafos B29 a B33) a afectos de clasificar el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Evaluación de otros factores y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B29 Cuando las cláusulas del acuerdo contractual no especifican que las partes tienen derecho a los activos y obligaciones con respecto a los pasivos, relacionados con el acuerdo, las partes considerarán otros factores y circunstancias para evaluar si el acuerdo es una operación conjunta o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B30 Un acuerdo conjunto puede estructurarse en un vehículo separado cuya forma legal confiere separación entre las partes y el vehículo separado. Las cláusulas contractuales acordadas entre las partes pueden no especificar los derechos de las partes a los activos y las obligaciones con respecto a los pasivos, no obstante, la consideración de otros factores y circunstancias pueden conducir a que tal acuerdo sea clasificado como una operación conjunta. Este será el caso cuando otros factores y circunstancias otorguen a las partes derecho a los activos y obligaciones con respecto a los pasivos relacionados con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Cuando las actividades de un acuerdo están diseñadas principalmente para proporcionar un producto a las partes, esto indica que las partes tienen derecho de forma sustancial a todos los beneficios económicos de los activos del acuerdo. Las partes de estos acuerdos a menudo aseguran su acceso a los productos proporcionados por el acuerdo impidiendo que el acuerdo venda el producto a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El efecto de un acuerdo con este diseño y propósito es que los pasivos incurridos por el acuerdo son, en esencia, satisfechos por los flujos de efectivo recibidos de las partes a través de sus compras del producto. Cuando las partes son sustancialmente las únicas fuentes de flujos de efectivo que contribuyen a la continuidad de las operaciones del acuerdo, esto indica que las partes tienen una obligación con respecto a los pasivos relacionados con el acuerdo.</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741"/>
        <w:gridCol w:w="217"/>
      </w:tblGrid>
      <w:tr w:rsidR="00401DFF" w:rsidRPr="00401DFF" w:rsidTr="00401DFF">
        <w:trPr>
          <w:tblCellSpacing w:w="15" w:type="dxa"/>
          <w:jc w:val="center"/>
        </w:trPr>
        <w:tc>
          <w:tcPr>
            <w:tcW w:w="889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de aplicación</w:t>
            </w:r>
          </w:p>
        </w:tc>
      </w:tr>
      <w:tr w:rsidR="00401DFF" w:rsidRPr="00401DFF" w:rsidTr="00401DFF">
        <w:trPr>
          <w:tblCellSpacing w:w="15" w:type="dxa"/>
          <w:jc w:val="center"/>
        </w:trPr>
        <w:tc>
          <w:tcPr>
            <w:tcW w:w="889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Ejemplo 5</w:t>
            </w:r>
            <w:r w:rsidRPr="00401DFF">
              <w:rPr>
                <w:rFonts w:ascii="Times New Roman" w:eastAsia="Times New Roman" w:hAnsi="Times New Roman" w:cs="Times New Roman"/>
                <w:sz w:val="24"/>
                <w:szCs w:val="24"/>
                <w:lang w:eastAsia="es-CO"/>
              </w:rPr>
              <w:br/>
              <w:t>Supóngase que dos partes estructuran un acuerdo conjunto en una sociedad por acciones (entidad C) en la que cada parte tiene un 50 por ciento de participación en la propiedad. El propósito del acuerdo es elaborar materiales requeridos por las partes para sus propios procesos individuales de fabricación. El acuerdo asegura que las partes operan la instalación que produce los materiales con las especificaciones de cantidad y calidad señaladas por las partes.</w:t>
            </w:r>
            <w:r w:rsidRPr="00401DFF">
              <w:rPr>
                <w:rFonts w:ascii="Times New Roman" w:eastAsia="Times New Roman" w:hAnsi="Times New Roman" w:cs="Times New Roman"/>
                <w:sz w:val="24"/>
                <w:szCs w:val="24"/>
                <w:lang w:eastAsia="es-CO"/>
              </w:rPr>
              <w:br/>
              <w:t>La forma legal de la entidad C (una sociedad por acciones) a través de la cual se realizan inicialmente las actividades indica que los activos y pasivos mantenidos en la entidad C son activos y pasivos de ésta. El acuerdo contractual entre las partes no especifica que las partes tengan derecho a los activos u obligaciones con respecto a los pasivos de la entidad C. Por consiguiente, la forma legal de la entidad C y las cláusulas del acuerdo contractual indican que el acuerdo es un negocio conjunto.</w:t>
            </w:r>
            <w:r w:rsidRPr="00401DFF">
              <w:rPr>
                <w:rFonts w:ascii="Times New Roman" w:eastAsia="Times New Roman" w:hAnsi="Times New Roman" w:cs="Times New Roman"/>
                <w:sz w:val="24"/>
                <w:szCs w:val="24"/>
                <w:lang w:eastAsia="es-CO"/>
              </w:rPr>
              <w:br/>
              <w:t>Sin embargo, las partes también considerarán los siguientes aspectos del acuerdo:</w:t>
            </w:r>
            <w:r w:rsidRPr="00401DFF">
              <w:rPr>
                <w:rFonts w:ascii="Times New Roman" w:eastAsia="Times New Roman" w:hAnsi="Times New Roman" w:cs="Times New Roman"/>
                <w:sz w:val="24"/>
                <w:szCs w:val="24"/>
                <w:lang w:eastAsia="es-CO"/>
              </w:rPr>
              <w:br/>
              <w:t>• Las partes acordaron comprar todo el producto elaborado por la entidad C en una proporción de 50:50. La entidad C no puede vender ningún producto a terceros, a menos que lo aprueben las dos partes del acuerdo. Puesto que el propósito del acuerdo es proporcionar a las partes el producto que requieran, es de esperar que tales ventas a terceros sean poco frecuentes y no significativas.</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sz w:val="24"/>
                <w:szCs w:val="24"/>
                <w:lang w:eastAsia="es-CO"/>
              </w:rPr>
              <w:lastRenderedPageBreak/>
              <w:t>• El precio del producto vendido a las partes se establece por ambas partes a un nivel diseñado para cubrir costos de producción y gastos administrativos incurridos por la entidad C. Sobre la base de este modelo operativo, se pretende que el acuerdo opere a nivel de punto de equilibrio.</w:t>
            </w:r>
          </w:p>
        </w:tc>
      </w:tr>
      <w:tr w:rsidR="00401DFF" w:rsidRPr="00401DFF" w:rsidTr="00401DFF">
        <w:trPr>
          <w:tblCellSpacing w:w="15" w:type="dxa"/>
          <w:jc w:val="center"/>
        </w:trPr>
        <w:tc>
          <w:tcPr>
            <w:tcW w:w="8895" w:type="dxa"/>
            <w:gridSpan w:val="2"/>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jc w:val="right"/>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lastRenderedPageBreak/>
              <w:t>Continúa...</w:t>
            </w:r>
          </w:p>
        </w:tc>
      </w:tr>
      <w:tr w:rsidR="00401DFF" w:rsidRPr="00401DFF" w:rsidTr="00401DFF">
        <w:trPr>
          <w:gridAfter w:val="1"/>
          <w:wAfter w:w="177" w:type="dxa"/>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...Continuación</w:t>
            </w:r>
            <w:r w:rsidRPr="00401DFF">
              <w:rPr>
                <w:rFonts w:ascii="Times New Roman" w:eastAsia="Times New Roman" w:hAnsi="Times New Roman" w:cs="Times New Roman"/>
                <w:sz w:val="24"/>
                <w:szCs w:val="24"/>
                <w:lang w:eastAsia="es-CO"/>
              </w:rPr>
              <w:br/>
            </w:r>
            <w:r w:rsidRPr="00401DFF">
              <w:rPr>
                <w:rFonts w:ascii="Times New Roman" w:eastAsia="Times New Roman" w:hAnsi="Times New Roman" w:cs="Times New Roman"/>
                <w:b/>
                <w:bCs/>
                <w:sz w:val="24"/>
                <w:szCs w:val="24"/>
                <w:lang w:eastAsia="es-CO"/>
              </w:rPr>
              <w:t>Ejemplo de aplicación</w:t>
            </w:r>
          </w:p>
        </w:tc>
      </w:tr>
      <w:tr w:rsidR="00401DFF" w:rsidRPr="00401DFF" w:rsidTr="00401DFF">
        <w:trPr>
          <w:gridAfter w:val="1"/>
          <w:wAfter w:w="177" w:type="dxa"/>
          <w:tblCellSpacing w:w="15" w:type="dxa"/>
          <w:jc w:val="center"/>
        </w:trPr>
        <w:tc>
          <w:tcPr>
            <w:tcW w:w="8895" w:type="dxa"/>
            <w:tcBorders>
              <w:top w:val="outset" w:sz="6" w:space="0" w:color="auto"/>
              <w:left w:val="outset" w:sz="6" w:space="0" w:color="auto"/>
              <w:bottom w:val="outset" w:sz="6" w:space="0" w:color="auto"/>
              <w:right w:val="outset" w:sz="6" w:space="0" w:color="auto"/>
            </w:tcBorders>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Dada la situación anterior, los siguientes factores y circunstancias son relevantes:</w:t>
            </w:r>
            <w:r w:rsidRPr="00401DFF">
              <w:rPr>
                <w:rFonts w:ascii="Times New Roman" w:eastAsia="Times New Roman" w:hAnsi="Times New Roman" w:cs="Times New Roman"/>
                <w:sz w:val="24"/>
                <w:szCs w:val="24"/>
                <w:lang w:eastAsia="es-CO"/>
              </w:rPr>
              <w:br/>
              <w:t>• La obligación de las partes de comprar todos los productos elaborados por la entidad C refleja la dependencia exclusiva de ésta con respecto a las partes para la generación de flujos de efectivo y, por ello, las partes tienen la obligación de financiar la liquidación de los pasivos de la entidad C.</w:t>
            </w:r>
            <w:r w:rsidRPr="00401DFF">
              <w:rPr>
                <w:rFonts w:ascii="Times New Roman" w:eastAsia="Times New Roman" w:hAnsi="Times New Roman" w:cs="Times New Roman"/>
                <w:sz w:val="24"/>
                <w:szCs w:val="24"/>
                <w:lang w:eastAsia="es-CO"/>
              </w:rPr>
              <w:br/>
              <w:t>• El hecho de que las partes tengan derechos sobre todo el producto elaborado por la entidad C significa que las partes están consumiendo, y por ello, tienen derecho a todos los beneficios económicos de los activos de la entidad C.</w:t>
            </w:r>
            <w:r w:rsidRPr="00401DFF">
              <w:rPr>
                <w:rFonts w:ascii="Times New Roman" w:eastAsia="Times New Roman" w:hAnsi="Times New Roman" w:cs="Times New Roman"/>
                <w:sz w:val="24"/>
                <w:szCs w:val="24"/>
                <w:lang w:eastAsia="es-CO"/>
              </w:rPr>
              <w:br/>
              <w:t>Estos hechos y circunstancias indican que el acuerdo es una operación conjunta. La conclusión sobre la clasificación del acuerdo conjunto en estas circunstancias no cambiaría si, en lugar de utilizar las partes ellas mismas su parte del producto en un proceso de fabricación posterior, las partes vendieran su parte del producto a terceros.</w:t>
            </w:r>
            <w:r w:rsidRPr="00401DFF">
              <w:rPr>
                <w:rFonts w:ascii="Times New Roman" w:eastAsia="Times New Roman" w:hAnsi="Times New Roman" w:cs="Times New Roman"/>
                <w:sz w:val="24"/>
                <w:szCs w:val="24"/>
                <w:lang w:eastAsia="es-CO"/>
              </w:rPr>
              <w:br/>
              <w:t>Si las partes cambiaran las cláusulas del acuerdo contractual de forma que dicho acuerdo fuera capaz de vender el producto a terceros, esto daría lugar a que la entidad C asumiera la demanda, inventario y riesgos de crédito. En ese escenario, este cambio en los hechos y circunstancias requeriría la nueva evaluación de la clasificación del acuerdo conjunto. Estos hechos y circunstancias indicarían que el acuerdo es un negocio conjunto.</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El siguiente diagrama refleja la evaluación que una entidad sigue para clasificar un acuerdo cuando el acuerdo conjunto se estructura a través de un vehículo separado:</w:t>
      </w:r>
    </w:p>
    <w:tbl>
      <w:tblPr>
        <w:tblW w:w="2350" w:type="pct"/>
        <w:jc w:val="center"/>
        <w:tblCellSpacing w:w="0" w:type="dxa"/>
        <w:tblCellMar>
          <w:left w:w="0" w:type="dxa"/>
          <w:right w:w="0" w:type="dxa"/>
        </w:tblCellMar>
        <w:tblLook w:val="04A0" w:firstRow="1" w:lastRow="0" w:firstColumn="1" w:lastColumn="0" w:noHBand="0" w:noVBand="1"/>
      </w:tblPr>
      <w:tblGrid>
        <w:gridCol w:w="8715"/>
      </w:tblGrid>
      <w:tr w:rsidR="00401DFF" w:rsidRPr="00401DFF" w:rsidTr="00401DFF">
        <w:trPr>
          <w:tblCellSpacing w:w="0" w:type="dxa"/>
          <w:jc w:val="center"/>
        </w:trPr>
        <w:tc>
          <w:tcPr>
            <w:tcW w:w="90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Clasificación de un acuerdo conjunto estructurado a través de un vehículo</w:t>
            </w:r>
          </w:p>
        </w:tc>
      </w:tr>
      <w:tr w:rsidR="00401DFF" w:rsidRPr="00401DFF" w:rsidTr="00401DFF">
        <w:trPr>
          <w:tblCellSpacing w:w="0" w:type="dxa"/>
          <w:jc w:val="center"/>
        </w:trPr>
        <w:tc>
          <w:tcPr>
            <w:tcW w:w="904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Pr>
                <w:rFonts w:ascii="Times New Roman" w:eastAsia="Times New Roman" w:hAnsi="Times New Roman" w:cs="Times New Roman"/>
                <w:noProof/>
                <w:sz w:val="24"/>
                <w:szCs w:val="24"/>
                <w:lang w:eastAsia="es-CO"/>
              </w:rPr>
              <w:lastRenderedPageBreak/>
              <mc:AlternateContent>
                <mc:Choice Requires="wps">
                  <w:drawing>
                    <wp:inline distT="0" distB="0" distL="0" distR="0" wp14:anchorId="35AD4B84" wp14:editId="5436C465">
                      <wp:extent cx="5534025" cy="7790180"/>
                      <wp:effectExtent l="0" t="0" r="0" b="0"/>
                      <wp:docPr id="1" name="Rectángulo 1" descr="D2784IMANIIF11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34025" cy="779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2784IMANIIF111.png" style="width:435.75pt;height:6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" filled="f" stroked="f">
                      <o:lock v:ext="edit" aspectratio="t"/>
                      <w10:anchorlock/>
                    </v:rect>
                  </w:pict>
                </mc:Fallback>
              </mc:AlternateConten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Estados financieros de las partes de un acuerdo conjunto (párrafo 22)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Contabilidad de las ventas o aportaciones de activos a una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Cuando una entidad realiza una transacción con una operación conjunta en la que es un operador conjunto, tal como una venta o aportación de activos, está realizando la transacción con las otras partes de la operación conjunta y, como tal, el operador conjunto reconocerá ganancias y pérdidas procedentes de esta transacción solo en la medida de las participaciones de las otras partes en la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Cuando estas transacciones proporcionen evidencia de una reducción en el valor neto realizable de los activos a ser vendidos o aportados a la operación conjunta o de un deterioro de valor de esos activos, esas pérdidas se reconocerán totalmente por el operador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Contabilización de compras de activos procedentes de una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B36 Cuando una entidad realiza una transacción con una operación conjunta en la que es un operador conjunto, tal como una compra de activos, no reconocerá su participación en las ganancias y pérdidas hasta que revenda esos activos a un tercero.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Cuando estas transacciones proporcionen evidencia de una reducción en el valor neto realizable de los activos a ser comprados o de un deterioro de valor de esos activos, el operador conjunto reconocerá su participación en esas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transición y derogación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integral de la NIIF y tiene el mismo carácter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C1 Una entidad aplicará esta NIIF en los periodos anuales que comiencen a partir del 1 de enero de 2013. Se permite su aplicación anticipada. Si una entidad aplica esta NIIF de forma anticipada, revelará ese hecho y aplicará al mismo tiempo la NIIF 10, NIIF 12 </w:t>
      </w:r>
      <w:r w:rsidRPr="00401DFF">
        <w:rPr>
          <w:rFonts w:ascii="Times New Roman" w:eastAsia="Times New Roman" w:hAnsi="Times New Roman" w:cs="Times New Roman"/>
          <w:i/>
          <w:iCs/>
          <w:sz w:val="24"/>
          <w:szCs w:val="24"/>
          <w:lang w:eastAsia="es-CO"/>
        </w:rPr>
        <w:t>Información a Revelar sobre Participaciones en Otras Entidades,</w:t>
      </w:r>
      <w:r w:rsidRPr="00401DFF">
        <w:rPr>
          <w:rFonts w:ascii="Times New Roman" w:eastAsia="Times New Roman" w:hAnsi="Times New Roman" w:cs="Times New Roman"/>
          <w:sz w:val="24"/>
          <w:szCs w:val="24"/>
          <w:lang w:eastAsia="es-CO"/>
        </w:rPr>
        <w:t xml:space="preserve"> NIC 27 (modificada en 2011) y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Negocios conjuntos-transición de la consolidación proporcional al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C2 Cuando una entidad cambie de la consolidación proporcional al método de la participación, reconocerá su inversión en el negocio conjunto como ocurrido al comienzo del primer periodo presentado. Esa inversión inicial se medirá como la suma de los </w:t>
      </w:r>
      <w:r w:rsidRPr="00401DFF">
        <w:rPr>
          <w:rFonts w:ascii="Times New Roman" w:eastAsia="Times New Roman" w:hAnsi="Times New Roman" w:cs="Times New Roman"/>
          <w:sz w:val="24"/>
          <w:szCs w:val="24"/>
          <w:lang w:eastAsia="es-CO"/>
        </w:rPr>
        <w:lastRenderedPageBreak/>
        <w:t>importes en libros de los activos y pasivos que la entidad haya consolidado proporcionalmente con anterioridad, incluyendo la plusvalía que surja de la adquisición. Si la plusvalía pertenecía con anterioridad a una unidad generadora de efectivo más grande, o a un grupo de unidades generadoras de efectivo, la entidad asignará la plusvalía al negocio conjunto sobre la base de los importes en libros relacionados con el negocio conjunto y la unidad generadora de efectivo o grupo de unidades generadoras de efectivo a las que pertenecía.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C3 El saldo de apertura de la inversión determinado de acuerdo con el párrafo C2 se considerará como el costo atribuido de la inversión en el reconocimiento inicial. Una entidad aplicará los párrafos 40 a 43 de la NIC 28 (modificada en 2011) al saldo de apertura de la inversión para evaluar si la inversión tiene deteriorado su valor y reconocerá la pérdida por deterioro de valor como un ajuste en las ganancias acumuladas al comienzo del primer periodo presentado. La excepción en el reconocimiento inicial de los párrafos 15 y 24 de la NIC 12 </w:t>
      </w:r>
      <w:r w:rsidRPr="00401DFF">
        <w:rPr>
          <w:rFonts w:ascii="Times New Roman" w:eastAsia="Times New Roman" w:hAnsi="Times New Roman" w:cs="Times New Roman"/>
          <w:i/>
          <w:iCs/>
          <w:sz w:val="24"/>
          <w:szCs w:val="24"/>
          <w:lang w:eastAsia="es-CO"/>
        </w:rPr>
        <w:t xml:space="preserve">Impuestos a las Ganancias </w:t>
      </w:r>
      <w:r w:rsidRPr="00401DFF">
        <w:rPr>
          <w:rFonts w:ascii="Times New Roman" w:eastAsia="Times New Roman" w:hAnsi="Times New Roman" w:cs="Times New Roman"/>
          <w:sz w:val="24"/>
          <w:szCs w:val="24"/>
          <w:lang w:eastAsia="es-CO"/>
        </w:rPr>
        <w:t>no se aplicará cuando la entidad reconozca una inversión en un negocio conjunto procedente de la aplicación de los requerimientos de transición para los negocios conjuntos que había sido consolidada anteriormente de forma proporcional.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C4 Si la suma de todos los activos y pasivos anteriormente consolidados proporcionalmente da lugar a activos netos negativos, una entidad evaluará si tiene obligaciones legales o implícitas en relación con los activos netos negativos y, si es así, la entidad reconocerá el pasivo que corresponda. Si la entidad concluye que no tiene obligaciones legales o implícitas en relación con activos netos negativos, no reconocerá el pasivo que corresponda pero ajustará las ganancias acumuladas al comienzo del primer periodo presentado. La entidad revelará este hecho, junto con la parte acumulada no reconocida de pérdidas de sus negocios conjuntos al comienzo del primer periodo presentado y en la fecha en que se aplique esta NIIF por primera vez.</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C5 Una entidad revelará de forma desglosada los activos y pasivos que se han agregado en la partida única del saldo de inversión al comienzo del primer periodo presentado. Esa información a revelar se elaborará de forma agregada para todos los negocios conjuntos a los que una entidad aplique los requerimientos de transición a los que se refieren los párrafos C2 a C6.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C6 Tras el reconocimiento inicial, una entidad contabilizará sus inversiones en el negocio conjunto utilizando el método de la participación de acuerdo con la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Operaciones conjuntas-transición del método de la participación a la contabilización de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C7 Cuando una entidad cambie del método de la participación a la contabilización de los activos y pasivos con respecto a su participación en una operación conjunta, dará de baja en cuentas, al comienzo del primer periodo presentado, la inversión que estaba contabilizada anteriormente utilizando el método de la participación y cualesquiera otras partidas que formaban parte de los activos netos de la entidad en el acuerdo según el párrafo 38 de la </w:t>
      </w:r>
      <w:r w:rsidRPr="00401DFF">
        <w:rPr>
          <w:rFonts w:ascii="Times New Roman" w:eastAsia="Times New Roman" w:hAnsi="Times New Roman" w:cs="Times New Roman"/>
          <w:sz w:val="24"/>
          <w:szCs w:val="24"/>
          <w:lang w:eastAsia="es-CO"/>
        </w:rPr>
        <w:lastRenderedPageBreak/>
        <w:t>NIC 28 (modificada en 2011), y reconocerá su parte en cada uno de los activos y pasivos con respecto a su participación en la operación conjunta, incluyendo la plusvalía que pueda haber formado parte del importe en libros de la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C8 Una entidad determinará su participación en los activos y pasivos relacionados con la operación conjunta sobre la base de sus derechos y obligaciones en una proporción especificada según el acuerdo contractual. Una entidad medirá los importes en libros iniciales de los activos y pasivos desagregándolos del importe en libros de la inversión al comienzo del primer periodo presentado sobre la base de la información utilizada por la entidad al aplicar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C9 Cualquier diferencia que surja de la inversión anteriormente contabilizada utilizando el método de la participación junto con cualesquiera otras partidas que formaban parte de la inversión neta de la entidad en el acuerdo según el párrafo 38 de la NIC 28 (modificada en 2011), y el importe neto de los activos y pasivos reconocidos, incluyendo la plusvalía, 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Compensará contra la plusvalía relacionada con la inversión con cualquier diferencia restante ajustada contra ganancias acumuladas al comienzo del primer periodo presentado, si el importe neto de los activos y pasivos reconocidos, incluyendo la plusvalía, es mayor que la inversión dada de baja en cuentas (y cualesquiera otras partidas que formaban parte de la inversión neta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Ajustará contra las ganancias acumuladas al comienzo del primer periodo presentado, si el importe neto de los activos y pasivos reconocidos, incluyendo la plusvalía, es menor que la inversión dada de baja en cuentas (y cualesquiera otras partidas que formaban parte de la inversión neta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C10 Una entidad que cambie del método de la participación a la contabilidad de los activos y pasivos proporcionará una conciliación entre la inversión dada de baja en cuentas, y los activos y pasivos reconocidos, junto con cualquier diferencia restante ajustada contra las ganancias acumuladas, al comienzo del primer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C11 La excepción en el reconocimiento inicial de los párrafos 15 y 24 de la NIC 12 no se aplicará cuando la entidad reconozca los activos y pasivos relacionados con su participación en una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Disposiciones transitorias en los estados financieros separados en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C12 Una entidad que, de acuerdo con el párrafo 10 de la NIC 27, estuviera anteriormente contabilizando en sus estados financieros separados su participación en una operación conjunta como una inversión al costo o de acuerdo con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Dará de baja en cuentas la inversión y reconocerá los activos y pasivos con respecto a su participación en la operación conjunta por los importes determinados de acuerdo con los párrafos C7 a C9.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Proporcionará una conciliación entre la inversión dada de baja en cuentas y los activos y pasivos reconocidos, junto con cualquier diferencia restante ajustada en las ganancias acumuladas, al comienzo del primer periodo presentado.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C13 La excepción en el reconocimiento inicial de los párrafos 15 y 24 de la NIC 12 no se aplicará cuando la entidad reconozca los activos y pasivos relacionados con su participación en una operación conjunta en sus estados financieros separados procedentes de la aplicación de los requerimientos de transición para operaciones conjuntas referidos en el párrafo C12.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C14 Si una entidad aplica esta NIIF pero no aplica todavía la NIIF 9, cualquier referencia a la NIIF 9 deberá interpretarse como una referencia a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Derogación de otras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C15 Esta Norma sustituye a las siguientes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b/>
          <w:bCs/>
          <w:i/>
          <w:iCs/>
          <w:sz w:val="24"/>
          <w:szCs w:val="24"/>
          <w:lang w:eastAsia="es-CO"/>
        </w:rPr>
        <w:t xml:space="preserve">NIC 31 </w:t>
      </w:r>
      <w:r w:rsidRPr="00401DFF">
        <w:rPr>
          <w:rFonts w:ascii="Times New Roman" w:eastAsia="Times New Roman" w:hAnsi="Times New Roman" w:cs="Times New Roman"/>
          <w:i/>
          <w:iCs/>
          <w:sz w:val="24"/>
          <w:szCs w:val="24"/>
          <w:lang w:eastAsia="es-CO"/>
        </w:rPr>
        <w:t>Participaciones en Negocios Conjuntos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SIC-13 </w:t>
      </w:r>
      <w:r w:rsidRPr="00401DFF">
        <w:rPr>
          <w:rFonts w:ascii="Times New Roman" w:eastAsia="Times New Roman" w:hAnsi="Times New Roman" w:cs="Times New Roman"/>
          <w:i/>
          <w:iCs/>
          <w:sz w:val="24"/>
          <w:szCs w:val="24"/>
          <w:lang w:eastAsia="es-CO"/>
        </w:rPr>
        <w:t xml:space="preserve">Entidades Controladas Conjuntamente </w:t>
      </w:r>
      <w:r w:rsidRPr="00401DFF">
        <w:rPr>
          <w:rFonts w:ascii="Arial" w:eastAsia="Times New Roman" w:hAnsi="Arial" w:cs="Arial"/>
          <w:i/>
          <w:iCs/>
          <w:sz w:val="24"/>
          <w:szCs w:val="24"/>
          <w:lang w:eastAsia="es-CO"/>
        </w:rPr>
        <w:t>—</w:t>
      </w:r>
      <w:r w:rsidRPr="00401DFF">
        <w:rPr>
          <w:rFonts w:ascii="Times New Roman" w:eastAsia="Times New Roman" w:hAnsi="Times New Roman" w:cs="Times New Roman"/>
          <w:i/>
          <w:iCs/>
          <w:sz w:val="24"/>
          <w:szCs w:val="24"/>
          <w:lang w:eastAsia="es-CO"/>
        </w:rPr>
        <w:t>Aportaciones No Monetarias de los Participantes.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12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Información a Revelar sobre Participaciones en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El objetivo de esta NIIF es requerir que una entidad revele información que permita a los usuarios de sus estados financieros evaluar: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la naturaleza de sus </w:t>
      </w:r>
      <w:r w:rsidRPr="00401DFF">
        <w:rPr>
          <w:rFonts w:ascii="Times New Roman" w:eastAsia="Times New Roman" w:hAnsi="Times New Roman" w:cs="Times New Roman"/>
          <w:b/>
          <w:bCs/>
          <w:i/>
          <w:iCs/>
          <w:sz w:val="24"/>
          <w:szCs w:val="24"/>
          <w:lang w:eastAsia="es-CO"/>
        </w:rPr>
        <w:t>participaciones en otras entidades</w:t>
      </w:r>
      <w:r w:rsidRPr="00401DFF">
        <w:rPr>
          <w:rFonts w:ascii="Times New Roman" w:eastAsia="Times New Roman" w:hAnsi="Times New Roman" w:cs="Times New Roman"/>
          <w:b/>
          <w:bCs/>
          <w:sz w:val="24"/>
          <w:szCs w:val="24"/>
          <w:lang w:eastAsia="es-CO"/>
        </w:rPr>
        <w:t xml:space="preserve"> y los riesgos asociados con éstas,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los efectos de esas participaciones en su situación financiera, rendimiento financiero y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Cumplimiento del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Para cumplir el objetivo del párrafo 1,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los juicios y supuestos significativos que ha realizado para determinar la naturaleza de su participación en otra entidad o acuerdo, y el tipo de acuerdo conjunto en el que tiene una participación (párrafos 7 a 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información sobre su participación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subsidiarias (párrafos 10 a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acuerdos conjuntos y asociadas (párrafos 20 a 23);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(iii) </w:t>
      </w:r>
      <w:r w:rsidRPr="00401DFF">
        <w:rPr>
          <w:rFonts w:ascii="Times New Roman" w:eastAsia="Times New Roman" w:hAnsi="Times New Roman" w:cs="Times New Roman"/>
          <w:i/>
          <w:iCs/>
          <w:sz w:val="24"/>
          <w:szCs w:val="24"/>
          <w:lang w:eastAsia="es-CO"/>
        </w:rPr>
        <w:t xml:space="preserve">entidades estructuradas </w:t>
      </w:r>
      <w:r w:rsidRPr="00401DFF">
        <w:rPr>
          <w:rFonts w:ascii="Times New Roman" w:eastAsia="Times New Roman" w:hAnsi="Times New Roman" w:cs="Times New Roman"/>
          <w:sz w:val="24"/>
          <w:szCs w:val="24"/>
          <w:lang w:eastAsia="es-CO"/>
        </w:rPr>
        <w:t>que no están controladas por la entidad (entidades estructuradas no consolidadas) (párrafos 24 a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Si la información a revelar requerida por esta NIIF, junto con la requerida por otras NIIF, no cumple el objetivo del párrafo 1, una entidad revelará cualquier otra información adicional que sea necesaria para cumplir con ese 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Una entidad considerará el nivel de detalle necesario para satisfacer el objetivo de información a revelar y cuánto énfasis poner en cada uno de los requerimientos de esta NIIF. Acumulará o desglosará información a revelar de forma que la utilidad de la información no se obstaculice por la inclusión de un gran volumen de detalles insignificantes o la agrupación de partidas que tengan diferentes características (véanse los párrafos B2 a B6).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Esta NIIF se aplicará por una entidad que tiene una participación en las siguientes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acuerdos conjuntos (es decir, operaciones conjuntas o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Esta NIIF no se aplicará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Los planes de beneficios post-empleo u otros planes de beneficios a largo plazo a los empleados a los que se aplica la NIC 19 </w:t>
      </w:r>
      <w:r w:rsidRPr="00401DFF">
        <w:rPr>
          <w:rFonts w:ascii="Times New Roman" w:eastAsia="Times New Roman" w:hAnsi="Times New Roman" w:cs="Times New Roman"/>
          <w:i/>
          <w:iCs/>
          <w:sz w:val="24"/>
          <w:szCs w:val="24"/>
          <w:lang w:eastAsia="es-CO"/>
        </w:rPr>
        <w:t>Beneficios a los Empleados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estados financieros separados de una entidad a la que se aplica la NIC 27 </w:t>
      </w:r>
      <w:r w:rsidRPr="00401DFF">
        <w:rPr>
          <w:rFonts w:ascii="Times New Roman" w:eastAsia="Times New Roman" w:hAnsi="Times New Roman" w:cs="Times New Roman"/>
          <w:i/>
          <w:iCs/>
          <w:sz w:val="24"/>
          <w:szCs w:val="24"/>
          <w:lang w:eastAsia="es-CO"/>
        </w:rPr>
        <w:t>Estados Financieros Separados</w:t>
      </w:r>
      <w:r w:rsidRPr="00401DFF">
        <w:rPr>
          <w:rFonts w:ascii="Times New Roman" w:eastAsia="Times New Roman" w:hAnsi="Times New Roman" w:cs="Times New Roman"/>
          <w:sz w:val="24"/>
          <w:szCs w:val="24"/>
          <w:lang w:eastAsia="es-CO"/>
        </w:rPr>
        <w:t xml:space="preserve">. Sin embargo, si una entidad tiene participaciones en entidades estructuradas no consolidadas y elabora estados financieros separados como sus únicos </w:t>
      </w:r>
      <w:r w:rsidRPr="00401DFF">
        <w:rPr>
          <w:rFonts w:ascii="Times New Roman" w:eastAsia="Times New Roman" w:hAnsi="Times New Roman" w:cs="Times New Roman"/>
          <w:sz w:val="24"/>
          <w:szCs w:val="24"/>
          <w:lang w:eastAsia="es-CO"/>
        </w:rPr>
        <w:lastRenderedPageBreak/>
        <w:t>estados financieros, aplicará los requerimientos de los párrafos 24 a 31 al preparar esos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Una participación mantenida por una entidad que participa en un acuerdo conjunto pero no tiene control conjunto de éste a menos que esa participación dé lugar a una influencia significativa sobre el acuerdo o sea una participación en una entidad estructurada.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Una participación en otra entidad que se contabilice de acuerdo con la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Sin embargo, una entidad aplicará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 cuando esa participación lo sea en una asociada o un negocio conjunto que, de acuerdo con la NIC 28 </w:t>
      </w:r>
      <w:r w:rsidRPr="00401DFF">
        <w:rPr>
          <w:rFonts w:ascii="Times New Roman" w:eastAsia="Times New Roman" w:hAnsi="Times New Roman" w:cs="Times New Roman"/>
          <w:i/>
          <w:iCs/>
          <w:sz w:val="24"/>
          <w:szCs w:val="24"/>
          <w:lang w:eastAsia="es-CO"/>
        </w:rPr>
        <w:t>Inversiones en Asociadas y Negocios Conjuntos,</w:t>
      </w:r>
      <w:r w:rsidRPr="00401DFF">
        <w:rPr>
          <w:rFonts w:ascii="Times New Roman" w:eastAsia="Times New Roman" w:hAnsi="Times New Roman" w:cs="Times New Roman"/>
          <w:sz w:val="24"/>
          <w:szCs w:val="24"/>
          <w:lang w:eastAsia="es-CO"/>
        </w:rPr>
        <w:t xml:space="preserve"> se mida al valor razonable con cambios en resultados;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cuando esa participación sea en una entidad estructurada no consolidada.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Juicios y supuestos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7 Una entidad revelará información sobre los juicios y supuestos significativos realizados (y cambios en esos juicios y supuestos) para determinar: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que tiene el control de otra entidad, es decir, una participada como se describe en los párrafos 5 y 6 de la NIIF 10 </w:t>
      </w:r>
      <w:r w:rsidRPr="00401DFF">
        <w:rPr>
          <w:rFonts w:ascii="Times New Roman" w:eastAsia="Times New Roman" w:hAnsi="Times New Roman" w:cs="Times New Roman"/>
          <w:b/>
          <w:bCs/>
          <w:i/>
          <w:iCs/>
          <w:sz w:val="24"/>
          <w:szCs w:val="24"/>
          <w:lang w:eastAsia="es-CO"/>
        </w:rPr>
        <w:t>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que tiene el control conjunto de un acuerdo o influencia significativa sobre otra entidad;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el tipo de acuerdo conjunto (es decir, operación conjunta o negocio conjunto) cuando el acuerdo ha sido estructurado a través de un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Los juicios y supuestos significativos revelados de acuerdo con el párrafo 7 incluyen los realizados por la entidad cuando los cambios en hechos y circunstancias son tales que la conclusión sobre si tiene control, control conjunto o influencia significativa cambia durante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Para cumplir con el párrafo 7, una entidad revelará, por ejemplo, los juicios y supuestos significativos realizados para determinar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controla otra entidad aún cuando mantenga más de la mitad de los derechos de voto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Controla otra entidad aún cuando mantenga menos de la mitad de los derechos de voto de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Es un agente o un principal (véanse los párrafos B58 a B72 de la NIIF 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No tiene influencia significativa aún cuando mantengan el 20 por ciento o más de los derechos de voto de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Tiene influencia significativa aún cuando mantenga menos del 20 por ciento de los derechos de voto de otra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10 Una entidad revelará información que permita a los usuarios de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comprender: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composición del grupo;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participación que las participaciones no controladoras tienen en las actividades y flujos de efectivo del grupo (párrafo 12);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evaluar: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 la naturaleza y alcance de restricciones significativas sobre su capacidad para acceder o utilizar activos, y liquidar pasivos, del grupo (párrafo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 la naturaleza de los riesgos asociados con su participación en entidades estructuradas consolidadas y los cambios en éstas (párrafos 14 a 17);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(iii) las consecuencias de cambios en su participación en la propiedad de una subsidiaria que no dan lugar a una pérdida del control (párrafo 18);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(iv) las consecuencias de la pérdida de control de una subsidiaria durante el periodo sobre el que se informa (párrafo 19).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Cuando los estados financieros de una subsidiaria utilizados para la elaboración de los estados financieros consolidados son a una fecha o para un periodo que es diferente del de los estados financieros consolidados (véanse los párrafos B92 y B93 de la NIIF 10),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fecha del final del periodo sobre el que se informa de los estados financieros de esa subsidiaria;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razón de utilizar una fecha o periodo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que las participaciones no controladoras tienen en las actividades y flujos de efectivo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12 Una entidad revelará para cada una de sus subsidiarias que tienen participaciones no controladoras que son significativas para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nombre de la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domicilio principal donde desarrolle las actividades la subsidiaria (y país donde está constituida, si fuera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proporción de participaciones en la propiedad mantenida por las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proporción de derechos de voto mantenida por las participaciones no controladoras, si fuera diferente de la proporción de las participaciones mantenidas en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resultado del periodo asignado a las participaciones no controladoras de la subsidiaria durante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Las participaciones no controladoras acumuladas de la subsidiaria al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Información financiera resumida sobre la subsidiaria (véase el párrafo B10).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naturaleza y alcance de restricciones significativas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Restricciones significativas (por ejemplo, restricciones estatutarias, contractuales y regulatorias) sobre su capacidad para acceder o utilizar los activos y liquidar los pasivos del grupo, tales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Aquellos que restringen la capacidad de una controladora y sus subsidiarias para transferir, o recibir, efectivo u otros activos a otras entidades dentro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Garantías u otros requerimientos que pueden restringir los dividendos y otras distribuciones de capital a pagar, o préstamos y anticipos a realizar o devolver a, o desde, otras entidades dentro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naturaleza y medida en que los derechos protectores de las participaciones no controladoras pueden restringir significativamente la capacidad de la entidad para acceder o utilizar los activos y liquidar los pasivos del grupo (tales como cuando una controladora está obligada a liquidar pasivos de una subsidiaria antes de liquidar sus propios pasivos, o se requiere la aprobación de participaciones no controladoras para acceder a los activos o liquidar los pasivos de una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en libros de los estados financieros consolidados de los activos y pasivos a los que se aplican esas restricciones.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Naturaleza de los riesgos asociados con las participaciones de una entidad en las entidades estructuradas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14 Una entidad revelará las cláusulas de los acuerdos contractuales que podrían requerir que la controladora o sus subsidiarias proporcionen apoyo financiero a una entidad estructurada consolidada, incluyendo sucesos y circunstancias que podrían exponer a la entidad que informa a una pérdida (por ejemplo acuerdos de liquidez o cláusulas de compensación por variación en la calificación crediticia asociados con obligaciones de comprar activos de la entidad estructurada o proporcionar apoyo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 Si durante el periodo sobre el que se informa una controladora o cualquiera de sus subsidiarias ha proporcionado, sin tener una obligación contractual de hacerlo, apoyo financiero o de otro tipo a una entidad estructurada consolidada (por ejemplo, comprar activos de la entidad estructurada o instrumentos emitidos por ésta),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tipo e importe del apoyo proporcionado, incluyendo situaciones en las que la controladora o sus subsidiarias ayudó a la entidad estructurada a obtener apoyo financiero;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razones para proporcionar el apoyo.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16 Si durante el periodo sobre el que se informa una controladora o cualquiera de sus subsidiarias ha proporcionado, sin tener obligación contractual de hacerlo, apoyo financiero o de otro tipo a una entidad estructurada no consolidada con anterioridad y esa prestación de apoyo da lugar a que la entidad controle la entidad estructurada, la entidad revelará una explicación de los factores relevantes para llegar a esa decisión.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Una entidad revelará los propósitos presentes para proporcionar apoyo financiero o de otro tipo a una entidad estructurada consolidada, incluyendo las intenciones de ayudar a la entidad estructurada a obtener apoyo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Consecuencias de cambios en la participación en la propiedad de una controladora en una subsidiaria que no den lugar a una 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Una entidad presentará un cuadro que muestre los efectos en el patrimonio atribuible a los propietarios de la controladora de los cambios en su participación en la propiedad de una subsidiaria que no den lugar a pérdida de control.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Consecuencias de la pérdida de control de una subsidiaria durante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Una entidad revelará las ganancias o pérdidas, si las hubiera, calculadas de acuerdo con el párrafo 25 de la NIIF 10,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la parte de esa ganancia o pérdida atribuible a la medición de cualquier inversión conservada en la antigua subsidiaria por su valor razonable en la fecha en la que pierda el control;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partida, o partidas, en el resultado del periodo en la que se reconoce la ganancia o pérdida (si no se presenta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acuerdos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20 Una entidad revelará información que permita a los usuarios de sus estados financieros evaluar: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naturaleza, alcance y efectos financieros de sus participaciones en acuerdos conjuntos y asociadas, incluyendo la naturaleza y efectos de su relación contractual con los otros inversores con control conjunto de los acuerdos conjuntos y asociadas o influencia significativa sobre éstos (párrafos 21 y 22);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la naturaleza de los riesgos asociados con sus participaciones en negocios conjuntos y asociadas y los cambios en estos (párrafo 23).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alcance y efectos financieros de las participaciones de la entidad en acuerdos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21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para cada acuerdo conjunto y asociada que sea significativo para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nombre del acuerdo conjunto o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naturaleza de la relación de la entidad que informa con el acuerdo conjunto o asociada (mediante, por ejemplo, la descripción de la naturaleza de las actividades del acuerdo conjunto o asociada y si son estratégicos para las actividades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el domicilio principal donde el acuerdo conjunto o asociada desarrolle las actividades (y país donde está constituida, si fuera diferente del domicilio principal donde desarrolle las actividades).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La proporción de participación en la propiedad, o la parte con que participa, mantenida por la entidad y, si fuera diferente, la proporción de derechos de voto mantenida (si fuera aplicable).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cada negocio conjunto y asociada que sea significativo para la entidad que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la inversión en el negocio conjunto o asociada se mide utilizando el método de la participación o al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Información financiera resumida sobre el negocio conjunto o asociada como se especifica en los párrafos B12 y B13.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Si el negocio conjunto o asociada se contabiliza utilizando el método de la participación, el valor razonable o su inversión en el negocio conjunto o asociada, si existe un precio de mercado cotizado para la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Información financiera como se especifica en el párrafo B16 sobre las inversiones de la entidad en negocios conjuntos y asociadas que no son individualmente significativas: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de forma agregada para todos los negocios conjuntos que no son significativos de forma individual y, por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de forma agregada para todas las asociadas que no son significativas de forma individual.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 Una entidad revelará también: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y alcance de las restricciones significativas (por ejemplo procedentes de acuerdos de préstamo, requerimientos regulatorios o acuerdos contractuales entre inversores con control conjunto de un negocio conjunto o una asociada o influencia significativa sobre ésta) sobre la capacidad de los negocios conjuntos o asociadas de transferir fondos a la entidad en forma de dividendos en efectivo, o reembolso de préstamos o anticipos realizados por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Cuando los estados financieros de un negocio conjunto o asociada utilizados para aplicar el método de la participación están referidos a una fecha o un periodo que es diferente del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 fecha del final del periodo sobre el que se informa de los estados financieros de ese negocio conjunto o asociada;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razón de utilizar una fecha o periodo diferente.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parte no reconocida en las pérdidas de un negocio conjunto o asociada, tanto para el periodo sobre el que se informa como de forma acumulada, si la entidad ha dejado de reconocer su parte de las pérdidas de un negocio conjunto o asociada al aplicar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Riesgos asociados con las participaciones de una entidad en negocios conjuntos o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compromisos que tiene relativos a sus negocios conjuntos por separado de los otros compromisos como se especifica en los párrafos B18 a B20.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 Los pasivos contingentes incurridos en relación con sus participaciones en negocios conjuntos o asociadas (incluyendo su participación en pasivos contingentes incurridos conjuntamente con otros inversores con control conjunto de los negocios conjuntos o asociadas o influencia significativa sobre éstos), de forma separada de los otros pasivos contingentes, de acuerdo con la NIC 37 </w:t>
      </w:r>
      <w:r w:rsidRPr="00401DFF">
        <w:rPr>
          <w:rFonts w:ascii="Times New Roman" w:eastAsia="Times New Roman" w:hAnsi="Times New Roman" w:cs="Times New Roman"/>
          <w:i/>
          <w:iCs/>
          <w:sz w:val="24"/>
          <w:szCs w:val="24"/>
          <w:lang w:eastAsia="es-CO"/>
        </w:rPr>
        <w:t>Provisiones, Pasivos Contingentes y Activos Contingentes,</w:t>
      </w:r>
      <w:r w:rsidRPr="00401DFF">
        <w:rPr>
          <w:rFonts w:ascii="Times New Roman" w:eastAsia="Times New Roman" w:hAnsi="Times New Roman" w:cs="Times New Roman"/>
          <w:sz w:val="24"/>
          <w:szCs w:val="24"/>
          <w:lang w:eastAsia="es-CO"/>
        </w:rPr>
        <w:t xml:space="preserve"> a menos que la probabilidad de pérdida sea remota.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Una entidad revelará información que permita a los usuarios de sus estados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comprender la naturaleza y alcance de sus participaciones en entidades estructuradas no consolidadas (párrafos 26 a 28);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evaluar la naturaleza de los riesgos asociados con sus participaciones en entidades estructuradas no consolidadas y los cambios en estas (párrafos 29 a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 La información requerida por el párrafo 24(b) incluye información sobre la exposición al riesgo de una entidad procedente de la implicación que tuvo en entidades estructuradas no consolidadas en periodos anteriores (por ejemplo, patrocinando la entidad estructurada), incluso si la entidad ya no tiene implicación contractual con la entidad estructurada en la fecha de presentación.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Naturaleza de las participaciones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26 Una entidad revelará información cuantitativa y cualitativa sobre sus participaciones en entidades estructuradas no consolidadas, que incluye, pero no se limita a, la naturaleza, propósito, tamaño y actividades de la entidad estructurada y la forma en que ésta se financia.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27 Si una entidad ha patrocinado una entidad estructurada no consolidada para la que no se proporciona la información requerida por el párrafo 29 (por ejemplo, porque no tiene una participación en la entidad en la fecha de presentación),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forma en que ha determinado las entidades estructuradas que ha patrocinado;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los </w:t>
      </w:r>
      <w:r w:rsidRPr="00401DFF">
        <w:rPr>
          <w:rFonts w:ascii="Times New Roman" w:eastAsia="Times New Roman" w:hAnsi="Times New Roman" w:cs="Times New Roman"/>
          <w:i/>
          <w:iCs/>
          <w:sz w:val="24"/>
          <w:szCs w:val="24"/>
          <w:lang w:eastAsia="es-CO"/>
        </w:rPr>
        <w:t>ingresos procedentes de esas entidades estructuradas</w:t>
      </w:r>
      <w:r w:rsidRPr="00401DFF">
        <w:rPr>
          <w:rFonts w:ascii="Times New Roman" w:eastAsia="Times New Roman" w:hAnsi="Times New Roman" w:cs="Times New Roman"/>
          <w:sz w:val="24"/>
          <w:szCs w:val="24"/>
          <w:lang w:eastAsia="es-CO"/>
        </w:rPr>
        <w:t xml:space="preserve"> durante el periodo sobre el que se informa, incluyendo una descripción de los tipos de ingreso presentados;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en libros (en el momento de la transferencia) de todos los activos transferidos a esas entidades estructuradas durante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Una entidad presentará la información del párrafo 27(b) y (c) en formato de tabla, a menos que otro formato sea más apropiado, y clasificará sus actividades de patrocinio en las categorías correspondientes (véanse los párrafos B2 a B6).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Naturaleza de los riesgos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Una entidad revelará en forma de tabla, a menos que otro formato sea más apropiado, un resumen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importe en libros de los activos y pasivos reconocidos en sus estados financieros relativos a sus participaciones en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partidas en el estado de situación financiera en las que están reconocidos esos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importe que mejor representa la exposición máxima de la entidad a pérdidas procedentes de sus participaciones en entidades estructuradas no consolidadas, incluyendo la forma en que se determina la máxima exposición a pérdidas. Si una entidad no puede cuantificar su exposición máxima a pérdidas procedentes de sus participaciones en entidades estructuradas no consolidadas, revelará ese hecho y las razones.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Una comparación de los importes en libros de los activos y pasivos de la entidad que relacionan sus participaciones en entidades estructuradas no consolidadas y la exposición máxima de la entidad a pérdidas procedentes de esas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Si durante el periodo sobre el que se informa una entidad ha proporcionado, sin tener una obligación contractual de hacerlo, apoyo financiero o de otro tipo a una entidad estructurada no consolidada en la que tenía con anterioridad o tiene actualmente una participación (por ejemplo, comprar activos de la entidad estructurada o instrumentos emitidos por ésta), la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tipo e importe de apoyo proporcionado, incluyendo situaciones en las que la entidad ayudó a la entidad estructurada a obtener apoyo financiero;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razones para proporcionar el apoyo.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Una entidad revelará los propósitos presentes de proporcionar apoyo financiero o de otro tipo a una entidad estructurada no consolidada, incluyendo las intenciones de ayudar a la entidad estructurada a obtener apoyo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463"/>
        <w:gridCol w:w="4465"/>
      </w:tblGrid>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 estructurada</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participada que ha sido diseñada de forma que los derechos de voto o similares no sean el factor decisivo para decidir quién controla la entidad, tales como cuando los </w:t>
            </w:r>
            <w:r w:rsidRPr="00401DFF">
              <w:rPr>
                <w:rFonts w:ascii="Times New Roman" w:eastAsia="Times New Roman" w:hAnsi="Times New Roman" w:cs="Times New Roman"/>
                <w:sz w:val="24"/>
                <w:szCs w:val="24"/>
                <w:lang w:eastAsia="es-CO"/>
              </w:rPr>
              <w:lastRenderedPageBreak/>
              <w:t>derechos de voto se relacionan solo con las tareas administrativas y las actividades relevantes se dirigen por medio de acuerdos contractuales.</w:t>
            </w:r>
            <w:r w:rsidRPr="00401DFF">
              <w:rPr>
                <w:rFonts w:ascii="Times New Roman" w:eastAsia="Times New Roman" w:hAnsi="Times New Roman" w:cs="Times New Roman"/>
                <w:sz w:val="24"/>
                <w:szCs w:val="24"/>
                <w:lang w:eastAsia="es-CO"/>
              </w:rPr>
              <w:br/>
              <w:t>Los párrafos B22 a B24 proporcionan información adicional sobre las entidades estructuradas.</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Ingreso procedente de una entidad estructurada</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el propósito de esta NIIF, ingreso procedente de una entidad estructurada incluye, pero no se limita a, comisiones recurrentes y no recurrentes, intereses, dividendos, ganancias o pérdidas en la nueva medición, o baja en cuentas de participaciones en entidades estructuradas y ganancias o pérdidas de transferencias de activos y pasivos a la entidad estructurada.</w:t>
            </w:r>
          </w:p>
        </w:tc>
      </w:tr>
      <w:tr w:rsidR="00401DFF" w:rsidRPr="00401DFF" w:rsidTr="00401DFF">
        <w:trPr>
          <w:tblCellSpacing w:w="15" w:type="dxa"/>
          <w:jc w:val="center"/>
        </w:trPr>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participación en otra entidad</w:t>
            </w:r>
          </w:p>
        </w:tc>
        <w:tc>
          <w:tcPr>
            <w:tcW w:w="448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Para el propósito de esta NIIF, una participación en otra entidad se refiere a implicaciones contractuales y no contractuales que expone a una entidad a la variabilidad de los rendimientos procedentes de los de otra entidad. Una participación en otra entidad puede ponerse en evidencia mediante, pero no se limita a, la tenencia de instrumentos de deuda o patrimonio, así como otras formas de implicación tales como la provisión de fondos, apoyo de liquidez, mejora crediticia y garantías. Incluye los medios por los que una entidad tiene control o control conjunto de otra entidad, o influencia significativa sobre ésta. Una entidad no tiene necesariamente una participación en otra entidad, únicamente debido a una relación habitual cliente suministrador.</w:t>
            </w:r>
            <w:r w:rsidRPr="00401DFF">
              <w:rPr>
                <w:rFonts w:ascii="Times New Roman" w:eastAsia="Times New Roman" w:hAnsi="Times New Roman" w:cs="Times New Roman"/>
                <w:sz w:val="24"/>
                <w:szCs w:val="24"/>
                <w:lang w:eastAsia="es-CO"/>
              </w:rPr>
              <w:br/>
              <w:t>Los párrafos B7 a B9 proporcionan información adicional sobre las participaciones en otras entidades.</w:t>
            </w:r>
            <w:r w:rsidRPr="00401DFF">
              <w:rPr>
                <w:rFonts w:ascii="Times New Roman" w:eastAsia="Times New Roman" w:hAnsi="Times New Roman" w:cs="Times New Roman"/>
                <w:sz w:val="24"/>
                <w:szCs w:val="24"/>
                <w:lang w:eastAsia="es-CO"/>
              </w:rPr>
              <w:br/>
              <w:t>Los párrafos B55 a B57 de la NIIF 10 explican la variabilidad de los rendimientos.</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Los siguientes términos se definen en la NIC 27 (modificada en 2011), NIC 28 (modificada en 2011), NIIF 10 y NIIF 11 </w:t>
      </w:r>
      <w:r w:rsidRPr="00401DFF">
        <w:rPr>
          <w:rFonts w:ascii="Times New Roman" w:eastAsia="Times New Roman" w:hAnsi="Times New Roman" w:cs="Times New Roman"/>
          <w:i/>
          <w:iCs/>
          <w:sz w:val="24"/>
          <w:szCs w:val="24"/>
          <w:lang w:eastAsia="es-CO"/>
        </w:rPr>
        <w:t xml:space="preserve">Acuerdos Conjuntos </w:t>
      </w:r>
      <w:r w:rsidRPr="00401DFF">
        <w:rPr>
          <w:rFonts w:ascii="Times New Roman" w:eastAsia="Times New Roman" w:hAnsi="Times New Roman" w:cs="Times New Roman"/>
          <w:sz w:val="24"/>
          <w:szCs w:val="24"/>
          <w:lang w:eastAsia="es-CO"/>
        </w:rPr>
        <w:t>y se utilizan en esta NIIF con los significados especificados en esas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actividades relevantes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acuerdo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derechos protectores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estados financieros consolidados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estados financieros separados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influencia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operación conjunta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participación no controladora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subsidiaria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vehículo separado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 Describe la aplicación de los párrafos 1 a 31 y tiene el mismo valor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Los ejemplos de este apéndice reflejan situaciones hipotéticas. Aunque algunos aspectos de los ejemplos pueden darse en hechos y circunstancias de la realidad, al aplicar la NIIF 12 a situaciones reales se deben analizar las características de cada situación concreta en detalle.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Acumulación (párrafo 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 Una entidad decidirá, a la luz de sus circunstancias, cuánto detalle proporcionará para satisfacer las necesidades de información de los usuarios y cuánto énfasis concede a los diferentes aspectos de los requerimientos y la forma en que acumula la información. Es necesario lograr un equilibrio entre la sobrecarga de los estados financieros con excesivos detalles que pudieran no ayudar a sus usuarios, y la ocultación de información como resultado de su acumulación excesiva.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Una entidad puede acumular la información a revelar requerida por esta NIIF para participaciones en entidades similares si la acumulación es congruente con el objetivo de información a revelar y el requerimiento del párrafo B4, y no oculta la información proporcionada. Una entidad revelará la forma en que ha acumulado sus participaciones en entidades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Una entidad presentará información de forma separada para participaciones 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subsidiarias;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negocios conjuntos;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operaciones conjuntas;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asociadas;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Para determinar si agregar la información, una entidad considerará la información cuantitativa y cualitativa sobre el riesgo diferente y características del rendimiento de cada entidad que se está considerando en la acumulación y la importancia de cada entidad para la entidad que informa. La entidad presentará la información a revelar de una forma que explique con claridad a los usuarios de los estados financieros la naturaleza y alcance de sus participaciones en esas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B6 Ejemplos de niveles de acumulación dentro de las clases de entidades establecidas en el párrafo B4 que pueden ser apropiadas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de actividades (por ejemplo entidad de investigación y desarrollo, una entidad de titulización de tarjetas de crédito rotativo).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clasificación industrial.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geografía (por ejemplo país o región).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otras entidades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B7 Una participación en otra entidad se refiere a implicaciones contractuales y no contractuales que expone a una entidad que informa a la variabilidad del rendimiento </w:t>
      </w:r>
      <w:r w:rsidRPr="00401DFF">
        <w:rPr>
          <w:rFonts w:ascii="Times New Roman" w:eastAsia="Times New Roman" w:hAnsi="Times New Roman" w:cs="Times New Roman"/>
          <w:sz w:val="24"/>
          <w:szCs w:val="24"/>
          <w:lang w:eastAsia="es-CO"/>
        </w:rPr>
        <w:lastRenderedPageBreak/>
        <w:t>procedente del rendimiento de otra entidad. La consideración del propósito y diseño de la otra entidad puede ayudar a la entidad que informa a evaluar si tiene una participación en esa entidad y, por ello, si se le requiere proporcionar la información a revelar en esta NIIF. Esa evaluación incluirá la consideración de los riesgos que la otra entidad fue diseñada para crear y para trasladar a la entidad que informa y a otras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 Una entidad que informa está habitualmente expuesta a la variabilidad de los rendimientos procedentes del rendimiento de otra entidad por la tenencia de instrumentos (tales como los instrumentos de deuda o patrimonio emitidos por la otra entidad) o por tener otra implicación que amortigüe la variabilidad. Por ejemplo, supóngase que una entidad estructurada mantiene una cartera de préstamos. La entidad estructurada obtiene una permuta financiera de incumplimiento de crédito de otra entidad (la entidad que informa) para protegerse a sí misma del incumplimiento de los pagos del principal e intereses de los préstamos. La entidad que informa tiene una implicación que le expone a la variabilidad de los rendimientos procedentes del rendimiento de la entidad estructurada porque la permuta financiera de incumplimiento de crédito amortigua la variabilidad de los rendimientos de la entidad estructurada.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Algunos instrumentos se diseñan para transferir riesgo procedente de la entidad que informa a otra entidad. Estos instrumentos crean variabilidad de rendimientos para la otra entidad pero no exponen habitualmente a la entidad que informa a la variabilidad de los rendimientos procedentes del rendimiento de la otra entidad. Por ejemplo, supóngase que se establece una entidad estructurada para proporcionar oportunidades de inversión para inversores que desean tener exposición al riesgo de crédito de la entidad Z (la entidad Z no está relacionada con parte alguna involucrada en el acuerdo). La entidad estructurada obtiene financiación emitiendo para esos inversores pagarés vinculados al riesgo de crédito de la entidad Z (pagarés vinculados a crédito) y utiliza los productos para invertir en una cartera de activos financieros libres de riesgo. La entidad estructurada obtiene exposición al riesgo de crédito de la entidad Z realizando una permuta financiera de incumplimiento de crédito (CDS) con la contraparte de una permuta financiera. El CDS traslada el riesgo de crédito de la entidad Z a la entidad estructurada a cambio de una comisión pagada por la contraparte de la permuta financiera. Los inversores de la entidad estructurada reciben un rendimiento más alto que refleja el rendimiento de la entidad estructurada procedente de su cartera de activos y la comisión del CDS. La contraparte de la permuta financiera no tiene implicación en la entidad estructurada que le expone a la variabilidad de los rendimientos procedentes del rendimiento de la entidad estructurada, porque el CDS transfiere la variabilidad a la entidad estructurada, en lugar de amortiguar la variabilidad de los rendimientos de la entidad estructurada.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financiera resumida sobre subsidiarias, negocios conjuntos y asociadas (párrafos 12 y 21)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Para cada subsidiaria que tenga participaciones no controladoras que sean significativas para la entidad que informa,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dividendos pagados a las participaciones no controladoras.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Información financiera resumida sobre los activos, pasivos, resultado del periodo y flujos de efectivo de la subsidiaria que permita a los usuarios comprender la participación que tienen las participaciones no controladoras en las actividades y flujos de efectivo del grupo. Esa información puede incluir pero no limitarse a, por ejemplo, activos corrientes y no corrientes, pasivos corrientes y no corrientes, ingresos de actividades ordinarias, resultado del periodo e resultado integral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La información financiera resumida requerida por el párrafo B10 (b) será los importes antes de las eliminaciones inter-empresas.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B12 Para cada negocio conjunto y asociada que sea significativo para la entidad que informa una entidad revelará:</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dividendos recibidos del negocio conjunto o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Información financiera resumida del negocio conjunto o asociada (véanse los párrafos B14 y B15) incluyendo, pero no necesariamente limitándose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Activos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Activos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Pasivos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Pasivos no corrientes.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Ingreso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El resultado del periodo de operaciones 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 El resultado después de impuestos de las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(viii) Otro resultado integral</w:t>
      </w:r>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(ix) El resultado integral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B13 Además de la información financiera resumida requerida por el párrafo B12, una entidad revelará para cada negocio conjunto que sea significativo para la entidad que informa el importe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efectivo y equivalentes al efectivo incluidos en el párrafo B12(b)(i).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pasivos financieros corrientes (excluyendo las cuentas por pagar comerciales y otras cuentas por pagar y provisiones) incluidas en el párrafo B12(b)(iii).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Los pasivos financieros no corrientes (excluyendo las cuentas por pagar comerciales y otras cuentas por pagar y provisiones) incluidas en el párrafo B12(b)(iv).</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depreciación y amortización.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Ingresos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Los gastos por intereses.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El gasto o el ingreso por el impuesto sobre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B14 La información financiera resumida presentada de acuerdo con los párrafos B12 y B13 será los importes incluidos en los estados financieros conforme a las NIIF del negocio conjunto o asociada (y no la participación de la entidad en esos importes). Si la entidad contabiliza su participación en el negocio conjunto o asociada utilizando el método de la participación: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importes incluidos en los estados financieros conforme a las NIIF del negocio conjunto o asociada se ajustarán para reflejar los ajustes realizados por entidad al utilizar el método de la participación, tales como los ajustes del valor razonable realizados en el momento de la adquisición y los ajustes por diferencias en políticas contables.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entidad proporcionará una conciliación de la información financiera resumida presentada al importe en libros de su participación en el negocio conjunto o asociada.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Una entidad puede presentar la información financiera resumida requerida por los párrafos B12 y B13 sobre la base de los estados financieros del negocio conjunto o de la asociada si:</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mide su participación en el negocio conjunto o asociada al valor razonable de acuerdo con la NIC 28 (modificada en 2011);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negocio conjunto o asociada no elabora estados financieros conforme a las NIIF y la preparación sobre esa base sería impracticable o causaría un costo indebido.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ese caso, la entidad revelará la base sobre la que se ha elaborado la información financiera resumida.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B16 Una entidad revelará, de forma agregada, el importe en libros de sus participaciones en todos negocios conjuntos o asociadas individualmente no significativos que se contabilicen utilizando el método de la participación. Una entidad revelará también de forma separada, el importe agregado de su participación en negocios conjuntos y asociadas procedente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resultado del periodo de operaciones 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resultado después de impuestos de las operaciones discontinuadas.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Otro resultado integral</w:t>
      </w:r>
      <w:r w:rsidRPr="00401DFF">
        <w:rPr>
          <w:rFonts w:ascii="Times New Roman" w:eastAsia="Times New Roman" w:hAnsi="Times New Roman" w:cs="Times New Roman"/>
          <w:i/>
          <w:iCs/>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resultado integral total.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proporcionará información a revelar por separado sobre los negocios conjuntos y asociadas.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B17 Cuando la participación de una entidad en una subsidiaria, un negocio conjunto o una asociada (o un parte de su participación en un negocio conjunto o asociada) se clasifique como mantenido para la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xml:space="preserve"> no se requiere que la entidad revele información financiera resumida para esa subsidiaria, negocio conjunto o asociada de acuerdo con los párrafos B10 a B16.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Compromisos con negocios conjuntos [párrafo 23(a)]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Una entidad revelará los compromisos totales que tiene pero que no ha reconocido en la fecha de presentación (incluyendo su participación en compromisos realizados de forma conjunta con otros inversores con control conjunto de un negocio conjunto) relativos a sus participaciones en negocios conjuntos. Los compromisos son los que pueden dar lugar a salidas de efectivo u otros recursos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Los compromisos no reconocidos que pueden dar lugar a salidas de efectivo u otros recursos en el futuro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Compromisos no reconocidos de aportar fondos o recursos como consecuencia de,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Acuerdos de constitución o adquisición de un negocio conjunto (que, por ejemplo, requiera que una entidad aporte fondos a lo largo de un periodo específico).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Proyectos intensivos en capital emprendidos por un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Obligaciones de compra incondicionales, que comprenden la adquisición de equipo, inventario, o servicios que está comprometida una entidad a comprar a un negocio conjunto o en nombre de éste.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Compromisos no reconocidos de proporcionar préstamos u otro apoyo financiero al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Compromisos no reconocidos de aportar recursos a un negocio conjunto, tales como activos o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Otros compromisos no reconocidos que no son cancelables relacionados con el negocio conjunto.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Compromisos no reconocidos de adquirir una participación en la propiedad de otra parte (o parte de esa participación en la propiedad) en un negocio conjunto si tiene lugar o no un suceso concreto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B20 Los requerimientos y ejemplos de los párrafos B18 y B19 ilustran algunos de los tipos de información a revelar requerida por el párrafo 18 de la NIC 24 </w:t>
      </w:r>
      <w:r w:rsidRPr="00401DFF">
        <w:rPr>
          <w:rFonts w:ascii="Times New Roman" w:eastAsia="Times New Roman" w:hAnsi="Times New Roman" w:cs="Times New Roman"/>
          <w:i/>
          <w:iCs/>
          <w:sz w:val="24"/>
          <w:szCs w:val="24"/>
          <w:lang w:eastAsia="es-CO"/>
        </w:rPr>
        <w:t>Información a Revelar sobre Partes Relacionadas.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Participaciones en entidades estructuradas no consolidadas (párrafos 24 a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Entidades estructuradas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B21 Una entidad estructurada es una entidad que ha sido diseñada de forma que los derechos de voto o similares no sean el factor determinante para decidir quién controla la entidad, tal como cuando los derechos de voto se relacionan solo con las tareas administrativas y las actividades relevantes se dirigen por medio de acuerdos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Una entidad estructurada a menudo tiene algunas o todas las características o atributos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Actividades restringidas.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objetivo bien definido y limitado, tal como efectuar un arrendamiento fiscalmente eficiente, llevar a cabo actividades de investigación y desarrollo, proporcionar fuentes de capital o financiación a una entidad o proporcionar oportunidades de inversión a inversores mediante el traspaso de los riesgos y recompensas asociados con los activos de la entidad estructurada a los inversores.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Patrimonio insuficiente para permitir a la entidad estructurada financiar sus actividades sin apoyo financiero subordinado.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Financiación en forma de instrumentos múltiples vinculados contractualmente a inversores que crean concentraciones de riesgos de crédito u otros riesgos (tramos).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B23 Ejemplos de entidades que se consideran entidades estructuradas incluyen, pero no se limitan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Vehículos de titulización.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Financiaciones garantizadas por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Algunos fondos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B24 Una entidad que está controlada mediante derechos de voto no es una entidad estructurada simplemente porque, por ejemplo, reciba fondos de terceros a continuación de una reestructuración.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Naturaleza de los riesgos procedentes de participaciones en entidades estructuradas no consolidadas (párrafos 29 a 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Además de la información requerida por los párrafos 29 a 31, una entidad revelará la información adicional que sea necesaria para cumplir el objetivo sobre información a revelar del párrafo 24(b).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Ejemplos de información adicional que, dependiendo de las circunstancias, puede ser relevante para una evaluación de los riesgos a los que está expuesta una entidad cuando tiene una participación en una entidad estructurada no consolidada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cláusulas de un acuerdo que podría requerir que la entidad proporcionara apoyo financiero a una entidad estructurada no consolidada (por ejemplo acuerdos de liquidez o cláusulas de compensación por variación en la calificación crediticia asociados con obligaciones de comprar activos de la entidad estructurada o proporcionar apoyo financiero), incluyendo: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Una descripción de los sucesos o circunstancias que podrían exponer a la entidad que informa a una pérdida.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Si existen cláusulas que limitarían la obligación.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Si existen otras partes que proporcionan apoyo financiero y, si es así, la forma en que la obligación de la entidad que informa se prioriza con respecto a las otras partes.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pérdidas incurridas por entidad durante el periodo sobre el que se informa relacionadas con sus participaciones en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tipos de ingreso recibidos por la entidad durante el periodo sobre el que se informa procedentes de sus participaciones en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se requiere que la entidad absorba pérdidas de una entidad estructurada no consolidada antes que otras partes, el límite máximo de estas pérdidas para la entidad, y (si fuera relevante) la prioridad e importes de las pérdidas potenciales soportadas por las partes cuyas participaciones están priorizadas por debajo de las participaciones de la entidad en la entidad estructurada no consolidada.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Información sobre los acuerdos de liquidez, garantías u otros compromisos con terceros que puedan afectar al valor razonable o riesgo de las participaciones de la entidad en las entidades estructuradas no consolidadas.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Las dificultades que ha experimentado una entidad estructurada no consolidada para financiar sus actividades durante 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En relación con la financiación de una entidad estructurada no consolidada, las formas de financiación (por ejemplo papel comercial o pagarés a medio plazo) y su promedio </w:t>
      </w:r>
      <w:r w:rsidRPr="00401DFF">
        <w:rPr>
          <w:rFonts w:ascii="Times New Roman" w:eastAsia="Times New Roman" w:hAnsi="Times New Roman" w:cs="Times New Roman"/>
          <w:sz w:val="24"/>
          <w:szCs w:val="24"/>
          <w:lang w:eastAsia="es-CO"/>
        </w:rPr>
        <w:lastRenderedPageBreak/>
        <w:t>ponderado de vida. Esa información puede incluir el análisis de vencimientos de los activos y financiación de una entidad estructurada no consolidada si ésta tiene activos a largo plazo financiados con fondos a corto plazo.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integral de la NIIF y tiene el mismo carácter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 Una entidad aplicará esta NIIF en los periodos anuales que comiencen a partir del 1 de enero de 2013. Se permite su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C2 Se recomienda que una entidad proporcione la información requerida por esta NIIF para periodos anuales que comiencen antes del 1 de enero de 2013. El suministro de parte de la información a revelar requerida por esta NIIF no obliga a que la entidad cumpla con todos los requerimientos de esta NIIF o a que aplique de forma anticipada las NIIF 10, NIIF 11, NIC 27 (modificada en 2011) y NIC 28 (modificada en 2011).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 a la NIIF 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C3 Si una entidad aplica esta NIIF pero no aplica todavía la NIIF 9, cualquier referencia a la NIIF 9 deberá interpretarse como una referencia a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Norma Internacional de Información Financiera 13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Objetivo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define </w:t>
      </w:r>
      <w:r w:rsidRPr="00401DFF">
        <w:rPr>
          <w:rFonts w:ascii="Times New Roman" w:eastAsia="Times New Roman" w:hAnsi="Times New Roman" w:cs="Times New Roman"/>
          <w:b/>
          <w:bCs/>
          <w:i/>
          <w:iCs/>
          <w:sz w:val="24"/>
          <w:szCs w:val="24"/>
          <w:lang w:eastAsia="es-CO"/>
        </w:rPr>
        <w:t>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establece en una sola NIIF un marco para la medición del valor razonable;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 requiere información a revelar sobre las mediciones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 El valor razonable es una medición basada en el mercado, no una medición específica de la entidad. Para algunos activos y pasivos, pueden estar disponibles transacciones de mercado observables o información de mercado. Para otros activos y pasivos, pueden no estar disponibles transacciones de mercado observables e información de mercado. Sin </w:t>
      </w:r>
      <w:r w:rsidRPr="00401DFF">
        <w:rPr>
          <w:rFonts w:ascii="Times New Roman" w:eastAsia="Times New Roman" w:hAnsi="Times New Roman" w:cs="Times New Roman"/>
          <w:sz w:val="24"/>
          <w:szCs w:val="24"/>
          <w:lang w:eastAsia="es-CO"/>
        </w:rPr>
        <w:lastRenderedPageBreak/>
        <w:t xml:space="preserve">embargo, el objetivo de una medición del valor razonable en ambos casos es el mismo </w:t>
      </w:r>
      <w:r w:rsidRPr="00401DFF">
        <w:rPr>
          <w:rFonts w:ascii="Arial" w:eastAsia="Times New Roman" w:hAnsi="Arial" w:cs="Arial"/>
          <w:sz w:val="24"/>
          <w:szCs w:val="24"/>
          <w:lang w:eastAsia="es-CO"/>
        </w:rPr>
        <w:t>—</w:t>
      </w:r>
      <w:r w:rsidRPr="00401DFF">
        <w:rPr>
          <w:rFonts w:ascii="Times New Roman" w:eastAsia="Times New Roman" w:hAnsi="Times New Roman" w:cs="Times New Roman"/>
          <w:sz w:val="24"/>
          <w:szCs w:val="24"/>
          <w:lang w:eastAsia="es-CO"/>
        </w:rPr>
        <w:t xml:space="preserve">estimar el precio al que tendría lugar una </w:t>
      </w:r>
      <w:r w:rsidRPr="00401DFF">
        <w:rPr>
          <w:rFonts w:ascii="Times New Roman" w:eastAsia="Times New Roman" w:hAnsi="Times New Roman" w:cs="Times New Roman"/>
          <w:i/>
          <w:iCs/>
          <w:sz w:val="24"/>
          <w:szCs w:val="24"/>
          <w:lang w:eastAsia="es-CO"/>
        </w:rPr>
        <w:t xml:space="preserve">transacción ordenada </w:t>
      </w:r>
      <w:r w:rsidRPr="00401DFF">
        <w:rPr>
          <w:rFonts w:ascii="Times New Roman" w:eastAsia="Times New Roman" w:hAnsi="Times New Roman" w:cs="Times New Roman"/>
          <w:sz w:val="24"/>
          <w:szCs w:val="24"/>
          <w:lang w:eastAsia="es-CO"/>
        </w:rPr>
        <w:t xml:space="preserve">para vender el activo o transferir el pasivo entre </w:t>
      </w:r>
      <w:r w:rsidRPr="00401DFF">
        <w:rPr>
          <w:rFonts w:ascii="Times New Roman" w:eastAsia="Times New Roman" w:hAnsi="Times New Roman" w:cs="Times New Roman"/>
          <w:i/>
          <w:iCs/>
          <w:sz w:val="24"/>
          <w:szCs w:val="24"/>
          <w:lang w:eastAsia="es-CO"/>
        </w:rPr>
        <w:t>participantes del mercado</w:t>
      </w:r>
      <w:r w:rsidRPr="00401DFF">
        <w:rPr>
          <w:rFonts w:ascii="Times New Roman" w:eastAsia="Times New Roman" w:hAnsi="Times New Roman" w:cs="Times New Roman"/>
          <w:sz w:val="24"/>
          <w:szCs w:val="24"/>
          <w:lang w:eastAsia="es-CO"/>
        </w:rPr>
        <w:t xml:space="preserve"> en la fecha de la medición en condiciones de mercado presentes (es decir, un </w:t>
      </w:r>
      <w:r w:rsidRPr="00401DFF">
        <w:rPr>
          <w:rFonts w:ascii="Times New Roman" w:eastAsia="Times New Roman" w:hAnsi="Times New Roman" w:cs="Times New Roman"/>
          <w:i/>
          <w:iCs/>
          <w:sz w:val="24"/>
          <w:szCs w:val="24"/>
          <w:lang w:eastAsia="es-CO"/>
        </w:rPr>
        <w:t>precio de salida</w:t>
      </w:r>
      <w:r w:rsidRPr="00401DFF">
        <w:rPr>
          <w:rFonts w:ascii="Times New Roman" w:eastAsia="Times New Roman" w:hAnsi="Times New Roman" w:cs="Times New Roman"/>
          <w:sz w:val="24"/>
          <w:szCs w:val="24"/>
          <w:lang w:eastAsia="es-CO"/>
        </w:rPr>
        <w:t xml:space="preserve"> en la fecha de la medición desde la perspectiva de un participante de mercado que mantiene el activo o debe 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3 Cuando un precio para un activo o pasivo idéntico es no observable, una entidad medirá el valor razonable utilizando otra técnica de valoración que maximice el uso de </w:t>
      </w:r>
      <w:r w:rsidRPr="00401DFF">
        <w:rPr>
          <w:rFonts w:ascii="Times New Roman" w:eastAsia="Times New Roman" w:hAnsi="Times New Roman" w:cs="Times New Roman"/>
          <w:i/>
          <w:iCs/>
          <w:sz w:val="24"/>
          <w:szCs w:val="24"/>
          <w:lang w:eastAsia="es-CO"/>
        </w:rPr>
        <w:t>datos de entrada observables</w:t>
      </w:r>
      <w:r w:rsidRPr="00401DFF">
        <w:rPr>
          <w:rFonts w:ascii="Times New Roman" w:eastAsia="Times New Roman" w:hAnsi="Times New Roman" w:cs="Times New Roman"/>
          <w:sz w:val="24"/>
          <w:szCs w:val="24"/>
          <w:lang w:eastAsia="es-CO"/>
        </w:rPr>
        <w:t xml:space="preserve"> relevantes y minimice el uso de </w:t>
      </w:r>
      <w:r w:rsidRPr="00401DFF">
        <w:rPr>
          <w:rFonts w:ascii="Times New Roman" w:eastAsia="Times New Roman" w:hAnsi="Times New Roman" w:cs="Times New Roman"/>
          <w:i/>
          <w:iCs/>
          <w:sz w:val="24"/>
          <w:szCs w:val="24"/>
          <w:lang w:eastAsia="es-CO"/>
        </w:rPr>
        <w:t>datos de entrada no observables</w:t>
      </w:r>
      <w:r w:rsidRPr="00401DFF">
        <w:rPr>
          <w:rFonts w:ascii="Times New Roman" w:eastAsia="Times New Roman" w:hAnsi="Times New Roman" w:cs="Times New Roman"/>
          <w:sz w:val="24"/>
          <w:szCs w:val="24"/>
          <w:lang w:eastAsia="es-CO"/>
        </w:rPr>
        <w:t>. Puesto que el valor razonable es una medición basada en el mercado, se mide utilizando los supuestos que los participantes del mercado utilizarían al fijar el precio del activo o pasivo, incluyendo los supuestos sobre riesgo. En consecuencia, la intención de una entidad de mantener un activo o liquidar o satisfacer de otra forma un pasivo no es relevante al medir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definición de valor razonable se centra en los activos y pasivos porque son un objeto principal de la medición en contabilidad. Además, esta NIIF se aplicará a instrumentos de patrimonio propios de una entidad medidos a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Alcance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5 Esta NIIF se aplicará cuando otra NIIF requiera o permita mediciones a valor razonable o información a revelar sobre mediciones a valor razonable (y mediciones, tales como valor razonable menos costos de venta, basadas en el valor razonable o información a revelar sobre esas mediciones), excepto por lo que se especifica en los párrafos 6 y 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requerimientos sobre medición e información a revelar de esta NIIF no se aplicarán a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transacciones con pagos basados en acciones que queden dentro del alcance de la NIIF 2 </w:t>
      </w:r>
      <w:r w:rsidRPr="00401DFF">
        <w:rPr>
          <w:rFonts w:ascii="Times New Roman" w:eastAsia="Times New Roman" w:hAnsi="Times New Roman" w:cs="Times New Roman"/>
          <w:i/>
          <w:iCs/>
          <w:sz w:val="24"/>
          <w:szCs w:val="24"/>
          <w:lang w:eastAsia="es-CO"/>
        </w:rPr>
        <w:t>Pagos basados en 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transacciones de arrendamiento que queden dentro del alcance de la NIC 17 </w:t>
      </w:r>
      <w:r w:rsidRPr="00401DFF">
        <w:rPr>
          <w:rFonts w:ascii="Times New Roman" w:eastAsia="Times New Roman" w:hAnsi="Times New Roman" w:cs="Times New Roman"/>
          <w:i/>
          <w:iCs/>
          <w:sz w:val="24"/>
          <w:szCs w:val="24"/>
          <w:lang w:eastAsia="es-CO"/>
        </w:rPr>
        <w:t>Arrendamientos;</w:t>
      </w:r>
      <w:r w:rsidRPr="00401DFF">
        <w:rPr>
          <w:rFonts w:ascii="Times New Roman" w:eastAsia="Times New Roman" w:hAnsi="Times New Roman" w:cs="Times New Roman"/>
          <w:sz w:val="24"/>
          <w:szCs w:val="24"/>
          <w:lang w:eastAsia="es-CO"/>
        </w:rPr>
        <w:t xml:space="preserve"> y (c) mediciones que tengan alguna similitud con el valor razonable pero que no sean valor razonable, tales como el valor neto realizable de la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o valor en uso de la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 información a revelar requerida por esta NIIF no se requiere para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activos del plan medidos a valor razonable de acuerdo con la NIC 19 </w:t>
      </w:r>
      <w:r w:rsidRPr="00401DFF">
        <w:rPr>
          <w:rFonts w:ascii="Times New Roman" w:eastAsia="Times New Roman" w:hAnsi="Times New Roman" w:cs="Times New Roman"/>
          <w:i/>
          <w:iCs/>
          <w:sz w:val="24"/>
          <w:szCs w:val="24"/>
          <w:lang w:eastAsia="es-CO"/>
        </w:rPr>
        <w:t>Beneficios a los Empleados;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(b) inversiones en un plan de beneficios por retiro medidos a valor razonable de acuerdo con la NIC 26 </w:t>
      </w:r>
      <w:r w:rsidRPr="00401DFF">
        <w:rPr>
          <w:rFonts w:ascii="Times New Roman" w:eastAsia="Times New Roman" w:hAnsi="Times New Roman" w:cs="Times New Roman"/>
          <w:i/>
          <w:iCs/>
          <w:sz w:val="24"/>
          <w:szCs w:val="24"/>
          <w:lang w:eastAsia="es-CO"/>
        </w:rPr>
        <w:t>Contabilización e Información Financiera sobre Planes de beneficio por Retiro;</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activos para los que el importe recuperable es el valor razonable menos los costos de disposición de acuerdo con la NIC 36.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Si el valor razonable se requiere o permite por otras NIIF, el marco de medición del valor razonable descrito en esta NIIF se aplicará a la medición inicial y posterior.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Definición de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 Esta NIIF define valor razonable como el precio que sería recibido por vender un activo o pagado por transferir un pasivo en una transacción ordenada entre participantes del mercado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El párrafo B2 describe el enfoque de medición del valor razonable global.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11 Una medición del valor razonable es para un activo o pasivo concreto. Por ello, al medir el valor razonable una entidad tendrá en cuenta las características del activo o pasivo de la misma forma en que los participantes del mercado las tendrían en cuenta al fijar el precio de dicho activo o pasivo en la fecha de la medición. Estas características incluyen, por ejemplo,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la condición y localización del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restricciones, si las hubiera, sobre la venta o uso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12 El efecto sobre la medición que surge de una característica particular diferirá dependiendo de la forma en que esa característica sería tenida en cuenta por los participantes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13 El activo o pasivo medido a valor razonable puede ser uno de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activo o pasivo considerado de forma independiente (por ejemplo un instrumento financiero o un activo no financiero);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grupo de activos, un grupo de pasivos o un grupo de activos y pasivos (por ejemplo una unidad generadora de efectivo o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14 Si el activo o pasivo es considerado de forma independiente, un grupo de activos, un grupo de pasivos o un grupo de activos y pasivos, a efectos de su reconocimiento o </w:t>
      </w:r>
      <w:r w:rsidRPr="00401DFF">
        <w:rPr>
          <w:rFonts w:ascii="Times New Roman" w:eastAsia="Times New Roman" w:hAnsi="Times New Roman" w:cs="Times New Roman"/>
          <w:sz w:val="24"/>
          <w:szCs w:val="24"/>
          <w:lang w:eastAsia="es-CO"/>
        </w:rPr>
        <w:lastRenderedPageBreak/>
        <w:t>información a revelar, dependerá de su unidad de cuenta. La unidad de cuenta de un activo o pasivo se determinará de acuerdo con la NIIF que requiera o permita la medición a valor razonable, excepto por lo previsto en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15 Una medición a valor razonable supondrá que el activo o pasivo se intercambia en una transacción ordenada entre participantes del mercado para vender el activo o transferir el pasivo en la fecha de la medición en condiciones de mercado presentes.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16 Una medición a valor razonable supondrá que la transacción de venta del activo o transferencia del pasivo tiene lugar: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(a) en el </w:t>
      </w:r>
      <w:r w:rsidRPr="00401DFF">
        <w:rPr>
          <w:rFonts w:ascii="Times New Roman" w:eastAsia="Times New Roman" w:hAnsi="Times New Roman" w:cs="Times New Roman"/>
          <w:b/>
          <w:bCs/>
          <w:i/>
          <w:iCs/>
          <w:sz w:val="24"/>
          <w:szCs w:val="24"/>
          <w:lang w:eastAsia="es-CO"/>
        </w:rPr>
        <w:t>mercado principal</w:t>
      </w:r>
      <w:r w:rsidRPr="00401DFF">
        <w:rPr>
          <w:rFonts w:ascii="Times New Roman" w:eastAsia="Times New Roman" w:hAnsi="Times New Roman" w:cs="Times New Roman"/>
          <w:b/>
          <w:bCs/>
          <w:sz w:val="24"/>
          <w:szCs w:val="24"/>
          <w:lang w:eastAsia="es-CO"/>
        </w:rPr>
        <w:t xml:space="preserve"> del activo o pasivo;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(b) en ausencia de un mercado principal, en el mercado </w:t>
      </w:r>
      <w:r w:rsidRPr="00401DFF">
        <w:rPr>
          <w:rFonts w:ascii="Times New Roman" w:eastAsia="Times New Roman" w:hAnsi="Times New Roman" w:cs="Times New Roman"/>
          <w:b/>
          <w:bCs/>
          <w:i/>
          <w:iCs/>
          <w:sz w:val="24"/>
          <w:szCs w:val="24"/>
          <w:lang w:eastAsia="es-CO"/>
        </w:rPr>
        <w:t xml:space="preserve">más ventajoso </w:t>
      </w:r>
      <w:r w:rsidRPr="00401DFF">
        <w:rPr>
          <w:rFonts w:ascii="Times New Roman" w:eastAsia="Times New Roman" w:hAnsi="Times New Roman" w:cs="Times New Roman"/>
          <w:b/>
          <w:bCs/>
          <w:sz w:val="24"/>
          <w:szCs w:val="24"/>
          <w:lang w:eastAsia="es-CO"/>
        </w:rPr>
        <w:t>para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17 Una entidad no necesitará llevar a cabo una búsqueda exhaustiva de todos los mercados posibles para identificar el mercado principal o, en ausencia de un mercado principal, el mercado más ventajoso, pero tendrá en cuenta toda la información que esté razonablemente disponible. En ausencia de evidencia en contrario, el mercado en el que la entidad realizaría normalmente una transacción de venta del activo o transferencia del pasivo se presume que será el mercado principal o, en ausencia de un mercado principal, el mercado más ventajoso.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18 Si existe un mercado principal para el activo o pasivo, la medición del valor razonable representará el precio en ese mercado (si ese precio es observable directamente o estimado utilizando otra técnica de valoración), incluso si el precio en un mercado diferente es potencialmente más ventajoso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19 La entidad debe tener acceso al mercado principal (o más ventajoso) en la fecha de la medición. Puesto que diferentes entidades (y negocios dentro de esas entidades) con distintas actividades pueden tener acceso a diversos mercados, el mercado principal (o el más ventajoso) para el activo o pasivo puede ser diferente para distintas entidades (y negocios dentro de esas entidades). Por ello, el mercado principal (o el más ventajoso) (y por ello, los participantes del mercado) se considerará desde la perspectiva de la entidad, teniendo en cuenta, de ese modo, diferencias entre entidades con actividades diversas.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20 Aunque una entidad debe ser capaz de acceder al mercado, ésta no necesita serlo para vender un activo concreto o transferir un pasivo en particular en la fecha de la medición para ser capaz de medir el valor razonable sobre la base del precio de ese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21 Incluso cuando no existe un mercado observable para proporcionar información para fijar el precio en relación con la venta de un activo o la transferencia de un pasivo en la fecha de la medición, una medición a valor razonable supondrá que una transacción tiene </w:t>
      </w:r>
      <w:r w:rsidRPr="00401DFF">
        <w:rPr>
          <w:rFonts w:ascii="Times New Roman" w:eastAsia="Times New Roman" w:hAnsi="Times New Roman" w:cs="Times New Roman"/>
          <w:sz w:val="24"/>
          <w:szCs w:val="24"/>
          <w:lang w:eastAsia="es-CO"/>
        </w:rPr>
        <w:lastRenderedPageBreak/>
        <w:t>lugar en esa fecha, considerada desde la perspectiva de un participante de mercado que mantiene el activo o debe el pasivo. Esa transacción supuesta establece una base para estimar el precio de venta del activo o transferencia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Participantes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22 Una entidad medirá el valor razonable de un activo o un pasivo utilizando los supuestos que los participantes del mercado utilizarían para fijar el precio del activo o pasivo, suponiendo que los participantes del mercado actúan en su mejor interés económico.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23 Para desarrollar esos supuestos, una entidad no necesitará identificar a participantes del mercado específicos. Más bien, la entidad identificará las características que distinguen generalmente a los participantes del mercado, considerando factores específicos para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mercado principal (o más ventajoso) para el activo o pasivo;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participantes del mercado con los que la entidad realizaría una transacción en ese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El precio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24 El valor razonable es el precio que se recibiría por la venta de un activo o se pagaría por la transferencia de un pasivo en una transacción ordenada en el mercado principal (o más ventajoso) en la fecha de la medición en condiciones de mercado presentes (es decir, un precio de salida) independientemente de si ese precio es observable directamente o estimado utilizando otra técnica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25 El precio del mercado principal (o más ventajoso) utilizado para medir el valor razonable del activo o pasivo no se ajustará por los </w:t>
      </w:r>
      <w:r w:rsidRPr="00401DFF">
        <w:rPr>
          <w:rFonts w:ascii="Times New Roman" w:eastAsia="Times New Roman" w:hAnsi="Times New Roman" w:cs="Times New Roman"/>
          <w:i/>
          <w:iCs/>
          <w:sz w:val="24"/>
          <w:szCs w:val="24"/>
          <w:lang w:eastAsia="es-CO"/>
        </w:rPr>
        <w:t>costos de transacción</w:t>
      </w:r>
      <w:r w:rsidRPr="00401DFF">
        <w:rPr>
          <w:rFonts w:ascii="Times New Roman" w:eastAsia="Times New Roman" w:hAnsi="Times New Roman" w:cs="Times New Roman"/>
          <w:sz w:val="24"/>
          <w:szCs w:val="24"/>
          <w:lang w:eastAsia="es-CO"/>
        </w:rPr>
        <w:t>. Los costos de transacción se contabilizarán de acuerdo con otras NIIF. Los costos de transacción no son una característica de un activo o un pasivo; más bien, son específicos de una transacción y diferirán dependiendo de la forma en que una entidad realice una transacción con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26 Los costos de transacción no incluyen los </w:t>
      </w:r>
      <w:r w:rsidRPr="00401DFF">
        <w:rPr>
          <w:rFonts w:ascii="Times New Roman" w:eastAsia="Times New Roman" w:hAnsi="Times New Roman" w:cs="Times New Roman"/>
          <w:i/>
          <w:iCs/>
          <w:sz w:val="24"/>
          <w:szCs w:val="24"/>
          <w:lang w:eastAsia="es-CO"/>
        </w:rPr>
        <w:t>costos de transporte</w:t>
      </w:r>
      <w:r w:rsidRPr="00401DFF">
        <w:rPr>
          <w:rFonts w:ascii="Times New Roman" w:eastAsia="Times New Roman" w:hAnsi="Times New Roman" w:cs="Times New Roman"/>
          <w:sz w:val="24"/>
          <w:szCs w:val="24"/>
          <w:lang w:eastAsia="es-CO"/>
        </w:rPr>
        <w:t>. Si la localización es una característica del activo (como puede ser el caso, por ejemplo, de una materia prima cotizada), el precio en el mercado principal (o más ventajoso) se ajustará por los costos, si los hubiera, en los que se incurriría para transportar el activo desde su ubicación presente a ese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a activos no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Máximo y mejor uso de los activos no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27 Una medición a valor razonable de un activo no financiero tendrá en cuenta la capacidad del participante de mercado para generar beneficios económicos mediante la utilización del activo en su </w:t>
      </w:r>
      <w:r w:rsidRPr="00401DFF">
        <w:rPr>
          <w:rFonts w:ascii="Times New Roman" w:eastAsia="Times New Roman" w:hAnsi="Times New Roman" w:cs="Times New Roman"/>
          <w:b/>
          <w:bCs/>
          <w:i/>
          <w:iCs/>
          <w:sz w:val="24"/>
          <w:szCs w:val="24"/>
          <w:lang w:eastAsia="es-CO"/>
        </w:rPr>
        <w:t>máximo</w:t>
      </w:r>
      <w:r w:rsidRPr="00401DFF">
        <w:rPr>
          <w:rFonts w:ascii="Times New Roman" w:eastAsia="Times New Roman" w:hAnsi="Times New Roman" w:cs="Times New Roman"/>
          <w:b/>
          <w:bCs/>
          <w:sz w:val="24"/>
          <w:szCs w:val="24"/>
          <w:lang w:eastAsia="es-CO"/>
        </w:rPr>
        <w:t xml:space="preserve"> y </w:t>
      </w:r>
      <w:r w:rsidRPr="00401DFF">
        <w:rPr>
          <w:rFonts w:ascii="Times New Roman" w:eastAsia="Times New Roman" w:hAnsi="Times New Roman" w:cs="Times New Roman"/>
          <w:b/>
          <w:bCs/>
          <w:i/>
          <w:iCs/>
          <w:sz w:val="24"/>
          <w:szCs w:val="24"/>
          <w:lang w:eastAsia="es-CO"/>
        </w:rPr>
        <w:t xml:space="preserve">mejor </w:t>
      </w:r>
      <w:r w:rsidRPr="00401DFF">
        <w:rPr>
          <w:rFonts w:ascii="Times New Roman" w:eastAsia="Times New Roman" w:hAnsi="Times New Roman" w:cs="Times New Roman"/>
          <w:b/>
          <w:bCs/>
          <w:sz w:val="24"/>
          <w:szCs w:val="24"/>
          <w:lang w:eastAsia="es-CO"/>
        </w:rPr>
        <w:t>uso o mediante la venta de éste a otro participante de mercado que utilizaría el activo en su máximo y mejor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28 El máximo y mejor uso de un activo no financiero tendrá en cuenta la utilización del activo que es físicamente posible, legalmente permisible y financieramente factible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 uso que es físicamente posible tendrá en cuenta las características físicas del activo que los participantes del mercado tendrían en cuenta al fijar el precio del activo (por ejemplo localización o dimensión de una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Un uso que es legalmente permisible tendrá en cuenta las restricciones legales de utilización del activo que los participantes del mercado tendrían en cuenta al fijar el precio del activo (por ejemplo regulaciones de zona aplicables a la propiedad).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Un uso que es financieramente factible tendrá en cuenta si una utilización del activo que es físicamente posible y legalmente permisible genera un ingreso o flujos de efectivo adecuados (teniendo en cuenta los costos de conversión del activo para esa finalidad) para producir una rentabilidad de la inversión que los participantes del mercado requerirían de una inversión en ese activo destinado a ese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29 El máximo y mejor uso se determinará a partir de la perspectiva de los participantes del mercado incluso si la entidad pretende un uso distinto. Sin embargo, el uso presente por parte de una entidad de un activo no financiero se presume que es el máximo y mejor, a menos que el mercado u otros factores sugieran que un uso diferente por los participantes del mercado maximizaría el valor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30 Para proteger su posición competitiva, o por otras razones, una entidad puede pretender no utilizar de forma activa un activo no financiero adquirido o puede pretender no utilizar el activo de acuerdo con su máximo y mejor uso. Por ejemplo, ese puede ser el caso de un activo intangible adquirido que la entidad planea utilizar de forma defensiva para impedir a otros utilizarlo. No obstante, la entidad medirá el valor razonable de un activo no financiero suponiendo su máximo y mejor uso por los participantes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Premisa de valoración para activos no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31 El máximo y mejor uso de un activo no financiero establece la premisa de valoración utilizada para medir el valor razonable del activo,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El máximo y mejor uso de un activo no financiero puede proporcionar el valor máximo para los participantes del mercado mediante su utilización en combinación con otros activos </w:t>
      </w:r>
      <w:r w:rsidRPr="00401DFF">
        <w:rPr>
          <w:rFonts w:ascii="Times New Roman" w:eastAsia="Times New Roman" w:hAnsi="Times New Roman" w:cs="Times New Roman"/>
          <w:sz w:val="24"/>
          <w:szCs w:val="24"/>
          <w:lang w:eastAsia="es-CO"/>
        </w:rPr>
        <w:lastRenderedPageBreak/>
        <w:t>como un grupo (como se instaló o configuró, en cualquier caso, para su uso) o en combinación con otros activos y pasivos (por ejemplo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el máximo y mejor uso del activo es utilizar el activo en combinación con otros activos o con otros activos y pasivos, el valor razonable del activo es el precio que se recibiría en una transacción presente por vender el activo suponiendo que éste se utilizaría con otros activos o con otros activos y pasivos y que dichos activos y pasivos (es decir, sus activos complementarios y los pasivos asociados) estarían disponibles para los participantes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Los pasivos asociados con el activo y con los activos complementarios incluyen pasivos que financian capital de trabajo, pero no incluyen pasivos utilizados para financiar activos distintos de los que están dentro del grupo de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Los supuestos sobre el máximo y mejor uso de un activo no financiero será congruente para todos los activos (para los que el máximo y mejor uso sea relevante) o el grupo de activos o grupo de activos y pasivos dentro del cual se utilizaría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máximo y mejor uso de un activo no financiero puede proporcionar, aisladamente, el valor máximo para los participantes del mercado. Si el máximo y mejor uso del activo es utilizarlo de forma aislada, el valor razonable del activo es el precio que recibiría en una transacción presente por vender el activo a participantes del mercado que lo utilizarían de forma independiente.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32 La medición a valor razonable de un activo no financiero supone que el activo se vende de forma congruente con la unidad de cuenta especificada en otras NIIF (que puede ser un activo individual). Ese es el caso incluso cuando esa medición a valor razonable supone que el máximo y mejor uso del activo es utilizarlo en combinación con otros activos o con otros activos y pasivos porque una medición a valor razonable supone que el participante de mercado ya mantiene los activos complementarios y los pasivos asociados.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33 El párrafo B3 describe la aplicación del concepto de premisa de valoración para activos no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a pasivos e instrumentos de patrimonio propios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34 Una medición a valor razonable supone que un pasivo financiero o no financiero o un instrumento de patrimonio propio de una entidad (por ejemplo participaciones en el patrimonio emitidas como contraprestación en una combinación de negocios) se transfiere a un participante de mercado en la fecha de la medición. La transferencia de un pasivo o un instrumento de patrimonio propio de una entidad supone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 Un pasivo permanecería en circulación y se requeriría al participante de mercado receptor de la transferencia satisfacer la obligación. El pasivo no se liquidaría con la contraparte o extinguiría de otra forma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Un instrumento de patrimonio propio de una entidad permanecería en circulación y el participante de mercado receptor de la transferencia cargaría con los derechos y responsabilidades asociados con el instrumento. El instrumento no se cancelaría o extinguiría de otra forma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35 Incluso cuando no haya un mercado observable para proporcionar información sobre la fijación del precio sobre la transferencia de un pasivo o un instrumento de patrimonio propio de una entidad (por ejemplo porque las restricciones contractuales u otras de tipo legal impiden la transferencia de estas partidas), puede haber un mercado observable para estas partidas si están mantenidas por otras partes como activos (por ejemplo, un bono corporativo o una opción de compra sobre las acciones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36 En todos los casos, una entidad maximizará el uso de datos de entrada observables relevantes y minimizará el uso de datos de entrada no observables para cumplir con el objetivo de una medición del valor razonable, que es estimar el precio al que tendría lugar una transacción ordenada para transferir el pasivo o instrumento de patrimonio entre participantes del mercado en la fecha de la medición en condiciones de mercado presentes.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Pasivos e instrumentos de patrimonio mantenidos por otras partes como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37 Cuando un precio cotizado para la transferencia de un pasivo idéntico o similar o un instrumento de patrimonio propio de la entidad no está disponible y la partida idéntica se mantiene por otra parte como un activo, una entidad medirá el valor razonable del pasivo o instrumento de patrimonio desde la perspectiva de un participante de mercado que mantiene la partida idéntica como un activo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38 En estos casos, una entidad medirá el valor razonable de un pasivo o un instrumento de patrimonio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Utilizando el precio cotizado en un </w:t>
      </w:r>
      <w:r w:rsidRPr="00401DFF">
        <w:rPr>
          <w:rFonts w:ascii="Times New Roman" w:eastAsia="Times New Roman" w:hAnsi="Times New Roman" w:cs="Times New Roman"/>
          <w:i/>
          <w:iCs/>
          <w:sz w:val="24"/>
          <w:szCs w:val="24"/>
          <w:lang w:eastAsia="es-CO"/>
        </w:rPr>
        <w:t>mercado activo</w:t>
      </w:r>
      <w:r w:rsidRPr="00401DFF">
        <w:rPr>
          <w:rFonts w:ascii="Times New Roman" w:eastAsia="Times New Roman" w:hAnsi="Times New Roman" w:cs="Times New Roman"/>
          <w:sz w:val="24"/>
          <w:szCs w:val="24"/>
          <w:lang w:eastAsia="es-CO"/>
        </w:rPr>
        <w:t xml:space="preserve"> para la partida idéntica mantenida por otra parte como un activo, si ese precio se encuentra disponible.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el precio no se encuentra disponible, utilizando otros datos observables, tales como el precio cotizado en un mercado que no es activo para la partida idéntica mantenida por otra parte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los precios observables en (a) y (b) no se encuentran disponibles, utilizando otra técnica de valoración tales como: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 xml:space="preserve">(i) Un </w:t>
      </w:r>
      <w:r w:rsidRPr="00401DFF">
        <w:rPr>
          <w:rFonts w:ascii="Times New Roman" w:eastAsia="Times New Roman" w:hAnsi="Times New Roman" w:cs="Times New Roman"/>
          <w:i/>
          <w:iCs/>
          <w:sz w:val="24"/>
          <w:szCs w:val="24"/>
          <w:lang w:eastAsia="es-CO"/>
        </w:rPr>
        <w:t>enfoque de ingreso</w:t>
      </w:r>
      <w:r w:rsidRPr="00401DFF">
        <w:rPr>
          <w:rFonts w:ascii="Times New Roman" w:eastAsia="Times New Roman" w:hAnsi="Times New Roman" w:cs="Times New Roman"/>
          <w:sz w:val="24"/>
          <w:szCs w:val="24"/>
          <w:lang w:eastAsia="es-CO"/>
        </w:rPr>
        <w:t xml:space="preserve"> (por ejemplo, una técnica de valor presente que tiene en cuenta los flujos de efectivo futuros que un participante de mercado esperaría recibir del tenedor del pasivo o instrumento de patrimonio como un activo; véanse los párrafos B10 y B11).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 Un </w:t>
      </w:r>
      <w:r w:rsidRPr="00401DFF">
        <w:rPr>
          <w:rFonts w:ascii="Times New Roman" w:eastAsia="Times New Roman" w:hAnsi="Times New Roman" w:cs="Times New Roman"/>
          <w:i/>
          <w:iCs/>
          <w:sz w:val="24"/>
          <w:szCs w:val="24"/>
          <w:lang w:eastAsia="es-CO"/>
        </w:rPr>
        <w:t>enfoque de mercado</w:t>
      </w:r>
      <w:r w:rsidRPr="00401DFF">
        <w:rPr>
          <w:rFonts w:ascii="Times New Roman" w:eastAsia="Times New Roman" w:hAnsi="Times New Roman" w:cs="Times New Roman"/>
          <w:sz w:val="24"/>
          <w:szCs w:val="24"/>
          <w:lang w:eastAsia="es-CO"/>
        </w:rPr>
        <w:t xml:space="preserve"> (por ejemplo, los precios cotizados de pasivos o instrumentos de patrimonio similares mantenidos por otras partes como activos; véanse los párrafos B5 a B7).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39 Una entidad ajustará el precio cotizado de un pasivo o un instrumento de patrimonio propio de una entidad mantenido por otra parte como un activo solo si existen factores específicos del activo que no son aplicables a la medición a valor razonable del pasivo o instrumento de patrimonio. Una entidad asegurará que el precio del activo no refleja el efecto de una restricción que impida la venta de ese activo. Algunos factores que pueden indicar que el precio cotizado del activo debe ajustarse incluyen: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precio cotizado del activo se relaciona con un pasivo o instrumento de patrimonio similar (pero no idéntico) mantenido por otra parte como un activo. Por ejemplo, el pasivo o instrumento de patrimonio puede tener una característica particular (por ejemplo, la calidad crediticia del emisor) que es diferente de la reflejada en el valor razonable de un pasivo o instrumento de patrimonio similar mantenido como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unidad de cuenta para el activo no es la misma que para el pasivo o el instrumento de patrimonio. Por ejemplo, para pasivos, en algunos casos el precio de un activo refleja un precio combinado para un paquete que comprende los importes debidos por el emisor y una mejora crediticia de un tercero. Si la unidad de cuenta para el pasivo no lo es para el paquete combinado, el objetivo es medir el valor razonable del pasivo del emisor, no el valor razonable del paquete combinado. Por ello, en estos casos, la entidad ajustaría el precio observado para el activo para excluir el efecto de la mejora crediticia de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Pasivos e instrumentos de patrimonio no mantenidos por otras partes como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40 Cuando un precio cotizado para la transferencia de un pasivo idéntico o similar o un instrumento de patrimonio propio de la entidad no está disponible y la partida idéntica no se mantiene por otra parte como un activo, una entidad medirá el valor razonable del pasivo o instrumento de patrimonio utilizando una técnica de valoración desde la perspectiva de un participante de mercado que debe el pasivo o ha emitido el derecho sobre 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41 Por ejemplo, cuando al aplicar una técnica de valor presente una entidad podría tener en cuenta algunos de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Las salidas de efectivo futuras en las que un participante de mercado esperaría incurrir para satisfacer la obligación, incluyendo la compensación que un participante de mercado requeriría para cargar con la obligación (véanse los párrafos B31 a B33).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El importe que un participante de mercado recibiría para realizar o emitir un pasivo o instrumento de patrimonio idéntico, utilizando los supuestos que los participantes del mercado utilizarían al fijar el precio de la partida idéntica (por ejemplo, teniendo las mismas características crediticias) en el mercado principal (o más ventajoso) para emitir un pasivo o un instrumento de patrimonio con las mismas cláusulas contractuales.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42 El valor razonable de un pasivo refleja el efecto del </w:t>
      </w:r>
      <w:r w:rsidRPr="00401DFF">
        <w:rPr>
          <w:rFonts w:ascii="Times New Roman" w:eastAsia="Times New Roman" w:hAnsi="Times New Roman" w:cs="Times New Roman"/>
          <w:b/>
          <w:bCs/>
          <w:i/>
          <w:iCs/>
          <w:sz w:val="24"/>
          <w:szCs w:val="24"/>
          <w:lang w:eastAsia="es-CO"/>
        </w:rPr>
        <w:t>riesgo de incumplimiento</w:t>
      </w:r>
      <w:r w:rsidRPr="00401DFF">
        <w:rPr>
          <w:rFonts w:ascii="Times New Roman" w:eastAsia="Times New Roman" w:hAnsi="Times New Roman" w:cs="Times New Roman"/>
          <w:b/>
          <w:bCs/>
          <w:sz w:val="24"/>
          <w:szCs w:val="24"/>
          <w:lang w:eastAsia="es-CO"/>
        </w:rPr>
        <w:t xml:space="preserve">. El riesgo de incumplimiento incluye, pero puede no limitarse al riesgo de crédito propio de una entidad (como se define en la NIIF 7 </w:t>
      </w:r>
      <w:r w:rsidRPr="00401DFF">
        <w:rPr>
          <w:rFonts w:ascii="Times New Roman" w:eastAsia="Times New Roman" w:hAnsi="Times New Roman" w:cs="Times New Roman"/>
          <w:b/>
          <w:bCs/>
          <w:i/>
          <w:iCs/>
          <w:sz w:val="24"/>
          <w:szCs w:val="24"/>
          <w:lang w:eastAsia="es-CO"/>
        </w:rPr>
        <w:t>Instrumentos Financieros: Información a Revelar).</w:t>
      </w:r>
      <w:r w:rsidRPr="00401DFF">
        <w:rPr>
          <w:rFonts w:ascii="Times New Roman" w:eastAsia="Times New Roman" w:hAnsi="Times New Roman" w:cs="Times New Roman"/>
          <w:b/>
          <w:bCs/>
          <w:sz w:val="24"/>
          <w:szCs w:val="24"/>
          <w:lang w:eastAsia="es-CO"/>
        </w:rPr>
        <w:t xml:space="preserve"> El riesgo de incumplimiento se supone que es el mismo antes y después de la transferencia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43 Al medir el valor razonable de un pasivo, una entidad tendrá en cuenta el efecto de su riesgo de crédito (posición crediticia) y cualesquiera otros factores que puedan influir en la probabilidad de que la obligación se satisfaga o no. Ese efecto puede diferir dependiendo del pasivo,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el pasivo es una obligación de entregar efectivo (un pasivo financiero) o una obligación de entregar bienes o servicios (un pasivo no financiero).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condiciones de las mejoras crediticias relacionadas con el pasivo, si las hubiera.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44 El valor razonable de un pasivo refleja el efecto del riesgo de incumplimiento sobre la base de su unidad de cuenta. El emisor de un pasivo emitido con una mejora crediticia de terceros inseparable que se contabiliza de forma separada del pasivo no incluirá el efecto de la mejora crediticia (por ejemplo, una garantía de deuda por un tercero) en la medición a valor razonable del pasivo. Si la mejora crediticia se contabiliza por separado del pasivo, el emisor tendría en cuenta su propia posición crediticia y no la del tercero garante al medir el valor razonable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Restricción que impide la transferencia de un pasivo o de un instrumento de patrimonio propio de una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45 Al medir el valor razonable de un pasivo o un instrumento de patrimonio propio de una entidad, una entidad no incluirá un dato de entrada separado o un ajuste a otros </w:t>
      </w:r>
      <w:r w:rsidRPr="00401DFF">
        <w:rPr>
          <w:rFonts w:ascii="Times New Roman" w:eastAsia="Times New Roman" w:hAnsi="Times New Roman" w:cs="Times New Roman"/>
          <w:i/>
          <w:iCs/>
          <w:sz w:val="24"/>
          <w:szCs w:val="24"/>
          <w:lang w:eastAsia="es-CO"/>
        </w:rPr>
        <w:t>datos de entrada</w:t>
      </w:r>
      <w:r w:rsidRPr="00401DFF">
        <w:rPr>
          <w:rFonts w:ascii="Times New Roman" w:eastAsia="Times New Roman" w:hAnsi="Times New Roman" w:cs="Times New Roman"/>
          <w:sz w:val="24"/>
          <w:szCs w:val="24"/>
          <w:lang w:eastAsia="es-CO"/>
        </w:rPr>
        <w:t xml:space="preserve"> relacionados con la existencia de una restricción que impide la transferencia de la partida. El efecto de una restricción que impide la transferencia de un pasivo o un instrumento de patrimonio propio de una entidad está incluido implícita o explícitamente en los otros datos de entrada de la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46 Por ejemplo, en la fecha de la transacción, el acreedor y deudor aceptaron el precio de transacción del pasivo con plena comprensión de que la obligación incluye una restricción que impide su transferencia. Como consecuencia de la restricción que está incluida en el precio de transacción, no se requiere un dato de entrada separado o un ajuste a un dato de </w:t>
      </w:r>
      <w:r w:rsidRPr="00401DFF">
        <w:rPr>
          <w:rFonts w:ascii="Times New Roman" w:eastAsia="Times New Roman" w:hAnsi="Times New Roman" w:cs="Times New Roman"/>
          <w:sz w:val="24"/>
          <w:szCs w:val="24"/>
          <w:lang w:eastAsia="es-CO"/>
        </w:rPr>
        <w:lastRenderedPageBreak/>
        <w:t>entrada existente en la fecha de la transacción para reflejar el efecto de la restricción sobre la transferencia. De forma análoga, no se requiere un dato de entrada separado o un ajuste a un dato de entrada existente en fechas de medición posteriores para reflejar el efecto de la restricción sobre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Pasivo financiero con una característica que lo haga exigible a petición del acreedor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47 El valor razonable de un pasivo financiero con una característica que lo haga exigible a petición del acreedor (por ejemplo un depósito a la vista) no será inferior al importe a pagar cuando se convierta en exigible, descontado desde la primera fecha en la que pueda requerirse el pago.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a activos financieros y pasivos financieros con posiciones compensadas en riesgos de mercado o riesgo de crédito de la contraparte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 Una entidad que mantiene un grupo de activos financieros y pasivos financieros está expuesta a riesgos de mercado (como se define en la NIIF 7) y al riesgo de crédito (como se define en la NIIF 7) de cada una de las contrapartes. Si la entidad gestiona ese grupo de activos financieros y pasivos financieros sobre la base de su exposición neta a los riesgos de mercado o al riesgo de crédito, se permite a la entidad aplicar una excepción a esta NIIF para medir el valor razonable. Esa excepción permite que una entidad mida el valor razonable de un grupo de activos financieros y pasivos financieros sobre la base del precio que recibiría por vender una posición larga (es decir, un activo) para una exposición de riesgo concreta o por transferir una posición corta (es decir, un pasivo) para una exposición de riesgo concreta en una transacción ordenada entre participantes del mercado en la fecha de la medición en condiciones de mercado presentes. Por consiguiente, una entidad medirá el valor razonable del grupo de activos financieros y pasivos financieros de forma congruente con la forma en que los participantes del mercado pondrían precio a la exposición de riesgo neta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49 Se permite que una entidad utilice la excepción del párrafo 48 solo si la entidad lleva a cabo todo lo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gestiona el grupo de activos financieros y pasivos financieros sobre la base de la exposición neta de la entidad a un riesgo de mercado concreto (o riesgos) o al riesgo de crédito de una contraparte concreta de acuerdo con la gestión del riesgo documentada de la entidad o estrategia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proporciona información sobre esa base sobre el grupo de activos financieros y pasivos financieros al personal clave de la gerencia, como se define en la NIC 24 </w:t>
      </w:r>
      <w:r w:rsidRPr="00401DFF">
        <w:rPr>
          <w:rFonts w:ascii="Times New Roman" w:eastAsia="Times New Roman" w:hAnsi="Times New Roman" w:cs="Times New Roman"/>
          <w:i/>
          <w:iCs/>
          <w:sz w:val="24"/>
          <w:szCs w:val="24"/>
          <w:lang w:eastAsia="es-CO"/>
        </w:rPr>
        <w:t>Información a Revelar sobre Partes Relacionadas;</w:t>
      </w:r>
      <w:r w:rsidRPr="00401DFF">
        <w:rPr>
          <w:rFonts w:ascii="Times New Roman" w:eastAsia="Times New Roman" w:hAnsi="Times New Roman" w:cs="Times New Roman"/>
          <w:sz w:val="24"/>
          <w:szCs w:val="24"/>
          <w:lang w:eastAsia="es-CO"/>
        </w:rPr>
        <w:t xml:space="preserv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se le requiere o ha elegido medir esos activos financieros y pasivos financieros a valor razonable en el estado de situación financiera al final de cada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50 La excepción del párrafo 48 no concierne a la presentación de los estados financieros. En algunos casos la base de presentación de los instrumentos financieros en el estado de situación financiera difiere de la base de medición de los instrumentos financieros, por ejemplo, si una NIIF no requiere o permite que los instrumentos financieros se presenten sobre una base neta. En estos casos una entidad puede necesitar asignar los ajustes efectuados en la cartera (véanse los párrafos 53 a 56) a activos o pasivos individuales que forman el grupo de activos financieros y pasivos financieros gestionados sobre la base de la exposición de riesgo neta de la entidad. Una entidad realizará estas asignaciones sobre una base razonable y congruente utilizando una metodología apropiada a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51 Una entidad realizará una decisión de política contable de acuerdo con la NIC 8 </w:t>
      </w:r>
      <w:r w:rsidRPr="00401DFF">
        <w:rPr>
          <w:rFonts w:ascii="Times New Roman" w:eastAsia="Times New Roman" w:hAnsi="Times New Roman" w:cs="Times New Roman"/>
          <w:i/>
          <w:iCs/>
          <w:sz w:val="24"/>
          <w:szCs w:val="24"/>
          <w:lang w:eastAsia="es-CO"/>
        </w:rPr>
        <w:t>Políticas Contables, Cambios en las Estimaciones Contables y Errores</w:t>
      </w:r>
      <w:r w:rsidRPr="00401DFF">
        <w:rPr>
          <w:rFonts w:ascii="Times New Roman" w:eastAsia="Times New Roman" w:hAnsi="Times New Roman" w:cs="Times New Roman"/>
          <w:sz w:val="24"/>
          <w:szCs w:val="24"/>
          <w:lang w:eastAsia="es-CO"/>
        </w:rPr>
        <w:t xml:space="preserve"> para utilizar la excepción del párrafo 48. Una entidad que utilice la excepción aplicará esa política contable, incluyendo su política para asignar ajustes de precios comprador-vendedor (véanse los párrafos 53 a 55) y ajustes de crédito (véase el párrafo 56), si fuera aplicable, de forma congruente de periodo a periodo para una cartera concreta.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52 La excepción del párrafo 48 se aplicará solo a los activos financieros y pasivos financieros dentro del alcance de la NIC 39 </w:t>
      </w:r>
      <w:r w:rsidRPr="00401DFF">
        <w:rPr>
          <w:rFonts w:ascii="Times New Roman" w:eastAsia="Times New Roman" w:hAnsi="Times New Roman" w:cs="Times New Roman"/>
          <w:i/>
          <w:iCs/>
          <w:sz w:val="24"/>
          <w:szCs w:val="24"/>
          <w:lang w:eastAsia="es-CO"/>
        </w:rPr>
        <w:t>Instrumentos Financieros: Reconocimiento y Medición</w:t>
      </w:r>
      <w:r w:rsidRPr="00401DFF">
        <w:rPr>
          <w:rFonts w:ascii="Times New Roman" w:eastAsia="Times New Roman" w:hAnsi="Times New Roman" w:cs="Times New Roman"/>
          <w:sz w:val="24"/>
          <w:szCs w:val="24"/>
          <w:lang w:eastAsia="es-CO"/>
        </w:rPr>
        <w:t xml:space="preserve"> o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Exposición a riesgos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53 Al utilizar la excepción del párrafo 48 para medir el valor razonable de un grupo de activos financieros y pasivos financieros gestionados sobre la base de la exposición neta de la entidad a un riesgo de mercado particular (o riesgos), la entidad aplicará el precio dentro del diferencial de precios comprador-vendedor que sea más representativo del valor razonable en las circunstancias de la exposición neta de la entidad a esos riesgos de mercado (véanse los párrafos 70 y 71).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54 Al utilizar la excepción del párrafo 48, una entidad se asegurará de que el riesgo de mercado (o riesgos) a los que está expuesta la entidad dentro de ese grupo de activos financieros y pasivos financieros es sustancialmente el mismo. Por ejemplo, una entidad no combinaría el riesgo de tasa de interés asociado con un activo financiero con el riesgo de precio de una materia prima cotizada asociado con el pasivo financiero porque hacerlo así no mitigaría la exposición de la entidad al riesgo de tasa de interés o riesgo de precio de la materia prima cotizada. Al utilizar la excepción del párrafo 48, los riesgos de base procedentes de los parámetros de riesgo de mercado que no son idénticos se tendrán en cuenta en la medición del valor razonable de los activos financieros y pasivos financieros dentro del grupo.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55 De forma análoga, la duración de la exposición de la entidad a un riesgo de mercado particular (o riesgos) que surge de los activos financieros y pasivos financieros será sustancialmente el mismo. Por ejemplo, una entidad que utiliza un contrato de futuros a 12 meses contra los flujos de efectivo asociados con el valor a 12 meses de la exposición al riesgo de la tasa de interés en un instrumento financiero a 5 años dentro de un grupo formado solo por esos activos financieros y pasivos financieros medirá el valor razonable </w:t>
      </w:r>
      <w:r w:rsidRPr="00401DFF">
        <w:rPr>
          <w:rFonts w:ascii="Times New Roman" w:eastAsia="Times New Roman" w:hAnsi="Times New Roman" w:cs="Times New Roman"/>
          <w:sz w:val="24"/>
          <w:szCs w:val="24"/>
          <w:lang w:eastAsia="es-CO"/>
        </w:rPr>
        <w:lastRenderedPageBreak/>
        <w:t>de la exposición al riesgo de tasa de interés a 12 meses sobre una base neta y la exposición al riesgo de tasa de interés restante (es decir, 2 a 5 años) sobre una base bruta.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Exposición al riesgo de crédito de una contraparte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56 Al utilizar la excepción del párrafo 48 para medir el valor razonable de un grupo de activos financieros y pasivos financieros contraídos con una contraparte particular, la entidad incluirá el efecto de la exposición neta de la entidad al riesgo de crédito de esa contraparte o la exposición neta de la contraparte al riesgo de crédito de la entidad en la medición del valor razonable cuando los participantes del mercado tuvieran en cuenta los acuerdos existentes que mitiguen la exposición de riesgo de crédito en el caso de incumplimiento (por ejemplo, un acuerdo maestro de compensación de saldos con la contraparte o un acuerdo que requiere el intercambio de garantías colaterales sobre la base de la exposición neta de cada parte al riesgo de crédito de la otra parte). La medición del valor razonable reflejará las expectativas de los participantes del mercado sobre la probabilidad de que este acuerdo sería exigible legalmente en el caso de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en 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57 Cuando se adquiere un activo o se asume un pasivo en una transacción de intercambio para ese activo o pasivo, el precio de la transacción es el precio pagado por adquirir el activo, o recibido por asumir el pasivo (un </w:t>
      </w:r>
      <w:r w:rsidRPr="00401DFF">
        <w:rPr>
          <w:rFonts w:ascii="Times New Roman" w:eastAsia="Times New Roman" w:hAnsi="Times New Roman" w:cs="Times New Roman"/>
          <w:i/>
          <w:iCs/>
          <w:sz w:val="24"/>
          <w:szCs w:val="24"/>
          <w:lang w:eastAsia="es-CO"/>
        </w:rPr>
        <w:t>precio de entrada).</w:t>
      </w:r>
      <w:r w:rsidRPr="00401DFF">
        <w:rPr>
          <w:rFonts w:ascii="Times New Roman" w:eastAsia="Times New Roman" w:hAnsi="Times New Roman" w:cs="Times New Roman"/>
          <w:sz w:val="24"/>
          <w:szCs w:val="24"/>
          <w:lang w:eastAsia="es-CO"/>
        </w:rPr>
        <w:t xml:space="preserve"> Por el contrario, el valor razonable del activo o pasivo es el precio que se recibiría por vender el activo o pagaría por transferir el pasivo (un precio de salida). Las entidades no venden necesariamente activos a los precios pagados para adquirirlos. De forma análoga, las entidades no necesariamente transfieren pasivos a los precios recibidos por asumirlos.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58 En muchos casos el precio de la transacción sería igual al valor razonable (por ejemplo, ese puede ser el caso cuando en la fecha de la transacción, tiene lugar la transacción de comprar un activo en el mercado en el que se vendería 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59 Al determinar si el valor razonable en el reconocimiento inicial iguala el precio de transacción, una entidad tendrá en cuenta los factores específicos de la transacción y del activo o pasivo. El párrafo B4 describe situaciones en las que el precio de la transacción puede no representar el valor razonable de un activo o un pasivo en 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 Si otra NIIF requiere o permite que una entidad mida un activo o un pasivo inicialmente a valor razonable y el precio de la transacción difiere del valor razonable, la entidad reconocerá la ganancia o pérdida resultante en el resultado del periodo a menos que la NIIF especifique otra cosa.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Técnicas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 xml:space="preserve">61 Una entidad utilizará las técnicas de valoración que sean apropiadas a las circunstancias y sobre las cuales existan datos suficientes disponibles para medir el </w:t>
      </w:r>
      <w:r w:rsidRPr="00401DFF">
        <w:rPr>
          <w:rFonts w:ascii="Times New Roman" w:eastAsia="Times New Roman" w:hAnsi="Times New Roman" w:cs="Times New Roman"/>
          <w:b/>
          <w:bCs/>
          <w:sz w:val="24"/>
          <w:szCs w:val="24"/>
          <w:lang w:eastAsia="es-CO"/>
        </w:rPr>
        <w:lastRenderedPageBreak/>
        <w:t>valor razonable, maximizando el uso de datos de entrada observables relevantes y minimizando el uso de datos de entrada no observables.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62 El objetivo de utilizar una técnica de valoración es estimar el precio al que tendría lugar una transacción ordenada de venta del activo o de transferencia del pasivo entre participantes del mercado en la fecha de la medición en las condiciones de mercado presentes. Tres técnicas de valoración ampliamente utilizadas son el enfoque de mercado, el </w:t>
      </w:r>
      <w:r w:rsidRPr="00401DFF">
        <w:rPr>
          <w:rFonts w:ascii="Times New Roman" w:eastAsia="Times New Roman" w:hAnsi="Times New Roman" w:cs="Times New Roman"/>
          <w:i/>
          <w:iCs/>
          <w:sz w:val="24"/>
          <w:szCs w:val="24"/>
          <w:lang w:eastAsia="es-CO"/>
        </w:rPr>
        <w:t xml:space="preserve">enfoque del costo </w:t>
      </w:r>
      <w:r w:rsidRPr="00401DFF">
        <w:rPr>
          <w:rFonts w:ascii="Times New Roman" w:eastAsia="Times New Roman" w:hAnsi="Times New Roman" w:cs="Times New Roman"/>
          <w:sz w:val="24"/>
          <w:szCs w:val="24"/>
          <w:lang w:eastAsia="es-CO"/>
        </w:rPr>
        <w:t>y el enfoque del ingreso. Los principales aspectos de esos enfoques se resumen en los párrafos B5 a B11. Una entidad utilizará técnicas de valoración congruentes con uno o más de esos enfoques para medir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63 En algunos casos será adecuada una sola técnica de valoración (por ejemplo, al evaluar un activo o un pasivo utilizando precios cotizados en un mercado activo para activos o pasivos idénticos). En otros casos, serán adecuadas técnicas de valoración múltiples (por ejemplo, ese puede ser el caso al evaluar una unidad generadora de efectivo). Si se utilizan técnicas de valoración múltiples para medir el valor razonable, los resultados (es decir, los indicios respectivos del valor razonable) se evaluarán considerando la razonabilidad del rango de valores señalados por esos resultados. Una medición del valor razonable es el punto dentro de ese rango que es el más representativo del valor razonable dadas las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64 Si el precio de transacción es el valor razonable en el reconocimiento inicial y para medir el valor razonable en periodos posteriores se utilizará una técnica de valoración que utiliza datos de entrada no observables, la técnica de valoración se ajustará de forma tal que en el reconocimiento inicial el resultado de la técnica de valoración iguale al precio de transacción. El ajuste asegurará que la técnica de valoración refleja las condiciones de mercado presentes y ayudará a una entidad a determinar si es necesario realizar un ajuste a la técnica de valoración (por ejemplo, puede haber una característica del activo o del pasivo no captada por la técnica de valoración). Después del reconocimiento inicial, al medir el valor razonable utilizando una técnica o técnicas de valoración que utilicen datos de entrada no observables, una entidad asegurará que esas técnicas de valoración reflejan datos de mercado observables (por ejemplo, el precio de un activo o pasivo similar)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65 Las técnicas de valoración utilizadas para medir el valor razonable se aplicarán de forma congruente. Sin embargo, un cambio en una técnica de valoración o su aplicación (por ejemplo, un cambio en su ponderación cuando se utilizan técnicas de valoración múltiples o un cambio en un ajuste aplicado a una técnica de valoración) es adecuado si el cambio da lugar a un medición que iguale o sea más representativa del valor razonable en esas circunstancias. Ese puede ser el caso si, por ejemplo, cualquiera de los sucesos siguientes tiene lugar: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desarrollo de nuevos mercados;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pasa a estar disponible nueva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deja de estar disponible información anteriormente utilizada;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(d) mejora de técnicas de valoración;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cambio en las condiciones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66 Las revisiones procedentes de un cambio en la técnica de valoración o en su aplicación se contabilizarán como un cambio en una estimación contable de acuerdo con la NIC 8. Sin embargo, no se requiere la información a revelar de la NIC 8 para un cambio en una estimación contable para revisiones que procedan de un cambio en una técnica de valoración o en su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para las técnicas de valoración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Principios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67 Las técnicas de valoración utilizadas para medir el valor razonable maximizarán el uso de datos de entrada observables relevantes y minimizará el uso de datos de entrada no observables.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68 Ejemplos de mercados en los que los datos de entrada pueden ser observables para algunos activos y pasivos (por ejemplo instrumentos financieros) incluyen mercados de intercambio, mercados de intermediarios financieros, mercados intermediados por agentes corredores y mercados principal a principal (véase el párrafo B34).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69 Una entidad elegirá datos de entrada que sean congruentes con las características del activo o pasivo que los participantes del mercado tendrían en cuenta en una transacción para el activo o pasivo (véanse los párrafos 11 y 12). En algunos casos esas características darán lugar a la aplicación de un ajuste, tales como una prima o un descuento (por ejemplo, una prima de control o un descuento de participación no controladora). Sin embargo, una medición del valor razonable no incorporará una prima o descuento que no sea congruente con la unidad de cuenta de la NIIF que requiera o permita la medición del valor razonable (véanse los párrafos 13 y 14). No se permiten en una medición del valor razonable las primas o descuentos que reflejan el tamaño como una característica de la entidad tenedora (específicamente, un factor de bloque que ajusta el precio cotizado de un activo o un pasivo porque el volumen de negociación diario normal de mercado no es suficiente para absorber la cantidad mantenida por la entidad, como se describe en el párrafo 80) en lugar de como una característica del activo o pasivo (por ejemplo, una prima de control al medir el valor razonable de una participación controladora). En todos los casos, si existe un precio cotizado en un mercado activo (es decir, un </w:t>
      </w:r>
      <w:r w:rsidRPr="00401DFF">
        <w:rPr>
          <w:rFonts w:ascii="Times New Roman" w:eastAsia="Times New Roman" w:hAnsi="Times New Roman" w:cs="Times New Roman"/>
          <w:i/>
          <w:iCs/>
          <w:sz w:val="24"/>
          <w:szCs w:val="24"/>
          <w:lang w:eastAsia="es-CO"/>
        </w:rPr>
        <w:t>dato de entrada de Nivel 1)</w:t>
      </w:r>
      <w:r w:rsidRPr="00401DFF">
        <w:rPr>
          <w:rFonts w:ascii="Times New Roman" w:eastAsia="Times New Roman" w:hAnsi="Times New Roman" w:cs="Times New Roman"/>
          <w:sz w:val="24"/>
          <w:szCs w:val="24"/>
          <w:lang w:eastAsia="es-CO"/>
        </w:rPr>
        <w:t xml:space="preserve"> para un activo o un pasivo, una entidad utilizará ese precio sin ajuste al medir el valor razonable, excepto por lo especificado en el párrafo 79.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basadas en precios comprador y vendedor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70 Si un activo o un pasivo medido a valor razonable tiene un precio comprador y un precio vendedor (por ejemplo, un dato de entrada procedente de un mercado de intermediación financiera), el precio dentro del diferencial de precios comprador-vendedor que sea el más </w:t>
      </w:r>
      <w:r w:rsidRPr="00401DFF">
        <w:rPr>
          <w:rFonts w:ascii="Times New Roman" w:eastAsia="Times New Roman" w:hAnsi="Times New Roman" w:cs="Times New Roman"/>
          <w:sz w:val="24"/>
          <w:szCs w:val="24"/>
          <w:lang w:eastAsia="es-CO"/>
        </w:rPr>
        <w:lastRenderedPageBreak/>
        <w:t>representativo del valor razonable en esas circunstancias se utilizará para medir el valor razonable independientemente de dónde se clasifique el dato de entrada en la jerarquía del valor razonable (es decir, Nivel 1, 2 o 3; véanse los párrafos 72 a 90). Se permite pero no se requiere el uso de precios de comprador para posiciones de activo y precios de vendedor para posiciones de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71 Esta NIIF no impide el uso de precios de mercado medios u otras convenciones para fijar precios que utilizan los participantes del mercado como un recurso práctico para las mediciones del valor razonable dentro de un diferencial de precios comprador-vendedor.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72 Para incrementar la coherencia y comparabilidad de las mediciones del valor razonable e información a revelar relacionada, esta NIIF establece una jerarquía del valor razonable que clasifica en tres niveles (véanse los párrafos 76 a 90) los datos de entrada de técnicas de valoración utilizadas para medir el valor razonable. La jerarquía del valor razonable concede la prioridad más alta a los precios cotizados (sin ajustar) en mercados activos para activos y pasivos idénticos (datos de entrada de Nivel 1) y la prioridad más baja a los datos de entrada no observables </w:t>
      </w:r>
      <w:r w:rsidRPr="00401DFF">
        <w:rPr>
          <w:rFonts w:ascii="Times New Roman" w:eastAsia="Times New Roman" w:hAnsi="Times New Roman" w:cs="Times New Roman"/>
          <w:i/>
          <w:iCs/>
          <w:sz w:val="24"/>
          <w:szCs w:val="24"/>
          <w:lang w:eastAsia="es-CO"/>
        </w:rPr>
        <w:t>(datos de entrada de Nivel de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73 En algunos casos, los datos de entrada utilizados para medir el valor razonable de un activo o un pasivo pueden clasificarse dentro de diferentes niveles de la jerarquía del valor razonable. En esos casos, la medición del valor razonable se clasifica en su totalidad en el mismo nivel de la jerarquía de valor razonable que el dato de entrada de nivel más bajo que sea significativa para la medición completa. Evaluar la relevancia de un dato de entrada en particular para la medición completa requiere del juicio profesional, teniendo en cuenta factores específicos del activo o pasivo. Los ajustes para llegar a mediciones basadas en el valor razonable, tales como los costos de vender al medir al valor razonable menos los costos de venta, no se tendrán en cuenta al determinar el nivel de la jerarquía del valor razonable dentro del que se clasifica una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74 La disponibilidad de datos de entrada relevantes y su relativa subjetividad pueden afectar la selección de las técnicas de valoración adecuadas (véase el párrafo 61). Sin embargo, la jerarquía del valor razonable prioriza los datos de entrada de las técnicas de valoración, no las técnicas de valoración utilizadas para medir el valor razonable. Por ejemplo, una medición del valor razonable desarrollada utilizando una técnica de valor presente puede clasificarse dentro del Nivel 2 o Nivel 3, dependiendo de los datos de entrada que son significativos para la medición completa y el nivel de la jerarquía del valor razonable dentro de la que se clasifican esos datos de entrada.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75 Si un dato de entrada observable requiere un ajuste utilizando un dato de entrada no observable y ese ajuste da lugar a una medición del valor razonable significativamente mayor o menor, la medición resultante se clasificaría dentro del Nivel 3 de la jerarquía del valor razonable. Por ejemplo, si un participante de mercado tuviera en cuenta el efecto de una restricción en la venta de un activo al estimar el precio del activo, una entidad ajustaría el precio cotizado para reflejar el efecto de esa restricción. Si ese precio cotizado es un dato de entrada</w:t>
      </w:r>
      <w:r w:rsidRPr="00401DFF">
        <w:rPr>
          <w:rFonts w:ascii="Times New Roman" w:eastAsia="Times New Roman" w:hAnsi="Times New Roman" w:cs="Times New Roman"/>
          <w:i/>
          <w:iCs/>
          <w:sz w:val="24"/>
          <w:szCs w:val="24"/>
          <w:lang w:eastAsia="es-CO"/>
        </w:rPr>
        <w:t xml:space="preserve"> de Nivel 2 </w:t>
      </w:r>
      <w:r w:rsidRPr="00401DFF">
        <w:rPr>
          <w:rFonts w:ascii="Times New Roman" w:eastAsia="Times New Roman" w:hAnsi="Times New Roman" w:cs="Times New Roman"/>
          <w:sz w:val="24"/>
          <w:szCs w:val="24"/>
          <w:lang w:eastAsia="es-CO"/>
        </w:rPr>
        <w:t xml:space="preserve">y el ajuste es un dato de entrada no observable que es significativa </w:t>
      </w:r>
      <w:r w:rsidRPr="00401DFF">
        <w:rPr>
          <w:rFonts w:ascii="Times New Roman" w:eastAsia="Times New Roman" w:hAnsi="Times New Roman" w:cs="Times New Roman"/>
          <w:sz w:val="24"/>
          <w:szCs w:val="24"/>
          <w:lang w:eastAsia="es-CO"/>
        </w:rPr>
        <w:lastRenderedPageBreak/>
        <w:t>para la medición completa, la medición se clasificaría dentro del Nivel 3 de la 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76 Los datos de entrada de Nivel 1 son precios cotizados (sin ajustar) en mercados activos para activos o pasivos idénticos a los que la entidad puede acceder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77 Un precio cotizado en un mercado activo proporciona la evidencia más fiable del valor razonable y se utilizará sin ajuste para medir el valor razonable siempre que estén disponibles, excepto por lo especificado en el párrafo 79.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 Un dato de entrada de Nivel 1 estará disponible para muchos activos financieros y pasivos financieros, algunos de los cuales pueden ser intercambiados en mercados activos múltiples (por ejemplo, en intercambios diferentes). Por ello, el énfasis dentro del Nivel 1 se pone en la determinación de los dos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mercado principal para el activo o pasivo o, en ausencia de un mercado principal, el mercado más ventajoso para el activo o el pasivo;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entidad puede realizar una transacción para el activo o pasivo al precio de ese mercado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79 Una entidad no realizará un ajuste a un dato de entrada de Nivel 1 excepto en las siguientes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Cuando una entidad mantiene un gran número de activos o pasivos similares (pero no idénticos) (por ejemplo títulos valores de deuda) que se miden a valor razonable y está disponible un precio cotizado en un mercado activo pero no fácilmente accesible para cada uno de esos activos o pasivos individualmente (es decir, dado el gran número de activos o pasivos similares mantenido por la entidad, sería difícil obtener información sobre la fijación de precios para cada activo o pasivo individual en la fecha de la medición). En ese caso, como un recurso práctico, una entidad puede medir el valor razonable utilizando un método de fijación de precios alternativo que no se base exclusivamente en precios cotizados (por ejemplo, matriz de fijación de precios). Sin embargo, el uso de un método de fijación de precios alternativo da lugar a una medición del valor razonable clasificada dentro de un nivel más bajo de la 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Cuando un precio cotizado en un mercado activo no representa el valor razonable en la fecha de la medición. Ese puede ser el caso si, por ejemplo, sucesos significativos (tales como transacciones en un mercado de principal a principal, negociaciones en un mercado intermediado por agentes corredores o anuncios) tienen lugar después del cierre de un mercado pero antes de la fecha de la medición. Una entidad establecerá y aplicará de forma congruente una política para identificar esos sucesos que puedan afectar las mediciones del valor razonable. Sin embargo, si el precio cotizado se ajusta por nueva información, el </w:t>
      </w:r>
      <w:r w:rsidRPr="00401DFF">
        <w:rPr>
          <w:rFonts w:ascii="Times New Roman" w:eastAsia="Times New Roman" w:hAnsi="Times New Roman" w:cs="Times New Roman"/>
          <w:sz w:val="24"/>
          <w:szCs w:val="24"/>
          <w:lang w:eastAsia="es-CO"/>
        </w:rPr>
        <w:lastRenderedPageBreak/>
        <w:t>ajuste dará lugar a una medición del valor razonable clasificada dentro de un nivel más bajo de la 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Al medir el valor razonable de un pasivo o de un instrumento de patrimonio propio de una entidad utilizando el precio cotizado para el elemento idéntico negociado como un activo en un mercado activo y ese precio necesita ajustarse por factores específicos del elemento o del activo (véase el párrafo 39). Si no se requiere un ajuste al precio cotizado del activo, el resultado será una medición del valor razonable clasificada dentro del Nivel 1 de la jerarquía del valor razonable. Sin embargo, cualquier ajuste al precio cotizado del activo dará lugar a una medición del valor razonable clasificada dentro de un nivel más bajo de la 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80 Si una entidad mantiene una posición en un activo o pasivo único (incluyendo una posición que comprende un gran número de activos y pasivos idénticos, tales como un tenedor de instrumentos financieros) y el activo o pasivo se negocia en un mercado activo, el valor razonable del activo o pasivo se medirá dentro del Nivel 1 como el producto del precio cotizado para el activo o pasivo individual y la cantidad mantenida por la entidad. Ese es el caso incluso si un volumen de negociación diario normal de mercado no es suficiente para absorber la cantidad mantenida y la colocación de órdenes para vender la posición en una sola transacción pueden afectar al precio cotizado.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81 Los datos de entrada de Nivel 2 son distintos de los precios cotizados incluidos en el Nivel 1 que son observables para los activos o pasivos, directa o indirectamente.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82 Si el activo y pasivo tiene un plazo especificado (contractualmente) el dato de entrada de Nivel 2 debe ser observable, para el citado activo o pasivo, durante la práctica totalidad de dicho plazo. Los datos de entrada de Nivel 2 incluyen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Precios cotizados para activos o pasivos similares en mercado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Precios cotizados para activos o pasivos idénticos o similares en mercados que no son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Datos de entrada distintos de los precios cotizados que son observables para el activo o pasivo,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tasas de interés y curvas de rendimiento observables en intervalos cotizados comúnmente;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volatilidades implícitas;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Diferenciales de crédito.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Datos de entrada corroboradas por 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83 Los ajustes a datos de entrada de Nivel 2 variarán dependiendo de factores específicos del activo o pasivo. Esos factores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condición y localización del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medida en que los datos de entrada relacionados con las partidas que son comparables al activo o pasivo (incluyendo los factores descritos en el párrafo 39);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volumen o nivel de actividad en los mercados dentro del cual se observan los datos de entrada.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84 Un ajuste a un dato de entrada de Nivel 2 que sea significativo para la medición completa puede dar lugar a una medición del valor razonable clasificada dentro del Nivel 3 de la jerarquía del valor razonable si el ajuste utiliza datos de entrada no observables significativos.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85 El párrafo B35 describe el uso de los datos de entrada de Nivel 2 para activos y pasivos concretos.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86 Los datos de entrada de Nivel 3 son datos de entrada no observables para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87 Los datos de entrada no observables se utilizarán para medir el valor razonable en la medida en que esos datos de entrada observables relevantes no estén disponibles, teniendo en cuenta, de ese modo, situaciones en las que existe poca, si alguna, actividad de mercado para el activo o pasivo en la fecha de la medición. Sin embargo, el objetivo de la medición del valor razonable permanece el mismo, es decir un precio de salida en la fecha de la medición desde la perspectiva de un participante de mercado que mantiene el activo o debe el pasivo. Por ello, los datos de entrada no observables reflejarán los supuestos que los participantes del mercado utilizarían al fijar el precio del activo o pasivo, incluyendo supuestos sobre el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88 Los supuestos sobre el riesgo incluyen el riesgo inherente a una técnica de valoración concreta utilizada para medir el valor razonable (tales como un modelo de fijación de precios) y el riesgo inherente a los datos de entrada de la técnica de valoración. Una medición que no incluye un ajuste por riesgo no representaría una medición del valor razonable si los participantes del mercado incluirían uno al fijar el precio del activo o pasivo. Por ejemplo, puede ser necesario incluir un ajuste de riesgo cuando exista una incertidumbre de medición significativa (por ejemplo, cuando ha habido una reducción significativa en el volumen o nivel de actividad en comparación con la actividad de mercado normal para el activo o pasivo, o activos o pasivos similares, y la entidad ha determinado que el precio de transacción o precio cotizado no representa el valor razonable, como se describe en los párrafos B37 a B47).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89 Una entidad desarrollará datos de entrada no observables utilizando la mejor información disponible en esas circunstancias, que puede incluir datos propios de la entidad. Al desarrollar datos de entrada no observables, una entidad puede comenzar con sus datos propios, pero ajustará esos datos si la información disponible indica razonablemente que otros participantes del mercado utilizarían datos diferentes o hay algo concreto en la entidad que no está disponible para otros participantes del mercado (por ejemplo, una sinergia específica de la entidad). Una entidad no necesita llevar a cabo esfuerzos exhaustivos para obtener información sobre los supuestos de los participantes del mercado. Sin embargo, una entidad tendrá en cuenta toda la información sobre los supuestos de los participantes del mercado que esté razonablemente disponible. Los datos de entrada no observables desarrollados en la forma descrita anteriormente se considerarán supuestos de los participantes del mercado y cumplen el objetivo de una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 El párrafo B36 describe el uso de los datos de entrada de Nivel 3 para activos y pasivos concretos.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91 Una entidad revelará información que ayude a los usuarios de sus estados financieros a evaluar los dos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 Para activos y pasivos que se miden a valor razonable sobre una base recurrente o no recurrente en el estado de situación financiera después del reconocimiento inicial, las técnicas de valoración y los datos de entrada utilizados para desarrollar esas mediciones.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(b) Para mediciones del valor razonable recurrentes utilizando datos de entrada no observables significativas (Nivel 3), el efecto de las mediciones sobre el resultado del periodo u otro resultado integral para el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92 Para cumplir el objetivo del párrafo 91, una entidad considerará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nivel de detalle necesario para satisfacer los requerimientos de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cuánto énfasis colocar en cada uno de los distintos requerimientos;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cuánta acumulación o desglose realizar;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si los usuarios de los estados financieros necesitan información adicional para evaluar la información cuantitativa revelada.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Si la información a revelar proporcionada de acuerdo con esta y otras NIIF, es insuficiente para alcanzar los objetivos del párrafo 91, una entidad revelará la información adicional necesaria para cumplir con esos objetivos.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93 Para alcanzar los objetivos del párrafo 91, una entidad revelará, como mínimo, la información siguiente para cada clase de activos y pasivos (véase el párrafo 94 para información sobre la determinación de las clases adecuadas de activos y pasivos) medidos a valor razonable (incluyendo mediciones basadas en el valor razonable dentro del alcance de esta NIIF) en el estado de situación financiera después del reconocimiento inicial: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Para las mediciones del valor razonable recurrentes y no recurrentes, la medición del valor razonable al final del periodo sobre el que se informa, y para mediciones de valor razonable recurrentes y no recurrentes, las razones de la medición. Las mediciones del valor razonable recurrentes de activos o pasivos son las que requieren o permiten otras NIIF en el estado de situación financiera al final de cada periodo sobre el que se informa. Las mediciones del valor razonable no recurrentes de activos o pasivos son las que requieren o permiten otras NIIF en el estado de situación financiera en circunstancias concretas (por ejemplo, cuando una entidad mide un activo mantenido para la venta a valor razonable menos costos de venta de acuerdo con la NIIF 5 </w:t>
      </w:r>
      <w:r w:rsidRPr="00401DFF">
        <w:rPr>
          <w:rFonts w:ascii="Times New Roman" w:eastAsia="Times New Roman" w:hAnsi="Times New Roman" w:cs="Times New Roman"/>
          <w:i/>
          <w:iCs/>
          <w:sz w:val="24"/>
          <w:szCs w:val="24"/>
          <w:lang w:eastAsia="es-CO"/>
        </w:rPr>
        <w:t>Activos no corrientes Mantenidos para la Venta y Operaciones Discontinuadas</w:t>
      </w:r>
      <w:r w:rsidRPr="00401DFF">
        <w:rPr>
          <w:rFonts w:ascii="Times New Roman" w:eastAsia="Times New Roman" w:hAnsi="Times New Roman" w:cs="Times New Roman"/>
          <w:sz w:val="24"/>
          <w:szCs w:val="24"/>
          <w:lang w:eastAsia="es-CO"/>
        </w:rPr>
        <w:t xml:space="preserve"> porque el valor razonable de los activos menos los costos de venta es menor que su importe en libros).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las mediciones del valor razonable recurrentes y no recurrentes, el nivel de la jerarquía del valor razonable dentro del cual se clasifican las mediciones del valor razonable en su totalidad (Nivel 1, 2 o 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activos y pasivos mantenidos al final del periodo sobre el que se informa que se miden al valor razonable sobre una base recurrente, los importes de las transferencias entre el Nivel 1 y el Nivel 2 de la jerarquía del valor razonable, las razones de esas transferencias y la política de la entidad para determinar cuándo se atribuye que han tenido lugar las transferencias entre niveles (véase el párrafo 95). Las transferencias hacia cada nivel se revelarán y comentarán de forma separada de las transferencias salidas de cada nivel.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Para las mediciones del valor razonable recurrentes y no recurrentes clasificadas dentro del Nivel 2 y Nivel 3 de la jerarquía del valor razonable, una descripción de las técnicas de valoración y los datos de entrada utilizados en la medición del valor razonable. Si ha habido un cambio en la técnica de valoración (por ejemplo, cambiando de un enfoque de mercado a un enfoque de ingreso o el uso de una técnica de valoración adicional), la entidad revelará ese cambio y las razones para realizarlo. Para mediciones del valor razonable clasificadas en el Nivel 3 de la jerarquía del valor razonable, una entidad proporcionará información cuantitativa sobre los datos de entrada no observables significativos utilizados en la medición del valor razonable. No se requiere que una entidad elabore información cuantitativa para cumplir con este requerimiento de información a revelar si los datos de entrada no observables cuantitativos no están desarrollados por la entidad al medir el valor razonable (por ejemplo, cuando una entidad utiliza precios de transacciones anteriores o información de fijación de precios de terceros sin ajustar). Sin embargo, al proporcionar esta información a revelar una entidad no puede ignorar datos de entrada no observables cuantitativos que son significativos para la medición del valor razonable y están razonablemente disponibles para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Para mediciones del valor razonable recurrentes clasificadas en el Nivel 3, de la jerarquía de valor razonable, una conciliación de los saldos de apertura con los saldos de cierre, revelando por separado los cambios durante el periodo atribuibles a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Las ganancias o pérdidas totales del periodo reconocidas en el resultado del periodo y las partidas del resultado del periodo en las que se reconocen esas ganancias o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ganancias o pérdidas totales del periodo reconocidas en otro resultado integral y las partidas del otro resultado integral en las que se reconocen esas ganancias o pérdidas.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compras, ventas, emisiones y liquidaciones (revelando por separado cada tipo de cambios).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(iv) Los importes de las transferencias hacia o desde el Nivel 3 de la jerarquía del valor razonable, las razones de esas transferencias y la política de la entidad para determinar cuándo se atribuye que han ocurrido las transferencias entre niveles (véase el párrafo 95). Las transferencias hacia el Nivel 3 se revelarán y comentarán por separado de las transferencias salidas de este nivel.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Para mediciones del valor razonable recurrentes clasificadas en el Nivel 3 de la jerarquía del valor razonable, el importe de las ganancias o pérdidas totales para el periodo en (e)(i) incluidas en el resultado del periodo que es atribuible al cambio en ganancias o pérdidas no realizadas relacionadas con esos activos y pasivos mantenidos al final del periodo sobre el que se informa, y las partidas del resultado del periodo en el que se reconocen esas ganancias o pérdidas no realizadas.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(g) Para mediciones del valor razonable recurrentes y no recurrentes clasificadas en el Nivel 3 de la jerarquía del valor razonable, una descripción de los procesos de valoración utilizados por la entidad (incluyendo, por ejemplo, la forma en que una entidad decide sus políticas y procedimientos de valoración y analiza los cambios en las mediciones del valor razonable de periodo 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Para las mediciones del valor razonable recurrentes clasificadas en el Nivel 3 de la jerarquía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Para todas estas mediciones, una descripción narrativa de la sensibilidad de la medición del valor razonable a cambios en datos de entrada no observables si un cambio en esos datos de entrada a un importe diferente puede dar lugar a una medición del valor razonable significativamente mayor o menor. Si existen interrelaciones entre esos datos de entrada y otros datos de entrada no observables utilizados en la medición del valor razonable, una entidad proporcionará también una descripción de esas interrelaciones y de la forma en que puede aumentar o mitigar el efecto de los cambios en los datos de entrada no observables en la medición del valor razonable. Para cumplir con ese requerimiento de información a revelar, la descripción narrativa de la sensibilidad a cambios en datos de entrada no observables incluirán, como mínimo, los datos de entrada no observables revelados al cumplir con (d).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(ii) Para activos financieros y pasivos financieros, si cambiar uno o más datos de entrada no observables para reflejar supuestos alternativos razonablemente posibles cambiaría en forma significativa el valor razonable, una entidad señalará ese hecho y revelará el efecto de esos cambios. La entidad revelará la forma en que se calculó el efecto de un cambio para reflejar un supuesto alternativo razonablemente posible. A estos efectos, la relevancia se juzgará con respecto al resultado del periodo, así como al total de los activos o total de los pasivos o, cuando los cambios en el valor razonable se reconozcan en otro resultado integral, con respecto al total del patrimonio.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Para las mediciones del valor razonable recurrentes y no recurrentes, si el máximo y mejor uso de un activo no financiero difiere de su utilización presente, una entidad revelará ese hecho y la razón por la que el activo no corriente se está utilizando de una forma que difiere de su máximo y mejor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94 Una entidad determinará las clases adecuadas de activos y pasivos sobre la base de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naturaleza, características y riesgos del activo o pasivo;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nivel de la jerarquía del valor razonable dentro del que se clasifica la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número de clases puede necesitar ser mayor para mediciones del valor razonable clasificadas dentro del Nivel 3 de la jerarquía del valor razonable porque esas mediciones tienen un mayor grado de incertidumbre y subjetividad. La determinación de las clases adecuadas de activos y pasivos para las que se debe proporcionar información a revelar sobre las mediciones del valor razonable requiere del juicio profesional. Una clase de activos y pasivos, a menudo, requerirá mayor desglose que las partidas presentadas en el estado de situación financiera. Sin embargo, una entidad suministrará información suficiente para permitir la conciliación con las partidas presentadas en el estado de situación financiera. Si otra NIIF especifica la clase de un activo o un pasivo, una entidad puede utilizar esa clase al proporcionar la información a revelar requerida en esta NIIF si esa clase cumple con los requerimientos de este párrafo.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Una entidad revelará y seguirá de forma congruente su política para determinar cuándo se atribuye que han ocurrido las transferencias entre niveles de la jerarquía del valor razonable, de acuerdo con el párrafo 93(c) y (e)(iv). La política sobre el calendario para reconocer las transferencias serán las mismas para las transferencias salidas de los niveles que para las transferencias detraídas de dichos niveles. Ejemplos de políticas para determinar el calendario de transferencias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fecha del suceso o cambio en las circunstancias que causaron la transferencia.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comienzo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final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96 Si una entidad toma una decisión de política contable para utilizar la excepción del párrafo 48, revelará ese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97 Una entidad revelará la información requerida en el párrafo 93(b), (d) e (i), para cada clase de activos y pasivos no medidos a valor razonable en el estado de situación financiera, pero para la que se revela el valor razonable. Sin embargo, no se requiere que una entidad proporcione información a revelar cuantitativa sobre datos de entrada no observables significativas utilizadas en las mediciones del valor razonable clasificadas en el Nivel 3 de la jerarquía del valor razonable requerida por el párrafo 93(d). Para estos activos y pasivos, una entidad no necesitará proporcionar la otra información a revelar requerida por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98 Para un pasivo medido al valor razonable y emitido con una mejora crediticia de un tercero inseparable, un emisor revelará la existencia de esta mejora crediticia y si está reflejada en la medición del valor razonable del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99 Una entidad presentará la información a revelar de tipo cuantitativo requerida por esta NIIF en forma de tabla, a menos que sea más apropiado otro formato.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Definiciones de términos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w:t>
      </w:r>
    </w:p>
    <w:tbl>
      <w:tblPr>
        <w:tblW w:w="9285" w:type="dxa"/>
        <w:jc w:val="center"/>
        <w:tblCellSpacing w:w="15" w:type="dxa"/>
        <w:tblCellMar>
          <w:top w:w="15" w:type="dxa"/>
          <w:left w:w="15" w:type="dxa"/>
          <w:bottom w:w="15" w:type="dxa"/>
          <w:right w:w="15" w:type="dxa"/>
        </w:tblCellMar>
        <w:tblLook w:val="04A0" w:firstRow="1" w:lastRow="0" w:firstColumn="1" w:lastColumn="0" w:noHBand="0" w:noVBand="1"/>
      </w:tblPr>
      <w:tblGrid>
        <w:gridCol w:w="3399"/>
        <w:gridCol w:w="5836"/>
        <w:gridCol w:w="50"/>
      </w:tblGrid>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transacción</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costos de venta de un activo o transferencia de un pasivo en el mercado principal (o más ventajoso) para el activo o pasivo que son atribuibles directamente a la disposición del activo o a la transferencia del pasivo y cumple los dos criterios siguientes:</w:t>
            </w:r>
            <w:r w:rsidRPr="00401DFF">
              <w:rPr>
                <w:rFonts w:ascii="Times New Roman" w:eastAsia="Times New Roman" w:hAnsi="Times New Roman" w:cs="Times New Roman"/>
                <w:sz w:val="24"/>
                <w:szCs w:val="24"/>
                <w:lang w:eastAsia="es-CO"/>
              </w:rPr>
              <w:br/>
              <w:t>(a) Proceden directamente de una transacción y son parte esencial de ésta.</w:t>
            </w:r>
            <w:r w:rsidRPr="00401DFF">
              <w:rPr>
                <w:rFonts w:ascii="Times New Roman" w:eastAsia="Times New Roman" w:hAnsi="Times New Roman" w:cs="Times New Roman"/>
                <w:sz w:val="24"/>
                <w:szCs w:val="24"/>
                <w:lang w:eastAsia="es-CO"/>
              </w:rPr>
              <w:br/>
              <w:t>(b) No se habrían incurrido por parte de la entidad si no se hubiera tomado la decisión de vender el activo o transferir el pasivo (similar a costos de venta, tal como se definen en la NIIF 5).</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costos de transporte</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costos en que se incurriría para transportar un activo desde su localización presente a su mercado principal (o más ventajoso).</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Los supuestos que los participantes del mercado utilizarían al fijar el precio del activo o pasivo, incluyendo los supuestos sobre el riesgo, tales como las siguientes:</w:t>
            </w:r>
            <w:r w:rsidRPr="00401DFF">
              <w:rPr>
                <w:rFonts w:ascii="Times New Roman" w:eastAsia="Times New Roman" w:hAnsi="Times New Roman" w:cs="Times New Roman"/>
                <w:sz w:val="24"/>
                <w:szCs w:val="24"/>
                <w:lang w:eastAsia="es-CO"/>
              </w:rPr>
              <w:br/>
              <w:t>(a) el riesgo inherente a una técnica de valoración concreta utilizado para medir el valor razonable (tal como un modelo de fijación de precios); y</w:t>
            </w:r>
            <w:r w:rsidRPr="00401DFF">
              <w:rPr>
                <w:rFonts w:ascii="Times New Roman" w:eastAsia="Times New Roman" w:hAnsi="Times New Roman" w:cs="Times New Roman"/>
                <w:sz w:val="24"/>
                <w:szCs w:val="24"/>
                <w:lang w:eastAsia="es-CO"/>
              </w:rPr>
              <w:br/>
              <w:t xml:space="preserve">(b) el riesgo inherente a los datos de entrada de la técnica </w:t>
            </w:r>
            <w:r w:rsidRPr="00401DFF">
              <w:rPr>
                <w:rFonts w:ascii="Times New Roman" w:eastAsia="Times New Roman" w:hAnsi="Times New Roman" w:cs="Times New Roman"/>
                <w:sz w:val="24"/>
                <w:szCs w:val="24"/>
                <w:lang w:eastAsia="es-CO"/>
              </w:rPr>
              <w:lastRenderedPageBreak/>
              <w:t>de valoración.</w:t>
            </w:r>
            <w:r w:rsidRPr="00401DFF">
              <w:rPr>
                <w:rFonts w:ascii="Times New Roman" w:eastAsia="Times New Roman" w:hAnsi="Times New Roman" w:cs="Times New Roman"/>
                <w:sz w:val="24"/>
                <w:szCs w:val="24"/>
                <w:lang w:eastAsia="es-CO"/>
              </w:rPr>
              <w:br/>
              <w:t>Los datos de entrada pueden ser observables o no observables.</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datos de entrada corroborados por el mercado</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Datos de entrada que provienen principalmente de datos de mercado observables o corroborados por éste por correlación u otros medios.</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1</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Precios cotizados (sin ajustar) en mercados activos para activos o pasivos idénticos a los que la entidad puede acceder en la fecha de la medición.</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2</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Datos de entrada distintos de los precios cotizados incluidos en el Nivel 1 que son observables para los activos o pasivos, directa o indirectamente.</w:t>
            </w:r>
          </w:p>
        </w:tc>
      </w:tr>
      <w:tr w:rsidR="00401DFF" w:rsidRPr="00401DFF" w:rsidTr="00401DFF">
        <w:trPr>
          <w:gridAfter w:val="1"/>
          <w:wAfter w:w="5" w:type="dxa"/>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3</w:t>
            </w:r>
          </w:p>
        </w:tc>
        <w:tc>
          <w:tcPr>
            <w:tcW w:w="5790" w:type="dxa"/>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Datos de entrada no observables para el activo o pasivo.</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no observable</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Datos de entrada para los que los datos de mercado no están disponibles y que se han desarrollado utilizando la mejor información disponible sobre los supuestos que los participantes del mercado utilizarían al fijar el precio del activo o pasivo.</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observables</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Datos de entrada que están desarrollados utilizando datos de mercado, tales como información disponible públicamente sobre los sucesos o transacciones reales, y que reflejan los supuestos que los participantes del mercado utilizarían al fijar el precio del activo o pasivo.</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 mercado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técnica de valoración que utiliza los precios y otra información relevante generada por transacciones de mercado que involucran activos, pasivos o un grupo de activos y pasivos idénticos o comparables (es decir, similares), tales como un negocio.</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del costo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técnica de valoración que refleja el importe que se requeriría en el momento presente para sustituir la capacidad de servicio de un activo (a menudo conocido como costo de reposición corriente).</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del ingreso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técnicas de valoración que convierten importes futuros (por ejemplo, flujos de efectivo o ingresos y gastos) en un importe presente único (es decir, descontado). La medición del valor razonable se determina sobre la base del valor indicado por las expectativas de mercado presentes sobre esos importes futuros.</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flujo de efectivo esperado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promedio ponderado de la probabilidad (es decir, la media de la distribución) de los flujos de efectivo futuros posibles.</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máximo y mejor uso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El uso de un activo no financiero por participantes del mercado que maximizaría el valor del activo o del grupo de activos y pasivos (por ejemplo, un negocio) en el que se </w:t>
            </w:r>
            <w:r w:rsidRPr="00401DFF">
              <w:rPr>
                <w:rFonts w:ascii="Times New Roman" w:eastAsia="Times New Roman" w:hAnsi="Times New Roman" w:cs="Times New Roman"/>
                <w:sz w:val="24"/>
                <w:szCs w:val="24"/>
                <w:lang w:eastAsia="es-CO"/>
              </w:rPr>
              <w:lastRenderedPageBreak/>
              <w:t>utilizaría dicho activo.</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mercado activo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 mercado en el que las transacciones de los activos o pasivos tienen lugar con frecuencia y volumen suficiente para proporcionar información para fijar precios sobre una base de negocio en marcha.</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mercado más ventajoso</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mercado que maximiza el importe que se recibiría por vender el activo o minimiza el importe que se pagaría por transferir el pasivo, después de tener en cuenta los costos de transacción y los costos de transporte.</w:t>
            </w:r>
          </w:p>
        </w:tc>
      </w:tr>
      <w:tr w:rsidR="00401DFF" w:rsidRPr="00401DFF" w:rsidTr="00401DFF">
        <w:trPr>
          <w:tblCellSpacing w:w="15" w:type="dxa"/>
          <w:jc w:val="center"/>
        </w:trPr>
        <w:tc>
          <w:tcPr>
            <w:tcW w:w="3345" w:type="dxa"/>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mercado principal</w:t>
            </w:r>
          </w:p>
        </w:tc>
        <w:tc>
          <w:tcPr>
            <w:tcW w:w="5820" w:type="dxa"/>
            <w:gridSpan w:val="2"/>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mercado con el mayor volumen y nivel de actividad para el activo o pasivo.</w:t>
            </w:r>
          </w:p>
        </w:tc>
      </w:tr>
    </w:tbl>
    <w:p w:rsidR="00401DFF" w:rsidRPr="00401DFF" w:rsidRDefault="00401DFF" w:rsidP="00B11F50">
      <w:pPr>
        <w:spacing w:after="0" w:line="240" w:lineRule="auto"/>
        <w:rPr>
          <w:rFonts w:ascii="Times New Roman" w:eastAsia="Times New Roman" w:hAnsi="Times New Roman" w:cs="Times New Roman"/>
          <w:vanish/>
          <w:sz w:val="24"/>
          <w:szCs w:val="24"/>
          <w:lang w:eastAsia="es-CO"/>
        </w:rPr>
      </w:pPr>
    </w:p>
    <w:tbl>
      <w:tblPr>
        <w:tblW w:w="2450" w:type="pct"/>
        <w:jc w:val="center"/>
        <w:tblCellSpacing w:w="15" w:type="dxa"/>
        <w:tblCellMar>
          <w:top w:w="15" w:type="dxa"/>
          <w:left w:w="15" w:type="dxa"/>
          <w:bottom w:w="15" w:type="dxa"/>
          <w:right w:w="15" w:type="dxa"/>
        </w:tblCellMar>
        <w:tblLook w:val="04A0" w:firstRow="1" w:lastRow="0" w:firstColumn="1" w:lastColumn="0" w:noHBand="0" w:noVBand="1"/>
      </w:tblPr>
      <w:tblGrid>
        <w:gridCol w:w="1689"/>
        <w:gridCol w:w="340"/>
        <w:gridCol w:w="2346"/>
      </w:tblGrid>
      <w:tr w:rsidR="00401DFF" w:rsidRPr="00401DFF" w:rsidTr="00401DFF">
        <w:trPr>
          <w:tblCellSpacing w:w="15" w:type="dxa"/>
          <w:jc w:val="center"/>
        </w:trPr>
        <w:tc>
          <w:tcPr>
            <w:tcW w:w="1850" w:type="pct"/>
            <w:vMerge w:val="restar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participantes del mercado</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Compradores y vendedores en el mercado principal (o más ventajoso) del activo o pasivo que tienen todas las características siguientes:</w:t>
            </w:r>
          </w:p>
        </w:tc>
      </w:tr>
      <w:tr w:rsidR="00401DFF" w:rsidRPr="00401DFF" w:rsidTr="00401DFF">
        <w:trPr>
          <w:tblCellSpacing w:w="15" w:type="dxa"/>
          <w:jc w:val="center"/>
        </w:trPr>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40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w:t>
            </w:r>
          </w:p>
        </w:tc>
        <w:tc>
          <w:tcPr>
            <w:tcW w:w="30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Son independientes el uno del otro, es decir, no son partes relacionadas como se definen en la NIC 24, aunque el precio de una transacción entre partes relacionadas puede utilizarse como un dato de entrada para una medición del valor razonable si la entidad tiene evidencia de que la transacción se realizó en condiciones de mercado.</w:t>
            </w:r>
          </w:p>
        </w:tc>
      </w:tr>
      <w:tr w:rsidR="00401DFF" w:rsidRPr="00401DFF" w:rsidTr="00401DFF">
        <w:trPr>
          <w:tblCellSpacing w:w="15" w:type="dxa"/>
          <w:jc w:val="center"/>
        </w:trPr>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40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w:t>
            </w:r>
          </w:p>
        </w:tc>
        <w:tc>
          <w:tcPr>
            <w:tcW w:w="30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Están debidamente informados, teniendo una comprensión razonable del activo o pasivo y que utilizan en la transacción toda la información disponible, incluyendo información que puede obtenerse a través de esfuerzos con la </w:t>
            </w:r>
            <w:r w:rsidRPr="00401DFF">
              <w:rPr>
                <w:rFonts w:ascii="Times New Roman" w:eastAsia="Times New Roman" w:hAnsi="Times New Roman" w:cs="Times New Roman"/>
                <w:sz w:val="24"/>
                <w:szCs w:val="24"/>
                <w:lang w:eastAsia="es-CO"/>
              </w:rPr>
              <w:lastRenderedPageBreak/>
              <w:t>diligencia debida que son los usuales y habituales.</w:t>
            </w:r>
          </w:p>
        </w:tc>
      </w:tr>
      <w:tr w:rsidR="00401DFF" w:rsidRPr="00401DFF" w:rsidTr="00401DFF">
        <w:trPr>
          <w:tblCellSpacing w:w="15" w:type="dxa"/>
          <w:jc w:val="center"/>
        </w:trPr>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40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w:t>
            </w:r>
          </w:p>
        </w:tc>
        <w:tc>
          <w:tcPr>
            <w:tcW w:w="30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Son capaces de realizar una transacción para el activo o pasivo.</w:t>
            </w:r>
          </w:p>
        </w:tc>
      </w:tr>
      <w:tr w:rsidR="00401DFF" w:rsidRPr="00401DFF" w:rsidTr="00401DFF">
        <w:trPr>
          <w:tblCellSpacing w:w="15" w:type="dxa"/>
          <w:jc w:val="center"/>
        </w:trPr>
        <w:tc>
          <w:tcPr>
            <w:tcW w:w="0" w:type="auto"/>
            <w:vMerge/>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p>
        </w:tc>
        <w:tc>
          <w:tcPr>
            <w:tcW w:w="40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w:t>
            </w:r>
          </w:p>
        </w:tc>
        <w:tc>
          <w:tcPr>
            <w:tcW w:w="3050" w:type="pct"/>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Tienen voluntad de realizar una transacción con el activo o pasivo, es decir están motivados pero no forzados u obligados de cualquier forma a hacerlo.</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precio de entrada</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precio pagado por adquirir un activo o recibido por asumir un pasivo en una transacción de intercambio.</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precio de salida</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precio que se recibiría por vender un activo o se pagaría por transferir un pasivo.</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prima de riesgo</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Compensación buscada por los participantes del mercado adversos al riesgo para soportar una incertidumbre inherente a los flujos de efectivo de un activo o un pasivo. También se denomina “ajuste de riesgo”.</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riesgo de incumplimiento</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riesgo de que una entidad no satisfaga una obligación. El riesgo de incumplimiento incluye pero puede no estar limitado al riesgo crediticio propio de la entidad.</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transacción ordenada</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Una transacción que supone una exposición al mercado para un periodo anterior a la fecha de la medición para tener en </w:t>
            </w:r>
            <w:r w:rsidRPr="00401DFF">
              <w:rPr>
                <w:rFonts w:ascii="Times New Roman" w:eastAsia="Times New Roman" w:hAnsi="Times New Roman" w:cs="Times New Roman"/>
                <w:sz w:val="24"/>
                <w:szCs w:val="24"/>
                <w:lang w:eastAsia="es-CO"/>
              </w:rPr>
              <w:lastRenderedPageBreak/>
              <w:t>cuenta las actividades de comercialización que son usuales y habituales para transacciones que involucran estos activos o pasivos; no es una transacción forzada (por ejemplo, una liquidación forzada o venta urgente).</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unidad de cuenta</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nivel al que un activo o un pasivo se acumula o desglosa en una NIIF a efectos de su reconocimiento.</w:t>
            </w:r>
          </w:p>
        </w:tc>
      </w:tr>
      <w:tr w:rsidR="00401DFF" w:rsidRPr="00401DFF" w:rsidTr="00401DFF">
        <w:trPr>
          <w:tblCellSpacing w:w="15" w:type="dxa"/>
          <w:jc w:val="center"/>
        </w:trPr>
        <w:tc>
          <w:tcPr>
            <w:tcW w:w="1850" w:type="pct"/>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(fair value)</w:t>
            </w:r>
          </w:p>
        </w:tc>
        <w:tc>
          <w:tcPr>
            <w:tcW w:w="3100" w:type="pct"/>
            <w:gridSpan w:val="2"/>
            <w:vAlign w:val="center"/>
            <w:hideMark/>
          </w:tcPr>
          <w:p w:rsidR="00401DFF" w:rsidRPr="00401DFF" w:rsidRDefault="00401DFF" w:rsidP="00B11F50">
            <w:pPr>
              <w:spacing w:after="0"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precio que se recibiría por vender un activo o que se pagaría por transferir un pasivo en una transacción ordenada entre participantes del mercado en la fecha de la medición.</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Guía de aplicación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integrante de la NIIF. Describe la aplicación de los párrafos 1 a 99 y tiene el mismo valor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 Los juicios aplicados en situaciones de valoración diferentes pueden ser distintos. Este apéndice describe los juicios que pueden aplicarse cuando una entidad mide el valor razonable en situaciones de valoración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 El objetivo de una medición del valor razonable es estimar el precio al que una transacción ordenada de venta del activo o de transferencia del pasivo tendría lugar entre participantes del mercado en la fecha de la medición en las condiciones de mercado presentes. Una medición del valor razonable requiere que una entidad determine todos los elementos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activo o pasivo concreto que es el objeto de la medición (de forma congruente con su unidad de cuenta).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Para un activo no financiero, la premisa de valoración que es adecuada para la medición (de forma congruente con su máximo y mejor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El mercado principal (o más ventajoso) para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Las técnicas de valoración adecuadas para la medición, considerando la disponibilidad de datos con los cuales desarrollar datos de entrada que representen los supuestos que los participantes del mercado utilizarían al fijar el precio del activo o pasivo y el nivel de la jerarquía del valor razonable en la que se clasifican los datos de entrada.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Premisa de valoración de activos no financieros (párrafos 31 a 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 Al medir el valor razonable de un activo no financiero utilizado en combinación con otros activos como un grupo (como se instaló o configuró, de otra forma, para su uso), o en combinación con otros activos y pasivos (por ejemplo, un negocio), el efecto de la premisa de valoración dependerá de las circunstancias.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valor razonable del activo puede ser el mismo si éste se usa de forma independiente o en combinación con otros activos o con otros activos y pasivos. Ese puede ser el caso si el activo es un negocio que los participantes del mercado continuarían operando. En ese caso, la transacción involucraría valorar el negocio en su totalidad. El uso de los activos como un grupo sobre una base de negocio en marcha generaría sinergias que estarían disponibles para los participantes del mercado (es decir, sinergias de los participantes del mercado que, por ello, deberían afectar al valor razonable del activo sobre la base de uso independiente o en combinación con otros activos o con otros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uso de un activo en combinación con otros activos o con otros activos y pasivos puede incorporarse en la medición del valor razonable a través de ajustes al valor del activo utilizado de forma independiente. Ese puede ser el caso si el activo es una máquina y la medición del valor razonable se determina utilizando un precio observado para una máquina similar (no instalada o configurada de otra forma para su uso), ajustado por el transporte y los costos de instalación de forma que la medición del valor razonable reflejará las condiciones y localización presentes de la máquina (instalada y configurada para su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uso de un activo en combinación con otros activos o con otros activos y pasivos puede incorporarse en la medición del valor razonable a través de los supuestos de los participantes del mercado utilizados para medir el valor razonable del activo. Por ejemplo, si el activo es un inventario en curso que es único y los participantes del mercado transformarían el inventario en bienes terminados, el valor razonable del inventario supondría que los participantes del mercado han adquirido o adquirirían la maquinaria especializada necesaria para transformar el inventario en bienes terminados.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uso de un activo en combinación con otros activos o con otros activos y pasivos puede incorporarse en la técnica de valoración utilizada para medir el valor razonable del activo. Ese puede ser el caso al utilizar el método del exceso de ganancias de varios periodos para medir el valor razonable de un activo intangible porque esa técnica de valoración tiene en cuenta de forma específica la contribución de los activos complementarios y los pasivos asociados del grupo en el que se utilizaría este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 En situaciones más limitadas, cuando una entidad utiliza un activo dentro de un grupo de activos, la entidad puede medir el activo a un importe que se aproxime a su valor razonable cuando asigne el valor razonable del grupo de activos a los activos individuales del grupo. Ese puede ser el caso si la valoración involucra propiedad inmobiliaria y el valor razonable de la propiedad mejorada (es decir, un grupo de activos) se asigna a los activos que la componen (tales como terreno y mejoras).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Valor razonable en el reconocimiento inicial (párrafos 57 a 60)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 Al determinar si el valor razonable en el reconocimiento inicial iguala el precio de transacción, una entidad tendrá en cuenta los factores específicos de la transacción y del activo o pasivo. Por ejemplo, el precio de transacción puede no representar el valor razonable de un activo o un pasivo en el reconocimiento inicial si se dan cualquiera de la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transacción es entre partes relacionadas, aunque el precio en una transacción entre partes relacionadas puede utilizarse como un dato de entrada en la medición del valor razonable si la entidad tiene evidencia de que la transacción se realizó en condiciones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transacción tiene lugar bajo coacción o el vendedor se ve forzado a aceptar el precio de la transacción. Por ejemplo, ese puede ser el caso si el vendedor está experimentando dificultades financieras.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unidad de cuenta representada por el precio de transacción es diferente de la unidad de cuenta para el activo o pasivo medido a valor razonable. Por ejemplo, ese puede ser el caso si el activo o pasivo medido a valor razonable es solo uno de los elementos de la transacción (por ejemplo, en una combinación de negocios), la transacción incluye derechos y privilegios no declarados que se miden por separado de acuerdo con otra NIIF, o el precio de transacción incluye los costos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mercado en el que tiene lugar la transacción es diferente del mercado principal (o el mercado más ventajoso). Por ejemplo, esos mercados pueden ser diferentes si la entidad es un intermediario que realiza transacciones con clientes en el mercado minorista, pero el mercado principal (o el más ventajoso) para la transacción de salida es con otros intermediarios en el mercado de intermediación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Técnicas de valoración (párrafos 61 a 66)</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B5 El enfoque de mercado utiliza los precios y otra información relevante generada por transacciones de mercado que involucran activos, pasivos o un grupo de activos y pasivos idénticos o comparables (es decir, similares), tales como un negocio.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B6 Por ejemplo, algunas técnicas de valoración coherentes con el enfoque de mercado utilizan a menudo múltiplos de mercado procedentes de un conjunto de comparables. Los múltiplos pueden expresarse mediante rangos de valores, donde a cada comparable puede corresponderle un múltiplo diferente. La selección del múltiplo adecuado dentro del rango requiere del juicio profesional, considerando los factores cuantitativos y cualitativos específicos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B7 Las técnicas de valoración congruentes con el enfoque de mercado incluyen una matriz de fijación de precios. La matriz de fijación de precios es una técnica matemática utilizada principalmente para valorar algunos tipos de instrumentos financieros, tales como títulos valores de deuda, sin basarse exclusivamente en los precios cotizados para los títulos específicos, sino que en su lugar se basan en la relación de los títulos valores con otros cotizados de referencia.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del costo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B8 El enfoque del costo refleja el importe que se requeriría en el momento presente para sustituir la capacidad de servicio de un activo (a menudo conocido como costo de reposición corriente).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B9 Desde la perspectiva de un vendedor participante de mercado, el precio que recibiría por el activo se basa en el costo para un comprador participante de mercado que adquiera o construya un activo sustituto de utilidad comparable, ajustado por la obsolescencia. Eso es así porque el comprador participante de mercado no pagaría más por un activo que el importe por el que podría reemplazar la capacidad de servicio de ese activo. La obsolescencia conlleva deterioro físico, obsolescencia funcional (tecnológica) y obsolescencia económica (externa) y es más amplia que la depreciación para propósito de información financiera (una distribución del costo histórico) o propósito fiscal (utilizando vidas de servicio especificadas). En muchos casos el método del costo de reposición corriente se utiliza para medir el valor razonable de activos tangibles que se utilizan en combinación con otros activos o con otros activos y pasivos.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Enfoque del ingreso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B10 El enfoque del ingreso convierte importes futuros (por ejemplo, flujos de efectivo o ingresos y gastos) en un importe presente único (es decir, descontado). Cuando se utiliza el enfoque del ingreso, la medición del valor razonable refleja las expectativas del mercado presentes sobre esos importes futuros.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B11 Estas características incluyen, por ejemplo, los siguientes elementos: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técnicas de valor presente (véanse los párrafos B12 a B30);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modelos de fijación de precios de opciones, tales como la fórmula de Black-Scholes-Merton o un modelo binomial (es decir, un modelo reticular), que incorporan técnicas de valor presente y reflejan el valor temporal y el valor intrínseco de una opción;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el método del exceso de ganancias de varios periodos, que se utiliza para medir el valor razonable de algunos activos intangibles.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Técnicas de valor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B12 Los párrafos B13 a B30 describen el uso de técnicas de valor presente para medir el valor razonable. Esos párrafos se centran en una técnica de ajuste de la tasa de descuento y una técnica de </w:t>
      </w:r>
      <w:r w:rsidRPr="00401DFF">
        <w:rPr>
          <w:rFonts w:ascii="Times New Roman" w:eastAsia="Times New Roman" w:hAnsi="Times New Roman" w:cs="Times New Roman"/>
          <w:i/>
          <w:iCs/>
          <w:sz w:val="24"/>
          <w:szCs w:val="24"/>
          <w:lang w:eastAsia="es-CO"/>
        </w:rPr>
        <w:t>flujos de efectivo esperado</w:t>
      </w:r>
      <w:r w:rsidRPr="00401DFF">
        <w:rPr>
          <w:rFonts w:ascii="Times New Roman" w:eastAsia="Times New Roman" w:hAnsi="Times New Roman" w:cs="Times New Roman"/>
          <w:sz w:val="24"/>
          <w:szCs w:val="24"/>
          <w:lang w:eastAsia="es-CO"/>
        </w:rPr>
        <w:t>s (valor presente esperado). Esos párrafos ni prescriben el uso de una técnica de valor presente específica única ni limitan el uso de las técnicas de valor presente para medir el valor razonable a las técnicas comentadas. La técnica del valor presente utilizada para medir el valor razonable dependerá de los hechos y circunstancias específicas del activo o pasivo que se está midiendo (por ejemplo, si los precios para activos o pasivos comparables pueden observarse en el mercado) y la disponibilidad de datos suficientes.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Los componentes de la medición del valor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B13 El valor presente (es decir, una aplicación del enfoque del ingreso) es una herramienta utilizada para vincular importes futuros (por ejemplo, flujos de efectivo o valores) a un importe presente utilizando una tasa de descuento. Una medición del valor razonable de un activo o un pasivo utilizando una técnica de valor presente capta todos los elementos siguientes desde la perspectiva de los participantes del mercado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estimación de los flujos de efectivo futuros para el activo o pasivo que se está midiendo.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Expectativas sobre las variaciones posibles del importe y distribución temporal de los flujos de efectivo que representan la incertidumbre inherente a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valor temporal del dinero, representado por la tasa sobre activos monetarios libres de riesgo que tengan fechas de vencimiento o duración que coincida con el periodo cubierto por los flujos de efectivo y no planteen ni incertidumbre en la distribución temporal ni riesgo de incumplimiento para el tenedor (es decir, tasa de interés libre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El precio por soportar la incertidumbre inherente a los flujos de efectivo (es decir, una prima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Otros factores que los participantes del mercado tendrían en cuenta en esas circunstancias.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Para un pasivo, el riesgo de incumplimiento relacionado con ese pasivo, incluyendo el riesgo de crédito propio de la entidad (es decir, el del deudor).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Principios generales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B14 Las técnicas de valor presente difieren en la forma en que captan los elementos del párrafo B13. Sin embargo, todos los principios generales siguientes rigen la aplicación de cualquier técnica de valor presente utilizada para medir 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flujos de efectivo y tasas de descuento deberían reflejar los supuestos que los participantes del mercado utilizarían al fijar el precio del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flujos de efectivo y las tasas de descuento deberían tener en cuenta solo los factores atribuibles al activo o pasivo que se está midiendo.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Para evitar la doble contabilización o la omisión de los efectos de los factores de riesgo, las tasas de descuento deberían reflejar supuestos que sean congruentes con los inherentes a los flujos de efectivo. Por ejemplo, una tasa de descuento que refleja la incertidumbre en las expectativas sobre incumplimientos futuros es adecuada si se utilizan los flujos de efectivo contractuales de un préstamo (es decir, una técnica de ajuste de la tasa de descuento). Esa misma tasa no debe utilizarse si se utilizan flujos de efectivo (es decir, una técnica de valor de presente esperado) esperados (es decir, ponderados por la probabilidad) porque los flujos de efectivo esperados ya reflejan supuestos sobre la incertidumbre de incumplimientos futuros; en su lugar, debe utilizarse una tasa de descuento que sea proporcional al riesgo inherente a los flujos de efectivo esperados.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supuestos sobre flujos de efectivo y tasas de descuento deben ser congruentes internamente. Por ejemplo, los flujos de efectivo nominales, que incluyen el efecto de la inflación, deben descontarse a una tasa que incluya el efecto de la inflación. La tasa de interés libre de riesgo nominal incluye el efecto de la inflación. Los flujos de efectivo reales, que excluyen el efecto de la inflación, deben descontarse a una tasa que excluya el efecto de la inflación. De forma análoga, los flujos de efectivo después de impuestos deben descontarse utilizando una tasa de descuento después de impuestos. Los flujos de efectivo antes de impuestos deben descontarse a una tasa congruente con esos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Las tasas de descuento deben ser congruentes con los factores económicos subyacentes de la moneda en la que se denominan los flujos de efectivo.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Riesgo e incertidumbre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B15 Una medición del valor razonable utilizando técnicas de valor presente se lleva a cabo bajo condiciones de incertidumbre porque los flujos de efectivo utilizados son estimaciones en lugar de importes conocidos. En muchos casos el importe y la distribución temporal de los flujos de efectivo son inciertos. Incluso importes fijados contractualmente, tales como los pagos de un préstamo, son inciertos si existe riesgo de incumplimiento.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B16 Los participantes del mercado buscan generalmente compensaciones (es decir, una prima de riesgo) por soportar la incertidumbre inherente a los flujos de efectivo de un activo o un pasivo. La medición del valor razonable debería incluir una prima de riesgo que refleje el importe que los participantes del mercado reclamarían como compensación por la incertidumbre inherente a los flujos de efectivo. En otro caso, la medición no representaría fielmente el valor razonable. En algunos casos determinar la prima de riesgo adecuada </w:t>
      </w:r>
      <w:r w:rsidRPr="00401DFF">
        <w:rPr>
          <w:rFonts w:ascii="Times New Roman" w:eastAsia="Times New Roman" w:hAnsi="Times New Roman" w:cs="Times New Roman"/>
          <w:sz w:val="24"/>
          <w:szCs w:val="24"/>
          <w:lang w:eastAsia="es-CO"/>
        </w:rPr>
        <w:lastRenderedPageBreak/>
        <w:t>puede ser difícil. Sin embargo, el grado de dificultad por sí solo no es una razón suficiente para excluir una prima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B17 Las técnicas de valor presente difieren en la forma en que ajustan el riesgo y en el tipo de flujos de efectivo que utilizan.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técnica de ajuste de la tasa de descuento (véanse los párrafos B18 a B22) utiliza una tasa de descuento ajustada por el riesgo y flujos de efectivo contractuales, prometidos o más probables, ajustados por el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método 1 de la técnica del valor presente esperado (véase el párrafo B25) utiliza los flujos de efectivo esperados ajustados por el riesgo y una tasa libre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método 2 de la técnica del valor presente esperado (véase el párrafo B26) utiliza flujos de efectivo esperados que no están ajustados por el riesgo y una tasa de descuento ajustada para incluir la prima de riesgo que requieren los participantes del mercado. Esa tasa es diferente de la utilizada en la técnica de ajuste de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Técnica de ajuste de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B18 La técnica de ajuste de la tasa de descuento utiliza un conjunto único de flujos de efectivo a partir del rango de importes estimados posibles, ya sea por flujos de efectivo más probables, contractuales o prometidos (como es el caso de un bono). En todos los casos esos flujos de efectivo están condicionados a que ocurran sucesos especificados (por ejemplo, los flujos de efectivo contractuales o prometidos para un bono están condicionados al hecho de que el deudor no incumpla). La tasa de descuento utilizada en la técnica de ajuste de la tasa de descuento proviene de tasas observadas de rendimiento para activos o pasivos equivalentes que se negocian en el mercado. Por consiguiente, los flujos de efectivo más probables, prometidos o contractuales se descuentan a una tasa de mercado estimada u observada para estos flujos de efectivo condicionados (por ejemplo, una tasa de mercado de rendimiento).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B19 La técnica de ajuste de la tasa de descuento requiere un análisis de los datos de mercado para activos o pasivos comparables. La comparabilidad se establece mediante la consideración de la naturaleza de los flujos de efectivo (por ejemplo, si los flujos de efectivo son contractuales o no contractuales y es probable que respondan de forma similar a cambios en las condiciones económicas), así como a otros factores (por ejemplo, posición crediticia, garantías colaterales, duración, cláusulas restrictivas y liquidez). De forma alternativa, si un único activo o pasivo comparable no refleja fielmente el riesgo inherente a los flujos de efectivo del activo o pasivo que se mide, puede ser posible proporcionar una tasa de descuento utilizando datos para varios activos o pasivos comparables junto con la curva de rendimiento libre de riesgo (es decir, utilizando un enfoque de “acumulación”).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B20 Para ilustrar un enfoque de acumulación, supóngase que el Activo A es un derecho contractual para recibir 800 u.m.</w:t>
      </w:r>
      <w:hyperlink r:id="rId100" w:anchor="bf1213ac4c8c1c446e2b1a55681dbee2325nf9" w:tgtFrame="_self" w:history="1">
        <w:r w:rsidRPr="00401DFF">
          <w:rPr>
            <w:rFonts w:ascii="Times New Roman" w:eastAsia="Times New Roman" w:hAnsi="Times New Roman" w:cs="Times New Roman"/>
            <w:color w:val="0000FF"/>
            <w:sz w:val="20"/>
            <w:szCs w:val="20"/>
            <w:u w:val="single"/>
            <w:vertAlign w:val="superscript"/>
            <w:lang w:eastAsia="es-CO"/>
          </w:rPr>
          <w:t>(95)</w:t>
        </w:r>
      </w:hyperlink>
      <w:r w:rsidRPr="00401DFF">
        <w:rPr>
          <w:rFonts w:ascii="Times New Roman" w:eastAsia="Times New Roman" w:hAnsi="Times New Roman" w:cs="Times New Roman"/>
          <w:sz w:val="24"/>
          <w:szCs w:val="24"/>
          <w:lang w:eastAsia="es-CO"/>
        </w:rPr>
        <w:t xml:space="preserve"> en un año (es decir, no existe incertidumbre de distribución temporal). Existe un mercado establecido de activos comparables, y la </w:t>
      </w:r>
      <w:r w:rsidRPr="00401DFF">
        <w:rPr>
          <w:rFonts w:ascii="Times New Roman" w:eastAsia="Times New Roman" w:hAnsi="Times New Roman" w:cs="Times New Roman"/>
          <w:sz w:val="24"/>
          <w:szCs w:val="24"/>
          <w:lang w:eastAsia="es-CO"/>
        </w:rPr>
        <w:lastRenderedPageBreak/>
        <w:t>información sobre esos activos, incluyendo información del precio, está disponible. De esos activos comparables: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activo B es un derecho contractual a recibir 1.200 u.m. en un año y tiene un precio de mercado de 1.083 u.m. Por ello, la tasa anual implícita de rendimiento (es decir, una tasa de rendimiento de mercado a un año) es 10,8 por ciento [(1.200 u.m./1.083 u.m.) - 1].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activo C es un derecho contractual a recibir 700 u.m. en dos años y tiene un precio de mercado de 566 u.m. Por ello, la tasa anual implícita de rendimiento (es decir, una tasa de rendimiento de mercado a dos años) es 11,2 por ciento [(700 u.m./566 u.m.)^0.5 - 1].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Los tres activos son comparables con respecto al riesgo (es decir, dispersión de cancelaciones y crédito posibles).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B21 Sobre la base de la distribución temporal de los pagos contractuales a recibir por el Activo A relacionado con la distribución temporal del Activo B y Activo C (es decir un año para el Activo B </w:t>
      </w:r>
      <w:r w:rsidRPr="00401DFF">
        <w:rPr>
          <w:rFonts w:ascii="Times New Roman" w:eastAsia="Times New Roman" w:hAnsi="Times New Roman" w:cs="Times New Roman"/>
          <w:i/>
          <w:iCs/>
          <w:sz w:val="24"/>
          <w:szCs w:val="24"/>
          <w:lang w:eastAsia="es-CO"/>
        </w:rPr>
        <w:t>versus</w:t>
      </w:r>
      <w:r w:rsidRPr="00401DFF">
        <w:rPr>
          <w:rFonts w:ascii="Times New Roman" w:eastAsia="Times New Roman" w:hAnsi="Times New Roman" w:cs="Times New Roman"/>
          <w:sz w:val="24"/>
          <w:szCs w:val="24"/>
          <w:lang w:eastAsia="es-CO"/>
        </w:rPr>
        <w:t xml:space="preserve"> dos años para el Activo C), el Activo B se juzga más comparable al Activo A. Utilizando el pago contractual a recibir por el Activo A (800 u.m.) y la tasa de mercado a un año procedente del Activo B (10,8 por ciento), el valor razonable del Activo A es 722 u.m. (800 u.m./1,108). De forma alternativa, en ausencia de información de mercado disponible para el Activo B, la tasa de mercado a un año podría provenir del Activo C utilizando el enfoque de acumulación. En ese caso la tasa de mercado a dos años indicada por el Activo C (11,2 por ciento) se ajustaría a la tasa de mercado a un año utilizando la estructura de plazos de la curva de rendimiento libre de riesgo. Puede requerirse información adicional y análisis para determinar si las primas de riesgo de los activos a uno y dos años son las mismas. Si se determina que las primas de riesgo para activos a uno y dos años no son las mismas, la tasa de rendimiento de mercado a dos años sería adicionalmente ajustada por ese efecto.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B22 Cuando se aplica la técnica de ajuste de la tasa de descuento para cobros o pagos fijos, el ajuste del riesgo inherente a los flujos de efectivo del activo o pasivo que se está midiendo está incluido en la tasa de descuento. En algunas aplicaciones de la técnica de ajuste de la tasa de descuento a los flujos de efectivo que no son cobros o pagos fijos, puede ser necesario un ajuste a los flujos de efectivo para lograr la comparabilidad con el activo o pasivo observado del que proviene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Técnica del valor presente esperado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B23 La técnica del valor presente esperado utiliza como punto de partida un conjunto de flujos de efectivo que representan el promedio ponderado de la probabilidad de todos los flujos de efectivo futuros posibles (es decir, los flujos de efectivo esperados). La estimación resultante es idéntica al valor esperado, que, en términos estadísticos, es el promedio ponderado de los valores posibles de una variable aleatoria discreta con las probabilidades respectivas como ponderaciones. Puesto que todos los flujos de efectivo posibles son ponderados por la probabilidad, el flujo de efectivo esperado resultante no está condicionado a que ocurra cualquier suceso especificado (a diferencia de los flujos de efectivo utilizados en la técnica del ajuste de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B24 Al tomar una decisión de inversión, los participantes del mercado adversos al riesgo tendrían en cuenta el riesgo de que los flujos de efectivo reales puedan diferir de los esperados. La teoría de cartera distingue entre dos tipos de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El riesgo no sistemático (diversificable), que es el riesgo específico de un activo o pasivo concreto.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riesgo sistemático (no diversificable), que es el riesgo común compartido por un activo o un pasivo con los otros elementos de una cartera diversificada.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teoría de cartera sostiene que en un mercado en equilibrio, los participantes del mercado serán compensados solo por soportar el riesgo sistemático inherente a los flujos de efectivo. (En mercados que son ineficientes o que no están en equilibrio, pueden estar disponibles otras formas de rendimiento o compensación).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B25 El método 1 de la técnica del valor presente esperado ajusta los flujos de efectivo esperados de un activo por el riesgo sistemático (es decir, de mercado) sustrayendo una prima de riesgo de efectivo (es decir los flujos de efectivo esperados ajustados por el riesgo). Esos flujos de efectivo esperados ajustados por riesgo representan un flujo de efectivo equivalente cierto, que se descuenta a una tasa de interés libre de riesgo. Un flujo de efectivo equivalente cierto se refiere a un flujo de efectivo esperado (como se definió), ajustado por el riesgo de forma que para un participante de mercado es indiferente negociar un flujo de efectivo cierto por un flujo de efectivo esperado. Por ejemplo, si un participante de mercado tuvo voluntad de negociar un flujo de efectivo esperado de 1.200 u.m. por un flujo de efectivo cierto de 1.000 u.m., las 1.000 u.m. son el equivalente cierto de las 1.200 u.m. (es decir, las 200 u.m. representarían la prima de riesgo de efectivo). En ese caso al participante de mercado quedaría indiferente con respecto al activo mantenido.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B26 Por el contrario, el Método 2 de la técnica del valor presente esperado ajusta por el riesgo sistemático (es decir, de mercado) aplicando una prima de riesgo a la tasa de interés libre de riesgo. Por consiguiente, los flujos de efectivo esperados se descuentan a una tasa que corresponde a una tasa esperada asociada con los flujos de efectivo ponderados por la probabilidad (es decir una tasa esperada de rendimiento). Los modelos utilizados para fijar el precio de activos de riesgo, tales como el modelo de precios de activos financieros, pueden utilizarse para estimar las tasas esperadas de rendimiento. Puesto que la tasa de descuento utilizada en la técnica de ajuste de la tasa de descuento es una tasa de rendimiento relacionada con flujos de efectivo condicionados, es probable que sea mayor que la tasa de descuento utilizada en el Método 2 de la técnica del valor presente esperado, que es una tasa esperada de rendimiento relacionada con los flujos de efectivo esperados o con los ponderados por la probabilidad.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B27 Para ilustrar los Métodos 1 y 2, supóngase que un activo ha esperado flujos de efectivo de 780 u.m. en un año determinados sobre la base de flujos de efectivo posibles y las probabilidades mostradas a continuación. La tasa de interés libre de riesgo aplicable a los flujos de efectivo con un horizonte de un año es el 5 por ciento, y la prima de riesgo sistemático para un activo con el mismo perfil de riesgo es del 3 por ciento.</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2928"/>
        <w:gridCol w:w="2321"/>
        <w:gridCol w:w="3679"/>
      </w:tblGrid>
      <w:tr w:rsidR="00401DFF" w:rsidRPr="00401DFF" w:rsidTr="00401DFF">
        <w:trPr>
          <w:tblCellSpacing w:w="15" w:type="dxa"/>
          <w:jc w:val="center"/>
        </w:trPr>
        <w:tc>
          <w:tcPr>
            <w:tcW w:w="295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Flujos de efectivo posibles</w:t>
            </w:r>
          </w:p>
        </w:tc>
        <w:tc>
          <w:tcPr>
            <w:tcW w:w="232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Probabilidad</w:t>
            </w:r>
          </w:p>
        </w:tc>
        <w:tc>
          <w:tcPr>
            <w:tcW w:w="37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Flujos de efectivo ponderados por la probabilidad</w:t>
            </w:r>
          </w:p>
        </w:tc>
      </w:tr>
      <w:tr w:rsidR="00401DFF" w:rsidRPr="00401DFF" w:rsidTr="00401DFF">
        <w:trPr>
          <w:tblCellSpacing w:w="15" w:type="dxa"/>
          <w:jc w:val="center"/>
        </w:trPr>
        <w:tc>
          <w:tcPr>
            <w:tcW w:w="295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500 u.m.</w:t>
            </w:r>
          </w:p>
        </w:tc>
        <w:tc>
          <w:tcPr>
            <w:tcW w:w="232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15%</w:t>
            </w:r>
          </w:p>
        </w:tc>
        <w:tc>
          <w:tcPr>
            <w:tcW w:w="37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75 u.m.</w:t>
            </w:r>
          </w:p>
        </w:tc>
      </w:tr>
      <w:tr w:rsidR="00401DFF" w:rsidRPr="00401DFF" w:rsidTr="00401DFF">
        <w:trPr>
          <w:tblCellSpacing w:w="15" w:type="dxa"/>
          <w:jc w:val="center"/>
        </w:trPr>
        <w:tc>
          <w:tcPr>
            <w:tcW w:w="295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800 u.m.</w:t>
            </w:r>
          </w:p>
        </w:tc>
        <w:tc>
          <w:tcPr>
            <w:tcW w:w="232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60%</w:t>
            </w:r>
          </w:p>
        </w:tc>
        <w:tc>
          <w:tcPr>
            <w:tcW w:w="37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480 u.m.</w:t>
            </w:r>
          </w:p>
        </w:tc>
      </w:tr>
      <w:tr w:rsidR="00401DFF" w:rsidRPr="00401DFF" w:rsidTr="00401DFF">
        <w:trPr>
          <w:tblCellSpacing w:w="15" w:type="dxa"/>
          <w:jc w:val="center"/>
        </w:trPr>
        <w:tc>
          <w:tcPr>
            <w:tcW w:w="295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900 u.m.</w:t>
            </w:r>
          </w:p>
        </w:tc>
        <w:tc>
          <w:tcPr>
            <w:tcW w:w="232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25%</w:t>
            </w:r>
          </w:p>
        </w:tc>
        <w:tc>
          <w:tcPr>
            <w:tcW w:w="37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225 u.m.</w:t>
            </w:r>
          </w:p>
        </w:tc>
      </w:tr>
      <w:tr w:rsidR="00401DFF" w:rsidRPr="00401DFF" w:rsidTr="00401DFF">
        <w:trPr>
          <w:tblCellSpacing w:w="15" w:type="dxa"/>
          <w:jc w:val="center"/>
        </w:trPr>
        <w:tc>
          <w:tcPr>
            <w:tcW w:w="295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flujos de efectivo esperados</w:t>
            </w:r>
          </w:p>
        </w:tc>
        <w:tc>
          <w:tcPr>
            <w:tcW w:w="2325"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w:t>
            </w:r>
          </w:p>
        </w:tc>
        <w:tc>
          <w:tcPr>
            <w:tcW w:w="3720" w:type="dxa"/>
            <w:vAlign w:val="center"/>
            <w:hideMark/>
          </w:tcPr>
          <w:p w:rsidR="00401DFF" w:rsidRPr="00401DFF" w:rsidRDefault="00401DFF" w:rsidP="00B11F50">
            <w:pPr>
              <w:spacing w:after="0" w:line="240" w:lineRule="auto"/>
              <w:jc w:val="center"/>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780 u.m.</w:t>
            </w:r>
          </w:p>
        </w:tc>
      </w:tr>
    </w:tbl>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B28 En esta simple ilustración, los flujos de efectivo esperados (780 u.m.) representan el promedio ponderado de la probabilidad de los tres posibles resultados. En situaciones más realistas, podría haber muchos resultados posibles. Sin embargo, para aplicar la técnica del valor presente esperado, no siempre es necesario tener en cuenta las distribuciones de todos los flujos de efectivo posibles utilizando modelos y técnicas complejos. Más bien, puede ser posible desarrollar un número limitado de escenarios y probabilidades discretos que capten el abanico de flujos de efectivo posible. Por ejemplo, una entidad puede utilizar flujos de efectivo realizados en algún periodo pasado relevante, ajustados por los cambios en las circunstancias ocurridas posteriormente (por ejemplo cambios en factores externos, incluyendo condiciones económicas o de mercado, tendencias del sector industrial y competencia, así como cambios en los factores internos que afectan a la entidad de forma más específica), teniendo en cuenta los supuestos de los participantes del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B29 En teoría, el valor presente (es decir, el valor razonable) de los flujos de efectivo del activo es el mismo si ha sido determinado utilizando el Método 1 o el Método 2, de la forma siguiente: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Utilizando el Método 1, los flujos de efectivo esperados se ajustan por el riesgo sistemático (es decir, de mercado). En la ausencia de datos de mercado que indiquen directamente el importe del ajuste del riesgo, este ajuste provendría de un modelo de fijación de precios del activo que utilice el concepto de equivalentes de certeza. Por ejemplo, el ajuste del riesgo (es decir, la prima de riesgo de efectivo de 22 u.m.) se determinaría utilizando la prima de riesgo sistemático del 3 por ciento (780 u.m. - [780 u.m. x (1,05/1,08)]), que da lugar a flujos de efectivo esperados ajustados por el riesgo de 758 u.m. (780 u.m. - 22 u.m.). Las 758 u.m. son el equivalente de certeza de 780 u.m. y se descuentan a la tasa de interés libre de riesgo (5 por ciento). El valor presente (es decir, el valor razonable) del activo es de 722 u.m. (758 u.m./1,05).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Utilizando el Método 2, los flujos de efectivo esperados no se ajustan por el riesgo sistemático (es decir, de mercado). En su lugar, el ajuste de ese riesgo se incluye en la tasa de descuento. Por ello, los flujos de efectivo esperados se descuentan a una tasa esperada de rendimiento del 8 por ciento (es decir, la tasa de interés libre de riesgo del 5 por ciento más la prima de riesgo sistemática del 3 por ciento). El valor presente (es decir, el valor razonable) del activo es de 722 u.m. (780 u.m./1,08).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B30 Al utilizar la técnica del valor presente esperado para medir el valor razonable, puede utilizarse el Método 1 o el Método 2. La selección del Método 1 o el Método 2 dependerá </w:t>
      </w:r>
      <w:r w:rsidRPr="00401DFF">
        <w:rPr>
          <w:rFonts w:ascii="Times New Roman" w:eastAsia="Times New Roman" w:hAnsi="Times New Roman" w:cs="Times New Roman"/>
          <w:sz w:val="24"/>
          <w:szCs w:val="24"/>
          <w:lang w:eastAsia="es-CO"/>
        </w:rPr>
        <w:lastRenderedPageBreak/>
        <w:t>de los hechos y circunstancias específicos para el activo o pasivo que se esté midiendo, la medida en que estén disponibles datos suficientes y el juicio profesional aplicado.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Aplicación de las técnicas de valor presente a pasivos y a instrumentos de patrimonio propio de una entidad no mantenidos por otras partes como activos (párrafos 40 y 41)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B31 Al utilizar la técnica del valor presente para medir el valor razonable de un pasivo no mantenido por otra parte como un activo (por ejemplo un pasivo por desmantelamiento), una entidad estimará, entre otras cosas, las salidas de efectivo futuras en las que los participantes del mercado esperarían incurrir para satisfacer la obligación. Esas salidas de efectivo futuras incluirán expectativas de los participantes del mercado sobre los costos de satisfacer la obligación y la compensación que un participante de mercado requeriría para cargar con la obligación. Esta compensación incluye el rendimiento que un participante de mercado requeriría para las situaciones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llevar a cabo la actividad (es decir, el valor de satisfacer la obligación; por ejemplo, utilizando recursos que habría usado para otras actividades);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asumir el riesgo asociado con la obligación (es decir la </w:t>
      </w:r>
      <w:r w:rsidRPr="00401DFF">
        <w:rPr>
          <w:rFonts w:ascii="Times New Roman" w:eastAsia="Times New Roman" w:hAnsi="Times New Roman" w:cs="Times New Roman"/>
          <w:i/>
          <w:iCs/>
          <w:sz w:val="24"/>
          <w:szCs w:val="24"/>
          <w:lang w:eastAsia="es-CO"/>
        </w:rPr>
        <w:t>prima de riesgo</w:t>
      </w:r>
      <w:r w:rsidRPr="00401DFF">
        <w:rPr>
          <w:rFonts w:ascii="Times New Roman" w:eastAsia="Times New Roman" w:hAnsi="Times New Roman" w:cs="Times New Roman"/>
          <w:sz w:val="24"/>
          <w:szCs w:val="24"/>
          <w:lang w:eastAsia="es-CO"/>
        </w:rPr>
        <w:t xml:space="preserve"> que refleja el riesgo de que las salidas de efectivo reales puedan diferir de las salidas de efectivo esperadas; véase el párrafo B33).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B32 Por ejemplo, un pasivo no financiero no contiene una tasa contractual de rendimiento y no existe rendimiento de mercado observable para ese pasivo. En algunos casos los componentes del rendimiento que los participantes del mercado requerirían no serán distinguibles unos de otros (por ejemplo cuando al utilizar el precio que un contratista tercero cargaría sobre la base de una comisión fija). En otros casos una entidad necesitará estimar esos componentes por separado (por ejemplo, cuando al utilizar el precio que un contratista tercero cargaría sobre la base del costo sobre el margen porque el contratista en ese caso no soportaría el riesgo de cambios futuros en los costos).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B33 Una entidad incluye una prima de riesgo en la medición del valor razonable de un pasivo o un instrumento de patrimonio propio de una entidad no mantenido por otra parte como un activo en una de las siguientes formas: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ajustando los flujos de efectivo (es decir, como un incremento en el importe de los flujos de salida);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ajustando la tasa utilizada para descontar los flujos de efectivo futuros a sus valores presentes (es decir como una reducción en la tasa de descuento).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se asegurará de que no contabiliza dos veces u omite ajustes del riesgo. Por ejemplo, si los flujos de efectivo estimados se incrementan para tener en cuenta la compensación de asumir el riesgo asociado con la obligación, la tasa de descuento no debe ajustarse para reflejar ese riesgo.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Datos de entrada de técnicas de valoración (párrafos 67 a 71)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B34 Ejemplos de mercados en los que los datos de entrada pueden ser observables para algunos activos y pasivos (por ejemplo instrumentos financieros)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 xml:space="preserve">Mercados de intercambio. </w:t>
      </w:r>
      <w:r w:rsidRPr="00401DFF">
        <w:rPr>
          <w:rFonts w:ascii="Times New Roman" w:eastAsia="Times New Roman" w:hAnsi="Times New Roman" w:cs="Times New Roman"/>
          <w:sz w:val="24"/>
          <w:szCs w:val="24"/>
          <w:lang w:eastAsia="es-CO"/>
        </w:rPr>
        <w:t>En un mercado de intercambio, los precios de cierre están fácilmente disponibles y son representativos generalmente del valor razonable. Un ejemplo de este mercado es el Mercado de Valores de Londres.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Mercados de intermediación financiera.</w:t>
      </w:r>
      <w:r w:rsidRPr="00401DFF">
        <w:rPr>
          <w:rFonts w:ascii="Times New Roman" w:eastAsia="Times New Roman" w:hAnsi="Times New Roman" w:cs="Times New Roman"/>
          <w:sz w:val="24"/>
          <w:szCs w:val="24"/>
          <w:lang w:eastAsia="es-CO"/>
        </w:rPr>
        <w:t xml:space="preserve"> En un mercado de intermediación financiera, los agentes mediadores toman posiciones para negociar (comprar o vender por su cuenta), proporcionando de ese modo liquidez al utilizar su capital para mantener un inventario de las partidas para las que crean un mercado. Habitualmente los precios compradores y vendedores (que representan el precio al que el agente mediador desea comprar y el precio al que desea vender, respectivamente) están disponibles con mayor facilidad que los de cierre. Los mercados no organizados (para los que los precios se informan públicamente) son mercados de intermediación financiera. Mercados de intermediación financiera también existen para algunos otros activos y pasivos, incluyendo algunos instrumentos financieros, materias primas cotizadas y activos físicos (por ejemplo, equipo utilizado).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Mercados intermediados por agentes corredores.</w:t>
      </w:r>
      <w:r w:rsidRPr="00401DFF">
        <w:rPr>
          <w:rFonts w:ascii="Times New Roman" w:eastAsia="Times New Roman" w:hAnsi="Times New Roman" w:cs="Times New Roman"/>
          <w:sz w:val="24"/>
          <w:szCs w:val="24"/>
          <w:lang w:eastAsia="es-CO"/>
        </w:rPr>
        <w:t xml:space="preserve"> En un mercado intermediado por agentes corredores, éstos intentan hacer coincidir a compradores y vendedores pero no toman posiciones para negociar por su cuenta. En otras palabras, los agentes corredores no utilizan su capital propio para mantener un inventario de partidas para las que crean un mercado. El agente corredor conoce los precios de compra y venta de las respectivas partes pero cada parte habitualmente desconoce los requerimientos de precio de la otra parte. Los precios de transacciones completas están algunas veces disponibles. Los mercados intermediados por agentes corredores incluyen redes de comunicación electrónica, en la que se cruzan las órdenes de compra y venta, y los mercados de propiedad inmobiliaria residencial y comercial.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 xml:space="preserve">Mercados de principal a principal. </w:t>
      </w:r>
      <w:r w:rsidRPr="00401DFF">
        <w:rPr>
          <w:rFonts w:ascii="Times New Roman" w:eastAsia="Times New Roman" w:hAnsi="Times New Roman" w:cs="Times New Roman"/>
          <w:sz w:val="24"/>
          <w:szCs w:val="24"/>
          <w:lang w:eastAsia="es-CO"/>
        </w:rPr>
        <w:t>En un mercado de principal a principal, las transacciones originales y de reventa, se negocian independientemente sin intermediarios. Sobre esas transacciones puede estar disponible públicamente poca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Jerarquía del valor razonable (párrafos 72 a 90)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2 (párrafos 81 a 85)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B35 Ejemplos de datos de entrada de Nivel 2 para activos y pasivos concretos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Permuta financiera de tasa de interés que paga variable y recibe fijo, basada en la tasa de permuta financiera de la Tasa Ofrecida Interbancaria de Londres (LIBOR).</w:t>
      </w:r>
      <w:r w:rsidRPr="00401DFF">
        <w:rPr>
          <w:rFonts w:ascii="Times New Roman" w:eastAsia="Times New Roman" w:hAnsi="Times New Roman" w:cs="Times New Roman"/>
          <w:sz w:val="24"/>
          <w:szCs w:val="24"/>
          <w:lang w:eastAsia="es-CO"/>
        </w:rPr>
        <w:t xml:space="preserve"> Un dato de entrada de Nivel 2 sería la tasa de permuta financiera del LIBOR si esa tasa es observable a </w:t>
      </w:r>
      <w:r w:rsidRPr="00401DFF">
        <w:rPr>
          <w:rFonts w:ascii="Times New Roman" w:eastAsia="Times New Roman" w:hAnsi="Times New Roman" w:cs="Times New Roman"/>
          <w:sz w:val="24"/>
          <w:szCs w:val="24"/>
          <w:lang w:eastAsia="es-CO"/>
        </w:rPr>
        <w:lastRenderedPageBreak/>
        <w:t>intervalos cotizados habitualmente para, sustancialmente, la duración total de la permuta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Permuta financiera de tasa de interés que paga variable y recibe fijo, basada en una curva de rendimiento denominada en una moneda extranjera.</w:t>
      </w:r>
      <w:r w:rsidRPr="00401DFF">
        <w:rPr>
          <w:rFonts w:ascii="Times New Roman" w:eastAsia="Times New Roman" w:hAnsi="Times New Roman" w:cs="Times New Roman"/>
          <w:sz w:val="24"/>
          <w:szCs w:val="24"/>
          <w:lang w:eastAsia="es-CO"/>
        </w:rPr>
        <w:t xml:space="preserve"> Un dato de entrada de Nivel 2 sería la tasa de una permuta financiera basada en una curva de rendimiento denominada en una moneda extranjera que es observable a intervalos cotizados de forma habitual para, sustancialmente, la duración total de la permuta financiera. Ese sería el caso si la duración de la permuta financiera es de 10 años y esa tasa es observable a intervalos cotizados de forma habitual para 9 años, siempre que cualquier extrapolación razonable de la curva de rendimiento para el año 10 no fuera significativa para la medición del valor razonable de la permuta financiera en su totalidad.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Permuta financiera de tasa de interés que paga variable y recibe fijo, basada en una tasa de prima de riesgo bancaria específica.</w:t>
      </w:r>
      <w:r w:rsidRPr="00401DFF">
        <w:rPr>
          <w:rFonts w:ascii="Times New Roman" w:eastAsia="Times New Roman" w:hAnsi="Times New Roman" w:cs="Times New Roman"/>
          <w:sz w:val="24"/>
          <w:szCs w:val="24"/>
          <w:lang w:eastAsia="es-CO"/>
        </w:rPr>
        <w:t xml:space="preserve"> Un dato de entrada de Nivel 2 sería una tasa de prima de riesgo bancaria que proviene de una extrapolación si los valores extrapolados se corroboran por datos de mercado observables, por ejemplo, por la correlación con una tasa de interés que es observable a lo largo, sustancialmente, de la duración total de la permuta financiera.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Opción a tres años sobre acciones negociadas en un mercado de valores.</w:t>
      </w:r>
      <w:r w:rsidRPr="00401DFF">
        <w:rPr>
          <w:rFonts w:ascii="Times New Roman" w:eastAsia="Times New Roman" w:hAnsi="Times New Roman" w:cs="Times New Roman"/>
          <w:sz w:val="24"/>
          <w:szCs w:val="24"/>
          <w:lang w:eastAsia="es-CO"/>
        </w:rPr>
        <w:t xml:space="preserve"> Un dato de entrada de Nivel 2 sería la volatilidad involucrada en las acciones proveniente de la extrapolación a 3 años si existen las dos condiciones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precios de las opciones sobre las acciones para el año uno y año dos son observables.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volatilidad involucrada extrapolada de una opción a tres años es corroborada por datos de mercado observables para, sustancialmente, la duración total de la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En ese caso la volatilidad involucrada podría provenir de la extrapolación de la volatilidad involucrada en las opciones sobre las acciones a un año y a dos años y corroborada por la volatilidad involucrada para las opciones a tres años sobre acciones de entidades comparables, siempre que se establezca esa correlación con las volatilidades involucradas a uno y dos años.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Acuerdos de licencia.</w:t>
      </w:r>
      <w:r w:rsidRPr="00401DFF">
        <w:rPr>
          <w:rFonts w:ascii="Times New Roman" w:eastAsia="Times New Roman" w:hAnsi="Times New Roman" w:cs="Times New Roman"/>
          <w:sz w:val="24"/>
          <w:szCs w:val="24"/>
          <w:lang w:eastAsia="es-CO"/>
        </w:rPr>
        <w:t xml:space="preserve"> Para un acuerdo de licencia que se adquiera en una combinación de negocios y fuera negociado recientemente con una parte no relacionada por la entidad adquirida (la parte del acuerdo de licencia), un dato de entrada de Nivel 2 sería la tasa de regalía en el contrato con la parte no relacionada al comienzo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(f) </w:t>
      </w:r>
      <w:r w:rsidRPr="00401DFF">
        <w:rPr>
          <w:rFonts w:ascii="Times New Roman" w:eastAsia="Times New Roman" w:hAnsi="Times New Roman" w:cs="Times New Roman"/>
          <w:i/>
          <w:iCs/>
          <w:sz w:val="24"/>
          <w:szCs w:val="24"/>
          <w:lang w:eastAsia="es-CO"/>
        </w:rPr>
        <w:t>Inventario de productos terminados en una tienda al por menor.</w:t>
      </w:r>
      <w:r w:rsidRPr="00401DFF">
        <w:rPr>
          <w:rFonts w:ascii="Times New Roman" w:eastAsia="Times New Roman" w:hAnsi="Times New Roman" w:cs="Times New Roman"/>
          <w:sz w:val="24"/>
          <w:szCs w:val="24"/>
          <w:lang w:eastAsia="es-CO"/>
        </w:rPr>
        <w:t xml:space="preserve"> Para un inventario de productos terminados que se adquiera en una combinación de negocios, un dato de entrada de Nivel 2 sería un precio a clientes en un mercado minorista o un precio a minoristas en un mercado al por mayor, ajustado por las diferencias entre la condición y localización de la partida de inventario y las partidas de inventario comparables (es decir, similares) de forma que la medición del valor razonable refleja el precio que se recibiría en una transacción </w:t>
      </w:r>
      <w:r w:rsidRPr="00401DFF">
        <w:rPr>
          <w:rFonts w:ascii="Times New Roman" w:eastAsia="Times New Roman" w:hAnsi="Times New Roman" w:cs="Times New Roman"/>
          <w:sz w:val="24"/>
          <w:szCs w:val="24"/>
          <w:lang w:eastAsia="es-CO"/>
        </w:rPr>
        <w:lastRenderedPageBreak/>
        <w:t>para vender el inventario a otro minorista que completaría el requisito de esfuerzos de venta. Conceptualmente, la medición del valor razonable será la misma, si los ajustes se realizan a un precio minorista (descendente) o un precio mayorista (ascendente). Generalmente, el precio que requiere el menor número de ajustes subjetivos debe utilizarse para la medición del valor razonable.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(g) </w:t>
      </w:r>
      <w:r w:rsidRPr="00401DFF">
        <w:rPr>
          <w:rFonts w:ascii="Times New Roman" w:eastAsia="Times New Roman" w:hAnsi="Times New Roman" w:cs="Times New Roman"/>
          <w:i/>
          <w:iCs/>
          <w:sz w:val="24"/>
          <w:szCs w:val="24"/>
          <w:lang w:eastAsia="es-CO"/>
        </w:rPr>
        <w:t>Construcción mantenida y utilizada.</w:t>
      </w:r>
      <w:r w:rsidRPr="00401DFF">
        <w:rPr>
          <w:rFonts w:ascii="Times New Roman" w:eastAsia="Times New Roman" w:hAnsi="Times New Roman" w:cs="Times New Roman"/>
          <w:sz w:val="24"/>
          <w:szCs w:val="24"/>
          <w:lang w:eastAsia="es-CO"/>
        </w:rPr>
        <w:t xml:space="preserve"> Un dato de entrada de Nivel 2 sería el precio por metro cuadrado para la construcción (una valoración por múltiplos) que proviene de datos de mercado observables, por ejemplo múltiplos procedentes de precios en transacciones observadas que involucran construcciones comparables (es decir, similares) en localizaciones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(h) </w:t>
      </w:r>
      <w:r w:rsidRPr="00401DFF">
        <w:rPr>
          <w:rFonts w:ascii="Times New Roman" w:eastAsia="Times New Roman" w:hAnsi="Times New Roman" w:cs="Times New Roman"/>
          <w:i/>
          <w:iCs/>
          <w:sz w:val="24"/>
          <w:szCs w:val="24"/>
          <w:lang w:eastAsia="es-CO"/>
        </w:rPr>
        <w:t>Unidad generadora de efectivo.</w:t>
      </w:r>
      <w:r w:rsidRPr="00401DFF">
        <w:rPr>
          <w:rFonts w:ascii="Times New Roman" w:eastAsia="Times New Roman" w:hAnsi="Times New Roman" w:cs="Times New Roman"/>
          <w:sz w:val="24"/>
          <w:szCs w:val="24"/>
          <w:lang w:eastAsia="es-CO"/>
        </w:rPr>
        <w:t xml:space="preserve"> Un dato de entrada de Nivel 2 sería una valoración por múltiplos (por ejemplo un múltiplo de ganancias o ingresos de actividades ordinarias o una medida del rendimiento similar) que proviene de datos de mercado observables, por ejemplo múltiplos que provienen de precios en transacciones observadas que involucran negocios comparables (es decir, similares) teniendo en cuenta factores operativos, de mercado, financieros y no financieros.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Datos de entrada de Nivel 3 (párrafos 86 a 90)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B36 Ejemplos de datos de entrada de Nivel 3 para activos y pasivos concretos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(a) </w:t>
      </w:r>
      <w:r w:rsidRPr="00401DFF">
        <w:rPr>
          <w:rFonts w:ascii="Times New Roman" w:eastAsia="Times New Roman" w:hAnsi="Times New Roman" w:cs="Times New Roman"/>
          <w:i/>
          <w:iCs/>
          <w:sz w:val="24"/>
          <w:szCs w:val="24"/>
          <w:lang w:eastAsia="es-CO"/>
        </w:rPr>
        <w:t>Permuta financiera de moneda extranjera a largo plazo.</w:t>
      </w:r>
      <w:r w:rsidRPr="00401DFF">
        <w:rPr>
          <w:rFonts w:ascii="Times New Roman" w:eastAsia="Times New Roman" w:hAnsi="Times New Roman" w:cs="Times New Roman"/>
          <w:sz w:val="24"/>
          <w:szCs w:val="24"/>
          <w:lang w:eastAsia="es-CO"/>
        </w:rPr>
        <w:t xml:space="preserve"> Un dato de entrada de Nivel 3 sería una tasa de interés en una moneda especificada que no es observable y no puede corroborarse por datos de mercado observables a intervalos cotizados de forma habitual o de otra forma para, sustancialmente, la duración total de la permuta financiera de moneda extranjera. Las tasas de interés en una permuta financiera de moneda extranjera son las tasas de permuta financiera calculadas a partir de las curvas de rendimiento de los países respectivos.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w:t>
      </w:r>
      <w:r w:rsidRPr="00401DFF">
        <w:rPr>
          <w:rFonts w:ascii="Times New Roman" w:eastAsia="Times New Roman" w:hAnsi="Times New Roman" w:cs="Times New Roman"/>
          <w:i/>
          <w:iCs/>
          <w:sz w:val="24"/>
          <w:szCs w:val="24"/>
          <w:lang w:eastAsia="es-CO"/>
        </w:rPr>
        <w:t>Opción a tres años sobre acciones negociadas en un mercado de valores.</w:t>
      </w:r>
      <w:r w:rsidRPr="00401DFF">
        <w:rPr>
          <w:rFonts w:ascii="Times New Roman" w:eastAsia="Times New Roman" w:hAnsi="Times New Roman" w:cs="Times New Roman"/>
          <w:sz w:val="24"/>
          <w:szCs w:val="24"/>
          <w:lang w:eastAsia="es-CO"/>
        </w:rPr>
        <w:t xml:space="preserve"> Un dato de entrada de Nivel 3 sería la volatilidad histórica, es decir, la volatilidad de acciones que proviene de precios históricos de acciones. La volatilidad histórica habitual no representa las expectativas de los participantes del mercado presentes sobre la volatilidad futura, incluso si es la única información disponible para fijar el precio de una opción.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w:t>
      </w:r>
      <w:r w:rsidRPr="00401DFF">
        <w:rPr>
          <w:rFonts w:ascii="Times New Roman" w:eastAsia="Times New Roman" w:hAnsi="Times New Roman" w:cs="Times New Roman"/>
          <w:i/>
          <w:iCs/>
          <w:sz w:val="24"/>
          <w:szCs w:val="24"/>
          <w:lang w:eastAsia="es-CO"/>
        </w:rPr>
        <w:t>Permuta de tasas de interés.</w:t>
      </w:r>
      <w:r w:rsidRPr="00401DFF">
        <w:rPr>
          <w:rFonts w:ascii="Times New Roman" w:eastAsia="Times New Roman" w:hAnsi="Times New Roman" w:cs="Times New Roman"/>
          <w:sz w:val="24"/>
          <w:szCs w:val="24"/>
          <w:lang w:eastAsia="es-CO"/>
        </w:rPr>
        <w:t xml:space="preserve"> Un dato de entrada de Nivel 3 sería un ajuste a un precio de consenso de mercado medio (no vinculante) para la permuta financiera desarrollado utilizando datos que no son observables directamente y no pueden ser corroborados de otra forma por datos de mercado observables.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(d) </w:t>
      </w:r>
      <w:r w:rsidRPr="00401DFF">
        <w:rPr>
          <w:rFonts w:ascii="Times New Roman" w:eastAsia="Times New Roman" w:hAnsi="Times New Roman" w:cs="Times New Roman"/>
          <w:i/>
          <w:iCs/>
          <w:sz w:val="24"/>
          <w:szCs w:val="24"/>
          <w:lang w:eastAsia="es-CO"/>
        </w:rPr>
        <w:t>Pasivos por desmantelamiento asumidos en una combinación de negocios.</w:t>
      </w:r>
      <w:r w:rsidRPr="00401DFF">
        <w:rPr>
          <w:rFonts w:ascii="Times New Roman" w:eastAsia="Times New Roman" w:hAnsi="Times New Roman" w:cs="Times New Roman"/>
          <w:sz w:val="24"/>
          <w:szCs w:val="24"/>
          <w:lang w:eastAsia="es-CO"/>
        </w:rPr>
        <w:t xml:space="preserve"> Un dato de entrada de Nivel 3 sería una estimación presente utilizando datos propios de la entidad sobre las salidas de efectivo futuras a pagar para satisfacer la obligación (incluyendo las expectativas de los participantes del mercado sobre los costos de satisfacer la obligación y </w:t>
      </w:r>
      <w:r w:rsidRPr="00401DFF">
        <w:rPr>
          <w:rFonts w:ascii="Times New Roman" w:eastAsia="Times New Roman" w:hAnsi="Times New Roman" w:cs="Times New Roman"/>
          <w:sz w:val="24"/>
          <w:szCs w:val="24"/>
          <w:lang w:eastAsia="es-CO"/>
        </w:rPr>
        <w:lastRenderedPageBreak/>
        <w:t>la compensación que un participante de mercado requeriría para cargar con la obligación de desmantelar el activo) si no existe información disponible razonable que indique que los participantes del mercado utilizarían supuestos diferentes. Ese dato de entrada de Nivel 3 sería utilizada en una técnica de valor presente junto con otros datos de entrada, por ejemplo la tasa de interés libre de riesgo presente o una tasa libre de riesgo ajustada por el crédito si el efecto de la posición de crédito de la entidad sobre el valor razonable del pasivo se refleja en la tasa de descuento en lugar de en la estimación de las salidas de efectivo futura.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(e) </w:t>
      </w:r>
      <w:r w:rsidRPr="00401DFF">
        <w:rPr>
          <w:rFonts w:ascii="Times New Roman" w:eastAsia="Times New Roman" w:hAnsi="Times New Roman" w:cs="Times New Roman"/>
          <w:i/>
          <w:iCs/>
          <w:sz w:val="24"/>
          <w:szCs w:val="24"/>
          <w:lang w:eastAsia="es-CO"/>
        </w:rPr>
        <w:t>Unidad generadora de efectivo.</w:t>
      </w:r>
      <w:r w:rsidRPr="00401DFF">
        <w:rPr>
          <w:rFonts w:ascii="Times New Roman" w:eastAsia="Times New Roman" w:hAnsi="Times New Roman" w:cs="Times New Roman"/>
          <w:sz w:val="24"/>
          <w:szCs w:val="24"/>
          <w:lang w:eastAsia="es-CO"/>
        </w:rPr>
        <w:t xml:space="preserve"> Un dato de entrada de Nivel 3 sería una previsión financiera (por ejemplo de flujos de efectivo o resultado del periodo) desarrollada utilizando datos propios de la entidad si no existe información disponible razonable que indique que los participantes del mercado utilizarían supuestos diferentes.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Medición del valor razonable cuando el volumen o nivel de actividad de un activo o un pasivo ha disminuido de forma significativa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B37 El valor razonable de un activo o pasivo puede verse afectado cuando ha habido una disminución significativa en el volumen o nivel de actividad para ese activo o pasivo en relación con la actividad de mercado normal para el activo o pasivo (o activos o pasivos similares). Para determinar si, sobre la base de la evidencia disponible, ha habido una disminución significativa en el volumen o nivel de actividad para el activo o pasivo, una entidad evaluará la importancia y relevancia de factores tales como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Existen pocas transacciones recientes.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cotizaciones de precios no están desarrolladas utilizando información presente.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Las cotizaciones de precios varían sustancialmente a lo largo del tiempo o entre creadores de mercado (por ejemplo, algunos mercados intermediados por agentes corredores).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índices que anteriormente estaban altamente correlacionados con los valores razonables del activo o pasivo están no correlacionados de forma demostrable con indicios recientes del valor razonable para ese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Existe un incremento significativo en primas de riesgo de liquidez involucradas o indicadores de rendimiento (tales como tasas de recargo de mora o graves pérdidas) para transacciones observadas o precios cotizados cuando se comparan con la estimación de la entidad de flujos de efectivo esperados, teniendo en cuenta todos los datos de mercado disponibles sobre el crédito y otro riesgo de incumplimiento para el activo o pasivo.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 Existe un diferencial comprador-vendedor amplio o un incremento significativo en el diferencial comprador-vendedor.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(g) Existe un descenso significativo en la actividad de un mercado para nuevas emisiones o existe una ausencia de éste (es decir, un mercado principal) para el activo o pasivo o activos o pasivos similares.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(h) La información disponible públicamente es escasa (por ejemplo, para transacciones que tienen lugar en un mercado de principal a principal).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B38 Si una entidad concluye que ha habido una disminución significativa en el volumen o nivel de actividad del activo o pasivo en relación con la actividad de mercado normal para el activo o pasivo (o activos o pasivos similares), será necesario llevar a cabo un análisis adicional de las transacciones o precios cotizados. Una disminución en el volumen o nivel de actividad por sí mismo puede no indicar que un precio de transacción o precio cotizado no representa el valor razonable o que una transacción en ese mercado no es ordenada. Sin embargo, si una entidad determina que una transacción o precio cotizado no representa el valor razonable (por ejemplo, puede haber transacciones que no sean ordenadas), sería necesario un ajuste a las transacciones o precios cotizados, si la entidad utiliza esos precios como base para medir el valor razonable y ese ajuste puede ser significativo para la medición del valor razonable en su totalidad. Los ajustes también pueden ser necesarios en otras circunstancias (por ejemplo, cuando un precio para un activo similar requiere un ajuste significativo para hacerlo comparable con el activo que se está midiendo o cuando el precio está anticuado.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B39 Esta NIIF no prescribe una metodología para realizar ajustes significativos a las transacciones o precios cotizados. Véanse los párrafos 61 a 66 y B5 a B11 que tratan el uso de las técnicas de valoración al medir el valor razonable. Independientemente de la técnica de valoración utilizada, una entidad incluirá los ajustes de riesgo adecuados, incluyendo una prima de riesgo que refleje el importe que los participantes del mercado solicitarían como compensación por la incertidumbre inherente a los flujos de efectivo de un activo o un pasivo (véase el párrafo B17). En otro caso, la medición no representaría fielmente el valor razonable. En algunos casos determinar la prima de riesgo adecuada puede ser difícil. Sin embargo, el grado de dificultad por sí solo no es una razón suficiente para excluir una prima de riesgo. El ajuste de riesgo será reflejo de una transacción ordenada entre participantes del mercado en la fecha de la medición en condiciones de mercado presentes.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B40 Si ha habido una disminución significativa en el volumen o nivel de actividad para el activo o pasivo, puede ser apropiado un cambio en la técnica de valoración o el uso de técnicas de valoración múltiples (por ejemplo el uso de un enfoque de mercado y una técnica de valor presente). Al ponderar indicios de valor razonable procedentes del uso de técnicas de valoración múltiples, una entidad considerará la razonabilidad del rango de mediciones del valor razonable. El objetivo es determinar el valor dentro del rango que sea más representativo del valor razonable en condiciones de mercado presentes. Un rango amplio de mediciones del valor razonable puede ser un indicador de que se necesitan análisis adicionales.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B41 Incluso cuando ha habido una disminución significativa en el volumen o nivel de actividad para el activo o pasivo, el objetivo de una medición del valor razonable sigue siendo el mismo. El valor razonable es el precio que se recibiría por vender un activo o se </w:t>
      </w:r>
      <w:r w:rsidRPr="00401DFF">
        <w:rPr>
          <w:rFonts w:ascii="Times New Roman" w:eastAsia="Times New Roman" w:hAnsi="Times New Roman" w:cs="Times New Roman"/>
          <w:sz w:val="24"/>
          <w:szCs w:val="24"/>
          <w:lang w:eastAsia="es-CO"/>
        </w:rPr>
        <w:lastRenderedPageBreak/>
        <w:t>pagaría por transferir un pasivo en una transacción ordenada (es decir, en una liquidación no forzada o venta urgente) entre participantes del mercado en la fecha de la medición en condiciones de mercado presentes.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B42 La estimación del precio al que los participantes del mercado desearían realizar una transacción en la fecha de la medición en condiciones de mercado presentes si ha habido una disminución significativa en el volumen o nivel de actividad para el activo o pasivo, dependerá de los hechos y circunstancias en la fecha de la medición y requiere del juicio profesional. El propósito de una entidad de mantener un activo o liquidar o satisfacer de otra forma el pasivo no es relevante al medir el valor razonable porque éste es una medición basada en el mercado, no una medición de una entidad específica.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Identificación de transacciones que no son ordenadas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B43 La determinación de si una transacción es ordenada (o no lo es) es más difícil si ha habido disminuciones significativas en el volumen o nivel de actividad del activo o pasivo en relación con la actividad de mercado normal para el activo o pasivo (o activos o pasivos similares). En estas circunstancias no es adecuado concluir que todas las transacciones en ese mercado no son ordenadas (es decir, liquidaciones forzadas o ventas urgentes). Las circunstancias que pueden indicar que una transacción no es ordenada incluyen las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No hubo una exposición adecuada al mercado para un periodo anterior a la fecha de la medición para tener en cuenta las actividades de comercialización que son usuales y habituales para transacciones que involucran estos activos o pasivos en condiciones de mercado presentes.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Hubo un periodo de comercialización habitual y tradicional, pero el vendedor comercializó el activo o pasivo a un único participante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El vendedor está en quiebra o cerca de la misma o en suspensión de pagos (es decir el vendedor está en dificultades).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Se requirió al vendedor vender para cumplir con requerimientos legales o de regulación (es decir el vendedor se vio forzado).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El precio de transacción es atípico en comparación con otras transacciones recientes para un activo o pasivo igual o similar.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evaluará las circunstancias para determinar si, en función de la evidencia disponible, la transacción es ordenada.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B44 Una entidad considerará todos los elementos siguientes al medir el valor razonable o estimar las primas de riesgo de mercado: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(a) Si la evidencia indica que una transacción no es ordenada, una entidad dará poco, si alguno, peso (en comparación con otros indicios del valor razonable) a ese precio de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Si la evidencia indica que una transacción es ordenada, una entidad tendrá en cuenta ese precio de transacción. La importancia del peso dado a ese precio de transacción en comparación con otros indicios del valor razonable dependerá de los hechos y circunstancias, tales como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volumen de la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 comparabilidad de la transacción del activo o pasivo que se está midiendo.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 proximidad de la transacción en la fecha de la medición.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Si una entidad no tiene información suficiente para concluir si una transacción es ordenada, tendrá en cuenta el precio de la transacción. Sin embargo, ese precio de transacción puede no representar el valor razonable (es decir, el precio de la transacción no necesariamente es la única o base principal para medir el valor razonable o estimar las primas de riesgo de mercado). Cuando una entidad no tenga información suficiente para concluir si transacciones concretas son ordenadas, la entidad dará menos peso a esas transacciones en comparación con otras transacciones que se sabe que son ordenadas.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no necesita llevar a cabo esfuerzos exhaustivos para determinar si una transacción es ordenada, pero no ignorará información que se encuentre razonablemente disponible. Cuando una entidad es parte de una transacción, se presume que tiene información suficiente para concluir si la transacción es ordenada.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Uso de precios estimados proporcionados por terceros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B45 Esta NIIF no impide el uso de precios estimados proporcionados por terceros tales como servicios de fijación de precios o agentes corredores, si una entidad ha determinado que el precio estimado proporcionado por dichos terceros está desarrollado de acuerdo con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B46 Si ha habido una disminución significativa en el volumen o nivel de actividad para el activo o pasivo, una entidad evaluará si los precios estimados proporcionados por terceros están desarrollados utilizando información actual que refleje transacciones ordenadas o una técnica de valoración que refleje los supuestos de los participantes del mercado (incluyendo supuestos sobre el riesgo). Al ponderar un precio estimado como un dato de entrada en una medición del valor razonable, una entidad dará menos peso (en comparación con otros indicios del valor razonable que reflejen los resultados de las transacciones) a estimaciones que no reflejan el resultado de transacciones.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B47 Además, se tendrá en cuenta la naturaleza de una estimación (por ejemplo, si la estimación es un precio indicativo o una oferta vinculante) al ponderar la evidencia </w:t>
      </w:r>
      <w:r w:rsidRPr="00401DFF">
        <w:rPr>
          <w:rFonts w:ascii="Times New Roman" w:eastAsia="Times New Roman" w:hAnsi="Times New Roman" w:cs="Times New Roman"/>
          <w:sz w:val="24"/>
          <w:szCs w:val="24"/>
          <w:lang w:eastAsia="es-CO"/>
        </w:rPr>
        <w:lastRenderedPageBreak/>
        <w:t>disponible, dando más peso a estimaciones proporcionadas por terceros que representen ofertas vinculantes.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Apéndice C</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 y transición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i/>
          <w:iCs/>
          <w:sz w:val="24"/>
          <w:szCs w:val="24"/>
          <w:lang w:eastAsia="es-CO"/>
        </w:rPr>
        <w:t>Este apéndice forma parte integral de la NIIF y tiene el mismo carácter normativo que las otras partes de la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C1 Una entidad aplicará esta NIIF en los periodos anuales que comiencen a partir del 1 de enero de 2013. Se permite su aplicación anticipada. Si una entidad aplicase esta NIIF en un período anterior, revelará este hecho.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C2 Esta NIIF se aplicará de forma prospectiva a partir del comienzo del periodo anual en que se aplique inicialmente.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C3 Los requerimientos de información a revelar de esta NIIF no necesitan aplicarse a información comparativa proporcionada para periodos anteriores a la aplicación inicial de esta NIIF.</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(95) En esta NIIF, los importes monetarios se expresan en “unidades monetarias” (u.m.).</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Introducción del Euro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10 </w:t>
      </w:r>
      <w:r w:rsidRPr="00401DFF">
        <w:rPr>
          <w:rFonts w:ascii="Times New Roman" w:eastAsia="Times New Roman" w:hAnsi="Times New Roman" w:cs="Times New Roman"/>
          <w:i/>
          <w:iCs/>
          <w:sz w:val="24"/>
          <w:szCs w:val="24"/>
          <w:lang w:eastAsia="es-CO"/>
        </w:rPr>
        <w:t>Hechos Ocurridos después del Periodo sobre el que se Informa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21 </w:t>
      </w:r>
      <w:r w:rsidRPr="00401DFF">
        <w:rPr>
          <w:rFonts w:ascii="Times New Roman" w:eastAsia="Times New Roman" w:hAnsi="Times New Roman" w:cs="Times New Roman"/>
          <w:i/>
          <w:iCs/>
          <w:sz w:val="24"/>
          <w:szCs w:val="24"/>
          <w:lang w:eastAsia="es-CO"/>
        </w:rPr>
        <w:t xml:space="preserve">Efectos de las Variaciones en las Tasas de Cambio de la Moneda Extranjera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27 </w:t>
      </w:r>
      <w:r w:rsidRPr="00401DFF">
        <w:rPr>
          <w:rFonts w:ascii="Times New Roman" w:eastAsia="Times New Roman" w:hAnsi="Times New Roman" w:cs="Times New Roman"/>
          <w:i/>
          <w:iCs/>
          <w:sz w:val="24"/>
          <w:szCs w:val="24"/>
          <w:lang w:eastAsia="es-CO"/>
        </w:rPr>
        <w:t>Estados Financieros Consolidados y Separados</w:t>
      </w:r>
      <w:r w:rsidRPr="00401DFF">
        <w:rPr>
          <w:rFonts w:ascii="Times New Roman" w:eastAsia="Times New Roman" w:hAnsi="Times New Roman" w:cs="Times New Roman"/>
          <w:sz w:val="24"/>
          <w:szCs w:val="24"/>
          <w:lang w:eastAsia="es-CO"/>
        </w:rPr>
        <w:t xml:space="preserve"> (modificada en 2008)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Desde el 1 de enero de 1999, con el comienzo efectivo de la Unión Económica y Monetaria (UEM), el euro será una moneda autónoma, y las tasas de conversión entre el euro y las monedas de los países participantes quedarán irrevocablemente fijadas, es decir </w:t>
      </w:r>
      <w:r w:rsidRPr="00401DFF">
        <w:rPr>
          <w:rFonts w:ascii="Times New Roman" w:eastAsia="Times New Roman" w:hAnsi="Times New Roman" w:cs="Times New Roman"/>
          <w:sz w:val="24"/>
          <w:szCs w:val="24"/>
          <w:lang w:eastAsia="es-CO"/>
        </w:rPr>
        <w:lastRenderedPageBreak/>
        <w:t>que a partir de esa fecha quedará eliminado el riesgo de posteriores diferencias de cambio entre esas monedas.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El problema planteado es la aplicación de la NIC 21 al cambio de las monedas de los Estados Miembros de la Unión Europea participantes en el euro (“el cambio”).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Los requisitos de la NIC 21, relativos a la conversión de operaciones y de estados financieros de entidades en el extranjero, deben ser estrictamente aplicados en el caso del cambio al euro. El mismo razonamiento se aplicará tras la fijación irrevocable de las tasas de cambio del resto de los países que se vayan incorporando a la UEM en posteriores etapas.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Esto significa que, en particular: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Los activos y pasivos monetarios en moneda extranjera, procedentes de transacciones, se continuarán convirtiendo a la moneda funcional utilizando las tasas de cambio de cierre. Las diferencias de cambio resultantes se reconocerán inmediatamente como gastos o ingresos, salvo en el caso de las diferencias relacionadas con coberturas de riesgo de cambio de una transacción prevista, donde la entidad continuará aplicando su política contable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Las diferencias de conversión acumuladas, relacionadas con la conversión de estados financieros de negocios en el extranjero, reconocidas en otro resultado integral, deberán acumularse en el patrimonio, y deberán reclasificarse del patrimonio al resultado solo por la disposición total o parcial de la inversión neta del negocio en el extranjero;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Y, por último, que las diferencias de cambio producidas por la conversión de pasivos exigibles, expresados en monedas de los países participantes, no deben ser incluidas en el importe en libros de los activos relacionados con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Octubre de 1997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1 de junio de 1998. Los cambios en las políticas contables deben ser tratados de acuerdo con las disposiciones transitorias contenidas en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NIC 1 (revisada en 2007) modificó la terminología utilizada en las NIIF. Además modificó el párrafo 4.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La NIC 27 (modificada en 2008) modificó el párrafo 4(b). Una entidad aplicará esa modificación para los periodos anuales que comiencen a partir del 1 de julio de 2009. Si una entidad aplica la NIC 27 (modificada en 2008) a periodos anteriores, las modificaciones se aplicarán también a esos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Ayudas Gubernamentales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Sin Relación Específica con Actividades de Operación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20 </w:t>
      </w:r>
      <w:r w:rsidRPr="00401DFF">
        <w:rPr>
          <w:rFonts w:ascii="Times New Roman" w:eastAsia="Times New Roman" w:hAnsi="Times New Roman" w:cs="Times New Roman"/>
          <w:i/>
          <w:iCs/>
          <w:sz w:val="24"/>
          <w:szCs w:val="24"/>
          <w:lang w:eastAsia="es-CO"/>
        </w:rPr>
        <w:t>Contabilización de las Subvenciones del Gobierno e Información a Revelar sobre Ayudas Gubernamentales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En algunos países, las ayudas gubernamentales pueden estar dirigidas al apoyo genérico, o bien al sostenimiento a largo plazo, de las actividades de una cierta entidad, o bien de las entidades que pertenezcan a un sector o una región en particular. En estos casos, las condiciones necesarias para recibir tales ayudas pueden no estar relacionadas, de forma específica, con las actividades operativas llevadas a cabo por la entidad. Son ejemplos de tales tipos de ayudas las transferencias de recursos, por parte de organismos gubernamentales, hacia entidades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operan en un sector industrial determinado;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continúan en su actividad en sectores privatizados recientemente;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comienzan o continúan desarrollando su actividad en áreas menos desarrolladas.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El problema que se plantea es si tales ayudas gubernamentales son “subvenciones del gobierno”, en función del alcance dado a estos términos en la NIC 20, y por tanto deben ser contabilizadas de acuerdo con lo establecido en esta Norma.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Las ayudas gubernamentales a las entidades cumplen la definición de subvenciones del gobierno, dada en la NIC 20, incluso si no existen, para recibir las mismas, condiciones específicamente relacionadas con las actividades de operación de la entidad, distintas de los requisitos de operar en cierta región o dentro de un determinado sector industrial. Estas ayudas no deberán, por tanto, ser acreditadas directamente a las participaciones de los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Enero de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1 de agosto de 1998. Los cambios en las políticas contables deberán contabilizarse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SIC-15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Arrendamientos Operativos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Incentivos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Al proceder a negociar un contrato nuevo, o bien a la renovación de un arrendamiento operativo ya existente, el arrendador puede ofrecer determinados incentivos al arrendatario para que acepte el acuerdo. Ejemplos de tales incentivos son un pago inicial hecho por el arrendador al arrendatario o bien el reembolso o asunción, por parte del arrendador, de determinados costos que vaya a tener el arrendatario (tales como los de reubicación, mejoras en los bienes objeto de arrendamiento o los asociados con los compromisos anteriores sobre los activos arrendados que se sustituyen). Alternativamente, los incentivos pueden consistir en que las cuotas de alquiler de los periodos iniciales sean de importes muy reducidos, o incluso que no existan.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El problema consiste en determinar cómo se han de reconocer los incentivos derivados de un arrendamiento operativo en los estados financieros, tanto del arrendador como del arrendatario.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Todos los incentivos derivados del acuerdo de renovación o constitución de un nuevo arrendamiento operativo, deben ser reconocidos como parte integrante del precio neto acordado por el uso del activo arrendado, con independencia de la naturaleza del incentivo o del calendario de los pagos a realizar.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4 El arrendador debe proceder a reconocer el costo agregado de los incentivos que ha concedido, como una reducción de los ingresos por cuotas, a lo largo del periodo del arrendamiento, utilizando un sistema de reparto lineal, a menos que cualquier otro </w:t>
      </w:r>
      <w:r w:rsidRPr="00401DFF">
        <w:rPr>
          <w:rFonts w:ascii="Times New Roman" w:eastAsia="Times New Roman" w:hAnsi="Times New Roman" w:cs="Times New Roman"/>
          <w:sz w:val="24"/>
          <w:szCs w:val="24"/>
          <w:lang w:eastAsia="es-CO"/>
        </w:rPr>
        <w:lastRenderedPageBreak/>
        <w:t>procedimiento de reparto sistemático sea más representativo del patrón temporal según el cual van a ir disminuyendo los beneficios económicos procedentes del activo arrendado.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El arrendatario debe reconocer el ingreso agregado de los incentivos que ha recibido, como una reducción de los gastos por cuotas, a lo largo del periodo del arrendamiento, utilizando un sistema de reparto lineal, a menos que cualquier otro procedimiento de reparto sistemático sea más representativo del patrón temporal según el cual van a ir apareciendo los beneficios económicos procedentes del activo arrendado.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Los costos incurridos por el arrendatario, incluyendo los que se relacionen con arrendamientos mantenidos anteriormente (por ejemplo los que procedan de la cancelación, del traslado o de las mejoras de los bienes arrendados), deben ser contabilizados por éste de acuerdo con las Normas Internacionales de Contabilidad que resulten aplicables a dichos costos, entre los que se habrán de incluir aquéllos que vayan a ser objeto de reembolso mediante el incentivo que se acuerde con el nuevo arrendador.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Junio de 1998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para periodos contables que comiencen a partir del 1 de julio de 1999.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SIC-25</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Impuesto a las Ganancias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Cambios en la Situación Fiscal de la Entidad o de sus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12 </w:t>
      </w:r>
      <w:r w:rsidRPr="00401DFF">
        <w:rPr>
          <w:rFonts w:ascii="Times New Roman" w:eastAsia="Times New Roman" w:hAnsi="Times New Roman" w:cs="Times New Roman"/>
          <w:i/>
          <w:iCs/>
          <w:sz w:val="24"/>
          <w:szCs w:val="24"/>
          <w:lang w:eastAsia="es-CO"/>
        </w:rPr>
        <w:t>Impuesto a las Ganancias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1 Un cambio en la situación fiscal de la entidad o de sus accionistas puede tener consecuencias para la entidad que provoquen un aumento o disminución de sus activos o pasivos por impuestos. Esto puede ocurrir, por ejemplo, al registrarse públicamente los instrumentos patrimoniales o al reestructurarse el patrimonio de la entidad. También puede ocurrir al trasladarse un accionista controlador a un país extranjero. Como resultado de lo anterior, la entidad puede soportar diferente imposición; lo que supone por ejemplo que </w:t>
      </w:r>
      <w:r w:rsidRPr="00401DFF">
        <w:rPr>
          <w:rFonts w:ascii="Times New Roman" w:eastAsia="Times New Roman" w:hAnsi="Times New Roman" w:cs="Times New Roman"/>
          <w:sz w:val="24"/>
          <w:szCs w:val="24"/>
          <w:lang w:eastAsia="es-CO"/>
        </w:rPr>
        <w:lastRenderedPageBreak/>
        <w:t>puede ganar o perder incentivos fiscales o estar sujeta a tasas fiscales diferentes en el futuro.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 cambio en la situación fiscal de la entidad o de sus accionistas puede tener un efecto inmediato en los pasivos o activos corrientes por impuestos. El cambio puede también incrementar o disminuir los pasivos o activos por impuestos diferidos reconocidos por la entidad, dependiendo del efecto que tenga sobre las consecuencias fiscales que surgirán por la recuperación o cancelación futura del importe en libros de los activos y pasivos, respectivamente, de la entidad.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El problema planteado es cómo debe la entidad contabilizar las consecuencias fiscales de un cambio en su situación fiscal o en la de sus accionistas.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Un cambio en la situación fiscal de una entidad o de sus accionistas no da lugar a incrementos o disminuciones en los importes reconocidos fuera del resultado. Las consecuencias fiscales corrientes y diferidas de un cambio en la situación fiscal deberán incluirse en el resultado del periodo, a menos que las consecuencias asociadas a transacciones y hechos que dieron lugar, en el mismo o diferente periodo, a un cargo o crédito directos en el importe reconocido del patrimonio o en el importe reconocido en otro resultado integral. Aquellas consecuencias fiscales que estén asociadas a cambios en el importe reconocido del patrimonio, ya sea en el mismo o en diferente periodo (no incluidas en el resultado), deberán cargarse o acreditarse directamente a patrimonio. Aquellas consecuencias fiscales que estén asociadas a importes reconocidos en otro resultado integral deberán reconocerse en otro resultado integral.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Agosto de 1999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Este acuerdo tendrá vigencia a partir del 15 de julio de 2000. Los cambios en las políticas contables deberán contabilizarse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NIC 1 (revisada en 2007) modificó la terminología utilizada en las NIIF. Además modificó el párrafo 4.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SIC-27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Evaluación de la Esencia de las Transacciones que Adoptan la Forma Legal de un Arrendamiento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4 </w:t>
      </w:r>
      <w:r w:rsidRPr="00401DFF">
        <w:rPr>
          <w:rFonts w:ascii="Times New Roman" w:eastAsia="Times New Roman" w:hAnsi="Times New Roman" w:cs="Times New Roman"/>
          <w:i/>
          <w:iCs/>
          <w:sz w:val="24"/>
          <w:szCs w:val="24"/>
          <w:lang w:eastAsia="es-CO"/>
        </w:rPr>
        <w:t>Contratos de Seguro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NIIF 9 </w:t>
      </w:r>
      <w:r w:rsidRPr="00401DFF">
        <w:rPr>
          <w:rFonts w:ascii="Times New Roman" w:eastAsia="Times New Roman" w:hAnsi="Times New Roman" w:cs="Times New Roman"/>
          <w:i/>
          <w:iCs/>
          <w:sz w:val="24"/>
          <w:szCs w:val="24"/>
          <w:lang w:eastAsia="es-CO"/>
        </w:rPr>
        <w:t>Instrumentos Financieros</w:t>
      </w:r>
      <w:r w:rsidRPr="00401DFF">
        <w:rPr>
          <w:rFonts w:ascii="Times New Roman" w:eastAsia="Times New Roman" w:hAnsi="Times New Roman" w:cs="Times New Roman"/>
          <w:sz w:val="24"/>
          <w:szCs w:val="24"/>
          <w:lang w:eastAsia="es-CO"/>
        </w:rPr>
        <w:t xml:space="preserve"> (emitida en octubre de 2010)</w:t>
      </w:r>
      <w:hyperlink r:id="rId101" w:anchor="bf11f311ad02c804f048e8a3a016c2eb87cnf9" w:tgtFrame="_self" w:history="1">
        <w:r w:rsidRPr="00401DFF">
          <w:rPr>
            <w:rFonts w:ascii="Times New Roman" w:eastAsia="Times New Roman" w:hAnsi="Times New Roman" w:cs="Times New Roman"/>
            <w:color w:val="0000FF"/>
            <w:sz w:val="20"/>
            <w:szCs w:val="20"/>
            <w:u w:val="single"/>
            <w:vertAlign w:val="superscript"/>
            <w:lang w:eastAsia="es-CO"/>
          </w:rPr>
          <w:t>(96)</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Una Entidad puede realizar con un tercero no relacionado (un Inversionista), una transacción o una serie de transacciones estructuradas (un acuerdo), cuya forma legal es la de un arrendamiento. Por ejemplo, la Entidad puede arrendar activos a un Inversionista y a continuación tomar los mismos activos en subarrendamiento o, alternativamente, vender legalmente los activos y luego tomarlos en arrendamiento posterior. La forma de cada acuerdo, así como sus plazos y condiciones, pueden variar significativamente. En el caso de arrendamiento inicial con subarrendamiento posterior, puede que el acuerdo haya sido diseñado para conseguir una ventaja fiscal para el Inversionista, que la comparte con la Entidad en forma de honorarios o cuotas, y no se haya diseñado para transmitir el derecho de uso de un activo.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Cuando el acuerdo con un Inversionista reviste la forma legal de arrendamiento, los problemas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cómo determinar si una serie de transacciones están interrelacionadas y deben ser registradas como una única transacción;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determinar si el acuerdo satisface la definición de un arrendamiento según la NIC 17; y, en caso contrario;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si la cuenta separada de inversión y las obligaciones de pago por arrendamiento que pudieran existir representan activos y pasivos de la Entidad [considérese, por ejemplo, el caso descrito en el párrafo A2(a) de la guía que acompaña a la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cómo debe la Entidad registrar otras obligaciones derivadas del acuerdo;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cómo debe registrar la Entidad las eventuales cuotas recibidas de un Inversionista.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Una serie de transacciones que adoptan la forma legal de un arrendamiento están relacionadas, y deberán ser registradas como una única transacción, cuando el efecto económico de las mismas no pueda ser comprendido sin referencia al conjunto de transacciones como un todo. Se da este caso, por ejemplo, cuando la serie de transacciones están íntimamente relacionadas, se negocian como una única transacción, y tienen lugar de forma simultánea o como una secuencia continua. (La Parte A de la guía complementaria proporciona ejemplos de la aplicación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La contabilidad deberá reflejar la esencia del acuerdo. Deben evaluarse todos los aspectos e implicaciones del acuerdo para determinar su esencia, poniendo énfasis sobre aquellos aspectos e implicaciones que tengan un efecto económico.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La NIC 17 se aplica cuando la esencia de un acuerdo incluye la transmisión del derecho de uso de un activo durante un periodo acordado. Entre los indicadores que individualmente demuestran que un acuerdo puede, en esencia, no implicar un arrendamiento según la NIC 17, se incluyen los siguientes (La Parte B de la guía complementaria proporciona ejemplos de aplicación de esta Interpretación):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mantiene todos los riesgos y ventajas asociadas a la propiedad del activo subyacente, y disfruta esencialmente de los mismos derechos de uso que mantenía antes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razón fundamental del acuerdo es alcanzar un determinado resultado fiscal, y no transmitir el derecho de uso de un activo;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en las condiciones del acuerdo se incluye una opción cuyos términos hacen casi seguro su ejercicio (por ejemplo, una opción de venta que puede ejercerse a un precio suficientemente más alto que el valor razonable esperado para cuando pueda ejercerse).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6 Las definiciones y guías contenidas en los párrafos 49 a 64 del </w:t>
      </w:r>
      <w:r w:rsidRPr="00401DFF">
        <w:rPr>
          <w:rFonts w:ascii="Times New Roman" w:eastAsia="Times New Roman" w:hAnsi="Times New Roman" w:cs="Times New Roman"/>
          <w:i/>
          <w:iCs/>
          <w:sz w:val="24"/>
          <w:szCs w:val="24"/>
          <w:lang w:eastAsia="es-CO"/>
        </w:rPr>
        <w:t>Marco Conceptual</w:t>
      </w:r>
      <w:hyperlink r:id="rId102" w:anchor="bf10a57f0652a32456d9d29e33eaab7f8fbnf9" w:tgtFrame="_self" w:history="1">
        <w:r w:rsidRPr="00401DFF">
          <w:rPr>
            <w:rFonts w:ascii="Times New Roman" w:eastAsia="Times New Roman" w:hAnsi="Times New Roman" w:cs="Times New Roman"/>
            <w:color w:val="0000FF"/>
            <w:sz w:val="20"/>
            <w:szCs w:val="20"/>
            <w:u w:val="single"/>
            <w:vertAlign w:val="superscript"/>
            <w:lang w:eastAsia="es-CO"/>
          </w:rPr>
          <w:t>(97)</w:t>
        </w:r>
      </w:hyperlink>
      <w:r w:rsidRPr="00401DFF">
        <w:rPr>
          <w:rFonts w:ascii="Times New Roman" w:eastAsia="Times New Roman" w:hAnsi="Times New Roman" w:cs="Times New Roman"/>
          <w:sz w:val="24"/>
          <w:szCs w:val="24"/>
          <w:lang w:eastAsia="es-CO"/>
        </w:rPr>
        <w:t xml:space="preserve"> deberán aplicarse en la determinación de si, en esencia, una determinada cuenta separada de inversión y las obligaciones de pago por el arrendamiento representan activos y pasivos, respectivamente, para la entidad. Los indicadores que, conjuntamente, demuestran que en esencia la cuenta separada de inversión y las obligaciones de pago por arrendamiento no satisfacen las definiciones de un activo y un pasivo, respectivamente, y por tanto no deben ser reconocidos por la entidad,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Entidad no es capaz de controlar la cuenta de inversión para conseguir sus propios objetivos y no está obligada a satisfacer los pagos por el arrendamiento. Esto ocurre cuando, por ejemplo, se coloca un importe anticipado en una cuenta separada de inversión para proteger al Inversionista, de forma que sólo puede ser usada para efectuar pagos a este Inversionista, el Inversionista acuerda que las obligaciones de pago por arrendamiento serán pagadas con fondos de la cuenta de inversión, y la Entidad no tiene capacidad para retener pagos al Inversionista hechos desde esta cuenta de inversión.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(b) La Entidad sólo tiene un riesgo remoto de reembolsar el importe completo de las cuotas recibidas de un Inversionista y posiblemente pagar algún importe adicional, o, cuando una cuota no ha sido recibida, sólo tiene un riesgo remoto de pagar un importe en concepto de otras obligaciones (por ejemplo, una garantía). Existe sólo un riesgo remoto de pago cuando, por ejemplo, los términos del acuerdo requieren que se invierta un determinado importe anticipado en activos libres de riesgo, de los que se espera que generen flujos de efectivo suficientes para satisfacer las obligaciones de pago por arrendamiento.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Además de los flujos de efectivo iniciales al comienzo del acuerdo, los únicos flujos de efectivo esperados según el mismo son los pagos por arrendamiento que se satisfacen exclusivamente con fondos tomados de la cuenta separada de inversión, establecida con los flujos de efectivo iniciales.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El resto de las obligaciones de un acuerdo, incluyendo cualesquiera garantías suministradas y las obligaciones incurridas en caso de una finalización anticipada, deberán ser contabilizadas según la NIC 37, la NIIF 4 o la NIIF 9, dependiendo de las condiciones existentes en el mismo.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8 Los criterios del párrafo 20 de la NIC 18 deberán aplicarse a los hechos y circunstancias de cada acuerdo, con el fin de determinar cuándo reconocer como ingreso las cuotas que la Entidad pueda recibir. Deberán considerarse factores tales como si hay una responsabilidad continuada en forma de obligaciones de desempeño, futuras y significativas, que sean necesarias para obtener las cuotas, si hay riesgos que se han retenido, los términos de cualquier acuerdo de garantía o el riesgo de reembolso de las cuotas. Entre los indicadores que, de forma individual, demuestran que es inadecuado el reconocimiento del total de la cuota como ingreso cuando se reciben, si se recibieron al comienzo del acuerdo, se incluyen los siguientes: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existencia de obligaciones, bien de realizar o de abstenerse de ciertas actividades importantes, que son condiciones para obtener las cuotas recibidas, y por tanto la ejecución de un acuerdo legalmente obligatorio no es el acto más relevante requerido por 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Se imponen limitaciones al uso del activo subyacente que tienen el efecto práctico de restringir y cambiar significativamente la capacidad de uso del activo para la Entidad (por ejemplo, agotarlo, venderlo o darlo en prenda como garantía colateral).</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posibilidad de reembolsar cualquier importe de la cuota y posiblemente pagar algún importe adicional no es remota. Esto sucede cuando,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activo subyacente no es un activo especial que sea necesario para que la entidad lleve a cabo sus negocios, y por ello existe una posibilidad de que la entidad pueda pagar un importe para finalizar pronto el acuerdo. 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(ii) La entidad está obligada por los términos del acuerdo, o tiene libertad total o parcial, para invertir un importe anticipado en activos que impliquen una cantidad no insignificante de riesgo (como por ejemplo, divisas, tasa de interés o riesgo de crédito). En esta circunstancia, el riesgo de que el valor de la inversión sea insuficiente para satisfacer las </w:t>
      </w:r>
      <w:r w:rsidRPr="00401DFF">
        <w:rPr>
          <w:rFonts w:ascii="Times New Roman" w:eastAsia="Times New Roman" w:hAnsi="Times New Roman" w:cs="Times New Roman"/>
          <w:sz w:val="24"/>
          <w:szCs w:val="24"/>
          <w:lang w:eastAsia="es-CO"/>
        </w:rPr>
        <w:lastRenderedPageBreak/>
        <w:t>obligaciones de pago por arrendamiento no es remoto, y por ello existe una posibilidad de que la entidad pueda ser requerida para que pague algún importe.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La cuota deberá presentarse en el estado de resultado integral basándose en su esencia y naturaleza económica.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Todos los aspectos de un acuerdo que, en esencia, no supone un arrendamiento, según la NIC 17, deberán ser considerados al determinar la información a revelar adecuada que es necesaria para comprender el acuerdo y el tratamiento contable adoptado. Una entidad deberá revelar lo siguiente, en cada periodo en el que exista un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del acuerdo que incluya: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el activo subyacente y cualquier restricción a su uso;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el periodo de vigencia y otros términos relevantes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transacciones que están relacionadas conjuntamente, incluyendo cualquier opción;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el tratamiento contable aplicado a cualquier cuota recibida, el importe reconocido como ingreso en el periodo, y la partida del estado del resultado integral en la que se ha incluido.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11 La información a revelar requerida, de acuerdo con el párrafo 10 de esta Interpretación, debe ser suministrada individualmente para cada acuerdo o de forma agregada para cada clase de acuerdos. Una clase es un grupo de acuerdos con activos subyacentes de naturaleza similar (por ejemplo, plantas generadoras de energía).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Febrero de 2000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31 de diciembre de 2001. Los cambios en las políticas contables deberán contabilizarse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NIIF 9 emitida en octubre de 2010, modificó el párrafo 7. Una entidad aplicará esas modificaciones cuando aplique la NIIF 9 emitida en octubre de 2010.</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(96) Fecha de vigencia 1 de enero de 2013 (se permite la aplicación anticipada).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(97) Las referencias al Marco Conceptual son al Marco Conceptual del IASC para la Preparación y Presentación de Estados Financieros, adoptado por el IASB en 2001. En septiembre de 2010 el IASB sustituyó el Marco Conceptual por el Marco Conceptual para </w:t>
      </w:r>
      <w:r w:rsidRPr="00401DFF">
        <w:rPr>
          <w:rFonts w:ascii="Times New Roman" w:eastAsia="Times New Roman" w:hAnsi="Times New Roman" w:cs="Times New Roman"/>
          <w:sz w:val="24"/>
          <w:szCs w:val="24"/>
          <w:lang w:eastAsia="es-CO"/>
        </w:rPr>
        <w:lastRenderedPageBreak/>
        <w:t xml:space="preserve">la Información Financiera. Los párrafos 49 a 64 son ahora los párrafos 4.4 a 4.19 del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SIC-29</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Acuerdos de Concesión de Servicios: Información a Revelar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37 </w:t>
      </w:r>
      <w:r w:rsidRPr="00401DFF">
        <w:rPr>
          <w:rFonts w:ascii="Times New Roman" w:eastAsia="Times New Roman" w:hAnsi="Times New Roman" w:cs="Times New Roman"/>
          <w:i/>
          <w:iCs/>
          <w:sz w:val="24"/>
          <w:szCs w:val="24"/>
          <w:lang w:eastAsia="es-CO"/>
        </w:rPr>
        <w:t>Provisiones, Pasivos Contingentes y Activos Contingentes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CINIIF 12 </w:t>
      </w:r>
      <w:r w:rsidRPr="00401DFF">
        <w:rPr>
          <w:rFonts w:ascii="Times New Roman" w:eastAsia="Times New Roman" w:hAnsi="Times New Roman" w:cs="Times New Roman"/>
          <w:i/>
          <w:iCs/>
          <w:sz w:val="24"/>
          <w:szCs w:val="24"/>
          <w:lang w:eastAsia="es-CO"/>
        </w:rPr>
        <w:t>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Una entidad (el operador) puede celebrar un acuerdo con otra entidad (concedente) para proporcionar servicios que dan acceso público a importantes recursos económicos y sociales. El concedente la concesión puede ser una entidad perteneciente al sector público o privado, incluyendo a los organismos gubernamentales. Ejemplos de acuerdos de concesión de servicios incluyen el tratamiento de aguas e instalaciones de suministro, autopistas, aparcamientos, túneles, puentes, aeropuertos y redes de telecomunicaciones. Ejemplos de acuerdos que no constituyen concesión de servicios incluyen una entidad que contrata externamente parte de sus servicios internos (por ejemplo, cafetería para empleados, mantenimiento de edificios, así como funciones de contabilidad y de tecnología de la información).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Un acuerdo de concesión de servicios implica, por lo general, la transferencia, del concedente de la concesión al operador, durante el periodo que dura ésta: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del derecho a proporcionar servicios que dan acceso público a importantes recursos económicos y sociales,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(b) en algunos casos, el derecho a usar ciertos activos especificados, bien sean tangibles, intangibles o financieros. </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cambio de lo anterior, el operador: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se compromete a proporcionar los servicios de acuerdo con ciertos plazos y condiciones durante el periodo de concesión,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en su caso, se compromete a devolver, al término del periodo de concesión, los derechos que ha recibido a su comienzo o que ha adquirido durante el periodo de duración de la misma.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La característica común a todos los acuerdos de concesión de servicios es que el operador recibe un derecho y asume, simultáneamente, una obligación de proporcionar servicios públicos.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El problema es qué información debe ser revelada en las notas a los estados financieros del operador y del concedente.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Ciertos detalles y revelaciones asociados con algunos acuerdos de concesión de servicios han sido ya abordados por Normas Internacionales de Información Financiera existentes (por ejemplo, la NIC 16 se aplica a las adquisiciones de partidas de propiedades, planta y equipo, la NIC 17 se aplica a los arrendamientos de activos y la NIC 38 se aplica a las adquisiciones de activos intangibles). Sin embargo, un acuerdo de concesión de servicios puede implicar la existencia de contratos pendientes de ejecución, que no han sido abordados por las Normas Internacionales de Información Financiera, a menos que los contratos sean onerosos, en cuyo caso es de aplicación la NIC 37. Por lo tanto, esta Interpretación aborda información a revelar adicional sobre los acuerdos de concesión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Todos los aspectos de un acuerdo de concesión de servicios deberán ser considerados a la hora de determinar las revelaciones apropiadas en las notas a los estados financieros. Un operador y un concedente deberán revelar lo siguiente, en cada periodo: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una descripción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los términos relevantes del acuerdo, que pueden afectar al importe, calendario y certidumbre de los flujos de efectivo futuros (por ejemplo, el periodo de la concesión, fechas de revisión de precios y las bases sobre las que se revisan los precios o se renegocian las condiciones);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la naturaleza y alcance (esto es, la cantidad, periodo de tiempo o importe, según lo que resulte adecuado) de: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 los derechos a usar determinados activos;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 las obligaciones de proporcionar o los derechos de recibir el suministro de servicios;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(iii) las obligaciones de adquirir o construir elementos de las propiedades, planta y equipo;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(iv) las obligaciones de entregar o los derechos a recibir determinados activos al término del periodo de concesión;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 las opciones de renovación y terminación,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(vi) otros derechos y obligaciones (por ejemplo, una inspección mayor);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los cambios en el acuerdo que hayan ocurrido durante el periodo;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cómo el acuerdo de servicios ha sido clasificado.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6A Un operador revelará el importe de ingresos de actividades ordinarias y los resultados reconocidos en el periodo por los servicios de construcción intercambiados por un activo financiero o un activo intangible.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Las informaciones a revelar exigidas, de acuerdo con el párrafo 6 de esta Interpretación, deberán ser suministradas en forma individual para cada acuerdo de concesión de servicios, o bien de manera agregada para cada clase de acuerdos de concesión. Una clase es un grupo de acuerdos de concesión de servicios de naturaleza similar (por ejemplo, cobro de peajes, telecomunicaciones y servicios de tratamiento de aguas).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Mayo de 2001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31 de diciembre de 2001.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Una entidad aplicara la modificación en los párrafos 6(e) y 6A para los periodos anuales que comiencen a partir del 1 de enero de 2008. Si una entidad aplica la CINIIF 12 a un periodo anterior, esta modificación debe aplicarse para dicho periodo anterior.</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SIC-31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Ingresos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Permutas de Servicios de Publicidad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8 </w:t>
      </w:r>
      <w:r w:rsidRPr="00401DFF">
        <w:rPr>
          <w:rFonts w:ascii="Times New Roman" w:eastAsia="Times New Roman" w:hAnsi="Times New Roman" w:cs="Times New Roman"/>
          <w:i/>
          <w:iCs/>
          <w:sz w:val="24"/>
          <w:szCs w:val="24"/>
          <w:lang w:eastAsia="es-CO"/>
        </w:rPr>
        <w:t>Políticas Contables, Cambios en las Estimaciones Contables y Errores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18 </w:t>
      </w:r>
      <w:r w:rsidRPr="00401DFF">
        <w:rPr>
          <w:rFonts w:ascii="Times New Roman" w:eastAsia="Times New Roman" w:hAnsi="Times New Roman" w:cs="Times New Roman"/>
          <w:i/>
          <w:iCs/>
          <w:sz w:val="24"/>
          <w:szCs w:val="24"/>
          <w:lang w:eastAsia="es-CO"/>
        </w:rPr>
        <w:t>Ingresos de Actividades Ordinarias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1 Una entidad (Vendedor) puede participar en una permuta para proporcionar servicios publicitarios a cambio de recibir otros servicios publicitarios de su cliente (Cliente). La publicidad puede ser mostrada en Internet o en carteles publicitarios, emitida en televisión o radio, difundida a través de revistas o periódicos, o presentada a través de otros medios.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En algunos casos, no se intercambian ni efectivo ni otras contrapartidas entre las entidades participantes. En otros casos, se pueden intercambiar importes iguales o aproximadamente iguales de efectivo u otras contrapartidas.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Según la NIC 18 un Vendedor que proporciona servicios publicitarios, en el curso de sus actividades ordinarias, reconocerá los ingresos por permuta de servicios de publicidad cuando, entre otros criterios, los servicios intercambiados sean diferentes (párrafo 12 de la NIC 18) y el importe de ingresos pueda ser medido fiablemente [párrafo 20(a) de la NIC 18]. Esta Interpretación sólo se aplica a un intercambio de servicios publicitarios diferentes. Un intercambio de servicios publicitarios similares no es una transacción que genere ingresos de actividades ordinarias según la NIC 18.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El problema planteado es bajo qué circunstancias puede un Vendedor medir fiablemente los ingresos por el valor razonable de los servicios publicitarios recibidos o proporcionados en la permuta.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5 Los ingresos de actividades ordinarias por una permuta de servicios publicitarios no pueden ser medidos fiablemente según el valor razonable de los servicios publicitarios recibidos. Sin embargo, el Vendedor puede medir de forma fiable los ingresos de actividades ordinarias según el valor razonable de los servicios publicitarios que proporciona en contraprestación, únicamente por referencia a transacciones que no sean permutas, y que: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conlleven publicidad similar a la publicidad permutada;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sucedan frecuentemente;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(c) representen un número significativo de transacciones e importe cuando se las compara con todas las transacciones que proporcionan publicidad similar a la permutada;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involucren efectivo u otra forma de contrapartida (por ejemplo, títulos cotizados, activos no monetarios, y otros servicios) que tenga un valor razonable que se pueda medir de forma fiable;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 no se realicen con la misma contraparte de la permuta.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Mayo de 2001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lastRenderedPageBreak/>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31 de diciembre de 2001. Los cambios en las políticas contables deberán contabilizarse de acuerdo con los requerimientos de la NIC 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Interpretación SIC-32</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i/>
          <w:iCs/>
          <w:sz w:val="24"/>
          <w:szCs w:val="24"/>
          <w:lang w:eastAsia="es-CO"/>
        </w:rPr>
        <w:t>Activos Intangibles</w:t>
      </w:r>
      <w:r w:rsidRPr="00401DFF">
        <w:rPr>
          <w:rFonts w:ascii="Times New Roman" w:eastAsia="Times New Roman" w:hAnsi="Times New Roman" w:cs="Times New Roman"/>
          <w:b/>
          <w:bCs/>
          <w:sz w:val="24"/>
          <w:szCs w:val="24"/>
          <w:lang w:eastAsia="es-CO"/>
        </w:rPr>
        <w:t>–</w:t>
      </w:r>
      <w:r w:rsidRPr="00401DFF">
        <w:rPr>
          <w:rFonts w:ascii="Times New Roman" w:eastAsia="Times New Roman" w:hAnsi="Times New Roman" w:cs="Times New Roman"/>
          <w:b/>
          <w:bCs/>
          <w:i/>
          <w:iCs/>
          <w:sz w:val="24"/>
          <w:szCs w:val="24"/>
          <w:lang w:eastAsia="es-CO"/>
        </w:rPr>
        <w:t>Costos de sitios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 </w:t>
      </w:r>
      <w:r w:rsidRPr="00401DFF">
        <w:rPr>
          <w:rFonts w:ascii="Times New Roman" w:eastAsia="Times New Roman" w:hAnsi="Times New Roman" w:cs="Times New Roman"/>
          <w:i/>
          <w:iCs/>
          <w:sz w:val="24"/>
          <w:szCs w:val="24"/>
          <w:lang w:eastAsia="es-CO"/>
        </w:rPr>
        <w:t>Presentación de Estados Financieros</w:t>
      </w:r>
      <w:r w:rsidRPr="00401DFF">
        <w:rPr>
          <w:rFonts w:ascii="Times New Roman" w:eastAsia="Times New Roman" w:hAnsi="Times New Roman" w:cs="Times New Roman"/>
          <w:sz w:val="24"/>
          <w:szCs w:val="24"/>
          <w:lang w:eastAsia="es-CO"/>
        </w:rPr>
        <w:t xml:space="preserve"> (revisada en 2007)</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2 </w:t>
      </w:r>
      <w:r w:rsidRPr="00401DFF">
        <w:rPr>
          <w:rFonts w:ascii="Times New Roman" w:eastAsia="Times New Roman" w:hAnsi="Times New Roman" w:cs="Times New Roman"/>
          <w:i/>
          <w:iCs/>
          <w:sz w:val="24"/>
          <w:szCs w:val="24"/>
          <w:lang w:eastAsia="es-CO"/>
        </w:rPr>
        <w:t>Inventarios</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11 </w:t>
      </w:r>
      <w:r w:rsidRPr="00401DFF">
        <w:rPr>
          <w:rFonts w:ascii="Times New Roman" w:eastAsia="Times New Roman" w:hAnsi="Times New Roman" w:cs="Times New Roman"/>
          <w:i/>
          <w:iCs/>
          <w:sz w:val="24"/>
          <w:szCs w:val="24"/>
          <w:lang w:eastAsia="es-CO"/>
        </w:rPr>
        <w:t>Contratos de Construcción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16 </w:t>
      </w:r>
      <w:r w:rsidRPr="00401DFF">
        <w:rPr>
          <w:rFonts w:ascii="Times New Roman" w:eastAsia="Times New Roman" w:hAnsi="Times New Roman" w:cs="Times New Roman"/>
          <w:i/>
          <w:iCs/>
          <w:sz w:val="24"/>
          <w:szCs w:val="24"/>
          <w:lang w:eastAsia="es-CO"/>
        </w:rPr>
        <w:t>Propiedades, Planta y Equipo</w:t>
      </w:r>
      <w:r w:rsidRPr="00401DFF">
        <w:rPr>
          <w:rFonts w:ascii="Times New Roman" w:eastAsia="Times New Roman" w:hAnsi="Times New Roman" w:cs="Times New Roman"/>
          <w:sz w:val="24"/>
          <w:szCs w:val="24"/>
          <w:lang w:eastAsia="es-CO"/>
        </w:rPr>
        <w:t xml:space="preserve"> (revisada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17 </w:t>
      </w:r>
      <w:r w:rsidRPr="00401DFF">
        <w:rPr>
          <w:rFonts w:ascii="Times New Roman" w:eastAsia="Times New Roman" w:hAnsi="Times New Roman" w:cs="Times New Roman"/>
          <w:i/>
          <w:iCs/>
          <w:sz w:val="24"/>
          <w:szCs w:val="24"/>
          <w:lang w:eastAsia="es-CO"/>
        </w:rPr>
        <w:t xml:space="preserve">Arrendamientos </w:t>
      </w:r>
      <w:r w:rsidRPr="00401DFF">
        <w:rPr>
          <w:rFonts w:ascii="Times New Roman" w:eastAsia="Times New Roman" w:hAnsi="Times New Roman" w:cs="Times New Roman"/>
          <w:sz w:val="24"/>
          <w:szCs w:val="24"/>
          <w:lang w:eastAsia="es-CO"/>
        </w:rPr>
        <w:t>(revisada en 2003)</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36 </w:t>
      </w:r>
      <w:r w:rsidRPr="00401DFF">
        <w:rPr>
          <w:rFonts w:ascii="Times New Roman" w:eastAsia="Times New Roman" w:hAnsi="Times New Roman" w:cs="Times New Roman"/>
          <w:i/>
          <w:iCs/>
          <w:sz w:val="24"/>
          <w:szCs w:val="24"/>
          <w:lang w:eastAsia="es-CO"/>
        </w:rPr>
        <w:t>Deterioro del Valor de los Activos</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 NIC 38 </w:t>
      </w:r>
      <w:r w:rsidRPr="00401DFF">
        <w:rPr>
          <w:rFonts w:ascii="Times New Roman" w:eastAsia="Times New Roman" w:hAnsi="Times New Roman" w:cs="Times New Roman"/>
          <w:i/>
          <w:iCs/>
          <w:sz w:val="24"/>
          <w:szCs w:val="24"/>
          <w:lang w:eastAsia="es-CO"/>
        </w:rPr>
        <w:t>Activos Intangibles</w:t>
      </w:r>
      <w:r w:rsidRPr="00401DFF">
        <w:rPr>
          <w:rFonts w:ascii="Times New Roman" w:eastAsia="Times New Roman" w:hAnsi="Times New Roman" w:cs="Times New Roman"/>
          <w:sz w:val="24"/>
          <w:szCs w:val="24"/>
          <w:lang w:eastAsia="es-CO"/>
        </w:rPr>
        <w:t xml:space="preserve"> (revisada en 2004)</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NIIF 3</w:t>
      </w:r>
      <w:r w:rsidRPr="00401DFF">
        <w:rPr>
          <w:rFonts w:ascii="Times New Roman" w:eastAsia="Times New Roman" w:hAnsi="Times New Roman" w:cs="Times New Roman"/>
          <w:i/>
          <w:iCs/>
          <w:sz w:val="24"/>
          <w:szCs w:val="24"/>
          <w:lang w:eastAsia="es-CO"/>
        </w:rPr>
        <w:t xml:space="preserve"> Combinaciones de Negocios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Problema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 Una entidad puede incurrir en desembolsos internos para el desarrollo y mantenimiento de su sitio web, ya sea para el acceso interno o externo. Un sitio web diseñado para el acceso externo puede ser usado para varios propósitos, tales como la promoción y el anuncio de los productos y servicios de la entidad, el suministro servicios electrónicos o la venta de productos y servicios. Un sitio web diseñado para el acceso interno puede ser usado para almacenar información sobre las políticas de la compañía y los detalles de clientes, así como para la búsqueda de información relevante.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2 Las fases para el desarrollo de un sitio web pueden describirse como sigue:</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Planificación — incluye estudios de viabilidad, definición de objetivos y especificaciones, evaluación de alternativas y selección de preferencias.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Desarrollo de la aplicación y la infraestructura — incluye la obtención de un nombre de dominio, adquisición y desarrollo de equipo de cómputo y aplicaciones informáticas operativas, instalación de las aplicaciones desarrolladas y la realización de pruebas de fiabilidad.</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(c) Desarrollo del diseño gráfico — incluye el diseño de la apariencia de las páginas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Desarrollo del contenido — incluye la creación, compra, preparación y carga de la información, de carácter gráfico o de texto, en el sitio web antes de completar el desarrollo del mismo. Esta información puede, o bien ser almacenada en bases de datos independientes, que se integran en (o puede accederse a ellas desde) el sitio web, o bien ser codificada directamente en las páginas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3 Una vez que el desarrollo del sitio web se ha completado, comienza la fase operativa. Durante esta fase, una entidad mantiene y mejora las aplicaciones, la infraestructura, el diseño gráfico y el contenido del sitio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4 Al contabilizar los desembolsos internos para desarrollar y operar un sitio web propiedad de una entidad para su acceso interno o externo, los problemas que se plantean son:</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si el sitio web es un activo intangible generado internamente, que está sujeto a los requerimientos de la NIC 38; y</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cuál es el tratamiento contable adecuado de tales desembolsos.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5 Esta Interpretación no se aplica a los desembolsos para la adquisición, desarrollo y operación del equipo de cómputo (por ejemplo, servidores web, servidores de plataforma, servidores de producción y conexiones a Internet) de un sitio web. Tales desembolsos se contabilizarán según la NIC 16. Adicionalmente, cuando una entidad incurre en desembolsos para obtener el servicio de alojamiento de Internet del sitio web de la entidad, los desembolsos se reconocerán como gastos cuando se reciban los servicios, según el párrafo 88 de la NIC 1 y el </w:t>
      </w:r>
      <w:r w:rsidRPr="00401DFF">
        <w:rPr>
          <w:rFonts w:ascii="Times New Roman" w:eastAsia="Times New Roman" w:hAnsi="Times New Roman" w:cs="Times New Roman"/>
          <w:i/>
          <w:iCs/>
          <w:sz w:val="24"/>
          <w:szCs w:val="24"/>
          <w:lang w:eastAsia="es-CO"/>
        </w:rPr>
        <w:t>Marco Conceptual</w:t>
      </w:r>
      <w:hyperlink r:id="rId103" w:anchor="bf1febdafbb89624f78859dd427c3f1abf6nf9" w:tgtFrame="_self" w:history="1">
        <w:r w:rsidRPr="00401DFF">
          <w:rPr>
            <w:rFonts w:ascii="Times New Roman" w:eastAsia="Times New Roman" w:hAnsi="Times New Roman" w:cs="Times New Roman"/>
            <w:color w:val="0000FF"/>
            <w:sz w:val="20"/>
            <w:szCs w:val="20"/>
            <w:u w:val="single"/>
            <w:vertAlign w:val="superscript"/>
            <w:lang w:eastAsia="es-CO"/>
          </w:rPr>
          <w:t>(98)</w:t>
        </w:r>
      </w:hyperlink>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6 La NIC 38 no es de aplicación a los activos intangibles mantenidos por una entidad para su venta en el curso habitual del negocio (véase la NIC 2, y la NIC 11) ni a los arrendamientos que caen dentro del alcance de la NIC 17. Consecuentemente, esta Interpretación no se aplica a los desembolsos para desarrollar u operar un sitio web (o los programas de cómputo de un sitio web) destinado a ser vendido a otra entidad. Cuando un sitio web es arrendado a través de un arrendamiento operativo, el arrendador aplicará esta Interpretación. Cuando un sitio web es arrendado a través de un arrendamiento financiero, el arrendatario aplicará esta Interpretación después del reconocimiento inicial del activo arrendado.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7 El sitio web, propiedad de una entidad, que surge del desarrollo y está disponible para acceso interno o externo, es un activo intangible generado internamente, que está sujeto a los requerimientos de la NIC 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8 Un sitio web desarrollado debe ser reconocido como un activo intangible si, y sólo si, además de cumplirse los requisitos generales descritos en el párrafo 21 de la NIC 38 para el </w:t>
      </w:r>
      <w:r w:rsidRPr="00401DFF">
        <w:rPr>
          <w:rFonts w:ascii="Times New Roman" w:eastAsia="Times New Roman" w:hAnsi="Times New Roman" w:cs="Times New Roman"/>
          <w:sz w:val="24"/>
          <w:szCs w:val="24"/>
          <w:lang w:eastAsia="es-CO"/>
        </w:rPr>
        <w:lastRenderedPageBreak/>
        <w:t>reconocimiento y medición inicial, la entidad es capaz de satisfacer las exigencias contenidas en el párrafo 57 de la NIC 38. En particular, una entidad ha de ser capaz de satisfacer el requisito consistente en demostrar cómo puede el sitio web en cuestión generar beneficios económicos futuros probables, de acuerdo con el párrafo 57(d) de la NIC 38, lo que sucederá, por ejemplo, si el sitio web es capaz de generar ingresos de actividades ordinarias, entre los que se incluyen los ingresos de actividades ordinarias directos procedentes de la generación de pedidos. La entidad no será capaz de demostrar la generación de beneficios económicos futuros probables, en el caso de que el sitio web se haya desarrollado sólo, o fundamentalmente, para promocionar y anunciar sus propios productos y servicios y, consecuentemente, todos los desembolsos realizados para el desarrollo de dicho sitio web deben ser reconocidos como un gasto cuando se incurra en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9 Todo desembolso interno, hecho para desarrollar y operar el sitio web propio de la entidad, debe ser contabilizado de acuerdo con la NIC 38. Deberá evaluarse tanto la naturaleza de cada una de las actividades por las que se incurre el desembolso (por ejemplo, adiestramiento de los empleados y mantenimiento del sitio web), como la fase de desarrollo o posdesarrollo en que se encuentre el sitio web, con el fin de determinar el tratamiento contable adecuado (en los ejemplos ilustrativos que acompañan a esta Interpretación se proporcionan guías adicionales). Por ejemplo: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(a) La fase de Planificación es de naturaleza similar a la fase de investigación, según se contempla en los párrafos 54 a 56 de la NIC 38. Los desembolsos incurridos en esta fase deberán ser reconocidos como gastos cuando se incurra en ellos.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(b) La fase de Desarrollo de la Infraestructura y de la Aplicación, la fase de Diseño Gráfico y la fase de Desarrollo del Contenido, son de naturaleza similar a la fase de desarrollo, según se contempla en los párrafos 57 a 64 de la NIC 38 en la medida que tal contenido sea desarrollado para propósitos distintos de la promoción y el anuncio de los productos y servicios propios de la entidad. Los desembolsos incurridos en estas fases deben ser incluidos en el costo del sitio web que se reconoce como un activo intangible, de acuerdo con el párrafo 8 de esta Interpretación cuando el desembolso pueda ser asignado directamente, o distribuido utilizando criterios razonables y coherentes, a la actividad de preparación del sitio web para el uso al que va destinado. Por ejemplo, los desembolsos realizados para comprar o crear contenido (distinto de los contenidos que anuncian y promocionan los productos y servicios de la propia entidad) específicamente para el sitio web, o los desembolsos que permiten el uso del contenido del sitio web (por ejemplo, el costo de adquirir una licencia para reproducir), deben ser incluidos en el costo de desarrollo cuando se cumpla la anterior condición. Sin embargo, de acuerdo con el párrafo 71 de la NIC 38, los desembolsos relativos a una partida intangible, que inicialmente fue reconocida como un gasto en estados financieros previos, no deben ser reconocidos como parte del costo de ningún activo intangible en una fecha posterior (por ejemplo, cuando los costos del derecho de autor han sido completamente amortizados, y el contenido es suministrado posteriormente a través del sitio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(c) Los desembolsos realizados en la fase de Desarrollo del Contenido, en la medida que tal contenido sea desarrollado para anunciar y promover los productos y servicios de la propia </w:t>
      </w:r>
      <w:r w:rsidRPr="00401DFF">
        <w:rPr>
          <w:rFonts w:ascii="Times New Roman" w:eastAsia="Times New Roman" w:hAnsi="Times New Roman" w:cs="Times New Roman"/>
          <w:sz w:val="24"/>
          <w:szCs w:val="24"/>
          <w:lang w:eastAsia="es-CO"/>
        </w:rPr>
        <w:lastRenderedPageBreak/>
        <w:t>entidad (por ejemplo, fotografías digitales de productos), deben ser reconocidos como gastos cuando se incurra en ellos, de acuerdo con el párrafo 69(c) de la NIC 38. Por ejemplo, al contabilizar los desembolsos realizados por los servicios profesionales consistentes en tomar las fotografías digitales de los productos de una entidad y para mejorar su exhibición, los desembolsos deben ser reconocidos como gastos a medida que se van recibiendo los servicios profesionales, no cuando las fotografías digitales se exhiben en el sitio web.</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(d) La fase de Operación comienza una vez que el desarrollo del sitio web esté completo. Los desembolsos acometidos en esta fase se reconocerán como un gasto cuando se incurra en ellos, a menos que satisfagan los criterios del párrafo 18 de la NIC 38.</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10 Con posterioridad al reconocimiento inicial, un sitio web que se ha reconocido como un activo intangible según el párrafo 8 de esta Interpretación, debe ser medido mediante la aplicación de los requisitos contenidos en los párrafos 72 a 87 de la NIC 38. La mejor estimación de la vida útil de un sitio web debe ser un intervalo corto de tiempo.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del acuerdo</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Mayo de 2001</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b/>
          <w:bCs/>
          <w:sz w:val="24"/>
          <w:szCs w:val="24"/>
          <w:lang w:eastAsia="es-CO"/>
        </w:rPr>
        <w:t>Fecha de vigencia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Esta Interpretación tendrá vigencia a partir del 25 de marzo de 2002. Los efectos de la adopción de esta Interpretación deberán ser contabilizados según las disposiciones transitorias contenidas en la NIC 38 que fue emitida en 1998. Por tanto, cuando un sitio web no satisfaga los criterios de reconocimiento como un activo intangible, pero haya sido reconocido previamente como un activo, la partida deberá ser dada de baja cuando esta Interpretación entre en vigor. Cuando exista un sitio web y los desembolsos para su desarrollo satisfagan los criterios de reconocimiento de un activo intangible, pero no haya sido reconocido previamente como un activo, tampoco procederá reconocer el activo intangible cuando esta Interpretación entre en vigor. Sin embargo, cuando exista la partida correspondiente a un sitio web y los desembolsos para su desarrollo satisfagan los criterios de reconocimiento como activo intangible, y se diera el caso de haber sido reconocido previamente como un activo y medido al costo, se considerará que el importe inicialmente reconocido ha sido determinado de forma adecuada.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NIC 1 (revisada en 2007) modificó la terminología utilizada en las NIIF. Además modificó el párrafo 5. Una entidad aplicará esas modificaciones a periodos anuales que comiencen a partir del 1 de enero de 2009. Si una entidad aplica la NIC 1 (revisada en 2007) a periodos anteriores, las modificaciones se aplicarán también a dichos periodos.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 xml:space="preserve">(98) Las referencias al </w:t>
      </w:r>
      <w:r w:rsidRPr="00401DFF">
        <w:rPr>
          <w:rFonts w:ascii="Times New Roman" w:eastAsia="Times New Roman" w:hAnsi="Times New Roman" w:cs="Times New Roman"/>
          <w:i/>
          <w:iCs/>
          <w:sz w:val="24"/>
          <w:szCs w:val="24"/>
          <w:lang w:eastAsia="es-CO"/>
        </w:rPr>
        <w:t>Marco Conceptual</w:t>
      </w:r>
      <w:r w:rsidRPr="00401DFF">
        <w:rPr>
          <w:rFonts w:ascii="Times New Roman" w:eastAsia="Times New Roman" w:hAnsi="Times New Roman" w:cs="Times New Roman"/>
          <w:sz w:val="24"/>
          <w:szCs w:val="24"/>
          <w:lang w:eastAsia="es-CO"/>
        </w:rPr>
        <w:t xml:space="preserve"> son al </w:t>
      </w:r>
      <w:r w:rsidRPr="00401DFF">
        <w:rPr>
          <w:rFonts w:ascii="Times New Roman" w:eastAsia="Times New Roman" w:hAnsi="Times New Roman" w:cs="Times New Roman"/>
          <w:i/>
          <w:iCs/>
          <w:sz w:val="24"/>
          <w:szCs w:val="24"/>
          <w:lang w:eastAsia="es-CO"/>
        </w:rPr>
        <w:t>Marco Conceptual del IASC para la Preparación y Presentación de Estados Financieros,</w:t>
      </w:r>
      <w:r w:rsidRPr="00401DFF">
        <w:rPr>
          <w:rFonts w:ascii="Times New Roman" w:eastAsia="Times New Roman" w:hAnsi="Times New Roman" w:cs="Times New Roman"/>
          <w:sz w:val="24"/>
          <w:szCs w:val="24"/>
          <w:lang w:eastAsia="es-CO"/>
        </w:rPr>
        <w:t xml:space="preserve"> adoptado por el IASB en 2001. En septiembre de 2010 el IASB sustituyó el </w:t>
      </w:r>
      <w:r w:rsidRPr="00401DFF">
        <w:rPr>
          <w:rFonts w:ascii="Times New Roman" w:eastAsia="Times New Roman" w:hAnsi="Times New Roman" w:cs="Times New Roman"/>
          <w:i/>
          <w:iCs/>
          <w:sz w:val="24"/>
          <w:szCs w:val="24"/>
          <w:lang w:eastAsia="es-CO"/>
        </w:rPr>
        <w:t xml:space="preserve">Marco Conceptual </w:t>
      </w:r>
      <w:r w:rsidRPr="00401DFF">
        <w:rPr>
          <w:rFonts w:ascii="Times New Roman" w:eastAsia="Times New Roman" w:hAnsi="Times New Roman" w:cs="Times New Roman"/>
          <w:sz w:val="24"/>
          <w:szCs w:val="24"/>
          <w:lang w:eastAsia="es-CO"/>
        </w:rPr>
        <w:t xml:space="preserve">por el </w:t>
      </w:r>
      <w:r w:rsidRPr="00401DFF">
        <w:rPr>
          <w:rFonts w:ascii="Times New Roman" w:eastAsia="Times New Roman" w:hAnsi="Times New Roman" w:cs="Times New Roman"/>
          <w:i/>
          <w:iCs/>
          <w:sz w:val="24"/>
          <w:szCs w:val="24"/>
          <w:lang w:eastAsia="es-CO"/>
        </w:rPr>
        <w:t>Marco Conceptual para la Información Financiera</w:t>
      </w:r>
      <w:r w:rsidRPr="00401DFF">
        <w:rPr>
          <w:rFonts w:ascii="Times New Roman" w:eastAsia="Times New Roman" w:hAnsi="Times New Roman" w:cs="Times New Roman"/>
          <w:sz w:val="24"/>
          <w:szCs w:val="24"/>
          <w:lang w:eastAsia="es-CO"/>
        </w:rPr>
        <w:t>.</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lastRenderedPageBreak/>
        <w:t>Estas Normas Internacionales de Información Financiera son propiedad de la Fundación IFRS. En el caso de que estas normas hayan sido modificadas para facilitar su incorporación a la legislación nacional, esta modificación se indicará con claridad en el texto de la normas.</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El texto autorizado de las Normas Internacionales de Información Financiera y otras publicaciones del IASB, es el emitido por el IASB en idioma inglés. Pueden obtenerse copias en la Fundación IFRS. Para consultar las cuestiones relativas a los derechos de propiedad y copia, dirigirse a:</w:t>
      </w:r>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val="en-US" w:eastAsia="es-CO"/>
        </w:rPr>
        <w:t xml:space="preserve">IFRS Foundation Publications Department, 30 Cannon Street, London EC4M 6XH, United Kingdom. </w:t>
      </w:r>
      <w:r w:rsidRPr="00401DFF">
        <w:rPr>
          <w:rFonts w:ascii="Times New Roman" w:eastAsia="Times New Roman" w:hAnsi="Times New Roman" w:cs="Times New Roman"/>
          <w:sz w:val="24"/>
          <w:szCs w:val="24"/>
          <w:lang w:eastAsia="es-CO"/>
        </w:rPr>
        <w:t xml:space="preserve">Teléfono: +44 (0)20 7246 6410 Fax: +44(0)20 7246 6411 Web: </w:t>
      </w:r>
      <w:hyperlink r:id="rId104" w:tgtFrame="_blank" w:history="1">
        <w:r w:rsidRPr="00401DFF">
          <w:rPr>
            <w:rFonts w:ascii="Times New Roman" w:eastAsia="Times New Roman" w:hAnsi="Times New Roman" w:cs="Times New Roman"/>
            <w:color w:val="0000FF"/>
            <w:sz w:val="24"/>
            <w:szCs w:val="24"/>
            <w:u w:val="single"/>
            <w:lang w:eastAsia="es-CO"/>
          </w:rPr>
          <w:t>www.ifrs.org</w:t>
        </w:r>
      </w:hyperlink>
    </w:p>
    <w:p w:rsidR="00401DFF" w:rsidRPr="00401DFF" w:rsidRDefault="00401DFF" w:rsidP="00B11F50">
      <w:pPr>
        <w:spacing w:before="100" w:beforeAutospacing="1" w:after="100" w:afterAutospacing="1" w:line="240" w:lineRule="auto"/>
        <w:rPr>
          <w:rFonts w:ascii="Times New Roman" w:eastAsia="Times New Roman" w:hAnsi="Times New Roman" w:cs="Times New Roman"/>
          <w:sz w:val="24"/>
          <w:szCs w:val="24"/>
          <w:lang w:eastAsia="es-CO"/>
        </w:rPr>
      </w:pPr>
      <w:r w:rsidRPr="00401DFF">
        <w:rPr>
          <w:rFonts w:ascii="Times New Roman" w:eastAsia="Times New Roman" w:hAnsi="Times New Roman" w:cs="Times New Roman"/>
          <w:sz w:val="24"/>
          <w:szCs w:val="24"/>
          <w:lang w:eastAsia="es-CO"/>
        </w:rPr>
        <w:t>La Fundación IFRS ha renunciado a reclamar los derechos de autor sobre las Normas Internacionales de Información Financiera en el territorio de Colombia en idioma español solo. La Fundación IFRS se reserva todos los derechos fuera del territorio anteriormente mencionado.</w:t>
      </w:r>
      <w:bookmarkStart w:id="0" w:name="_GoBack"/>
      <w:bookmarkEnd w:id="0"/>
    </w:p>
    <w:sectPr w:rsidR="00401DFF" w:rsidRPr="00401DF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3C7C90"/>
    <w:multiLevelType w:val="multilevel"/>
    <w:tmpl w:val="E99CA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FF"/>
    <w:rsid w:val="00000F56"/>
    <w:rsid w:val="00003F83"/>
    <w:rsid w:val="00005D3F"/>
    <w:rsid w:val="000077FA"/>
    <w:rsid w:val="000103B3"/>
    <w:rsid w:val="0001070E"/>
    <w:rsid w:val="0001108B"/>
    <w:rsid w:val="000158C6"/>
    <w:rsid w:val="00015B23"/>
    <w:rsid w:val="000171A2"/>
    <w:rsid w:val="0001735F"/>
    <w:rsid w:val="000201B6"/>
    <w:rsid w:val="000201BD"/>
    <w:rsid w:val="00020DDB"/>
    <w:rsid w:val="000254FD"/>
    <w:rsid w:val="00027A53"/>
    <w:rsid w:val="00032412"/>
    <w:rsid w:val="000345D4"/>
    <w:rsid w:val="00037320"/>
    <w:rsid w:val="0004121C"/>
    <w:rsid w:val="00044FB9"/>
    <w:rsid w:val="00050BFB"/>
    <w:rsid w:val="00061CD7"/>
    <w:rsid w:val="00063A84"/>
    <w:rsid w:val="00063AF6"/>
    <w:rsid w:val="0006437C"/>
    <w:rsid w:val="00065975"/>
    <w:rsid w:val="00065DF6"/>
    <w:rsid w:val="000679C1"/>
    <w:rsid w:val="000723CB"/>
    <w:rsid w:val="0007390E"/>
    <w:rsid w:val="00073A40"/>
    <w:rsid w:val="000801BB"/>
    <w:rsid w:val="00085DE9"/>
    <w:rsid w:val="00086D6A"/>
    <w:rsid w:val="00087323"/>
    <w:rsid w:val="00090484"/>
    <w:rsid w:val="00092E72"/>
    <w:rsid w:val="00093723"/>
    <w:rsid w:val="00093972"/>
    <w:rsid w:val="00093A2E"/>
    <w:rsid w:val="0009401C"/>
    <w:rsid w:val="000960D4"/>
    <w:rsid w:val="000A1C3B"/>
    <w:rsid w:val="000A324B"/>
    <w:rsid w:val="000A3D03"/>
    <w:rsid w:val="000A5FF5"/>
    <w:rsid w:val="000A7F07"/>
    <w:rsid w:val="000B0008"/>
    <w:rsid w:val="000B0D24"/>
    <w:rsid w:val="000B4641"/>
    <w:rsid w:val="000B6F84"/>
    <w:rsid w:val="000C3185"/>
    <w:rsid w:val="000C68C2"/>
    <w:rsid w:val="000D0A13"/>
    <w:rsid w:val="000D1F86"/>
    <w:rsid w:val="000D551A"/>
    <w:rsid w:val="000D5B00"/>
    <w:rsid w:val="000E171A"/>
    <w:rsid w:val="000E199C"/>
    <w:rsid w:val="000E206B"/>
    <w:rsid w:val="000E2DB7"/>
    <w:rsid w:val="000E7305"/>
    <w:rsid w:val="000F2372"/>
    <w:rsid w:val="000F46B8"/>
    <w:rsid w:val="00100336"/>
    <w:rsid w:val="00100AB8"/>
    <w:rsid w:val="00113EEE"/>
    <w:rsid w:val="001159BA"/>
    <w:rsid w:val="0011775B"/>
    <w:rsid w:val="00117B00"/>
    <w:rsid w:val="00117C38"/>
    <w:rsid w:val="001203B5"/>
    <w:rsid w:val="00121329"/>
    <w:rsid w:val="0013441F"/>
    <w:rsid w:val="00141781"/>
    <w:rsid w:val="00141DF8"/>
    <w:rsid w:val="00143006"/>
    <w:rsid w:val="0014397A"/>
    <w:rsid w:val="0014591D"/>
    <w:rsid w:val="001522AE"/>
    <w:rsid w:val="00153440"/>
    <w:rsid w:val="0015344C"/>
    <w:rsid w:val="00153B27"/>
    <w:rsid w:val="0015679F"/>
    <w:rsid w:val="00161615"/>
    <w:rsid w:val="00161CC0"/>
    <w:rsid w:val="0016239E"/>
    <w:rsid w:val="00162D89"/>
    <w:rsid w:val="00163C65"/>
    <w:rsid w:val="00164AF5"/>
    <w:rsid w:val="001652AF"/>
    <w:rsid w:val="001728F5"/>
    <w:rsid w:val="00174916"/>
    <w:rsid w:val="0018257C"/>
    <w:rsid w:val="00185354"/>
    <w:rsid w:val="00186516"/>
    <w:rsid w:val="00187B71"/>
    <w:rsid w:val="00192307"/>
    <w:rsid w:val="00193AB8"/>
    <w:rsid w:val="00194220"/>
    <w:rsid w:val="00195FD8"/>
    <w:rsid w:val="00196B26"/>
    <w:rsid w:val="001A2234"/>
    <w:rsid w:val="001A3303"/>
    <w:rsid w:val="001A5508"/>
    <w:rsid w:val="001B10F3"/>
    <w:rsid w:val="001B170B"/>
    <w:rsid w:val="001B4093"/>
    <w:rsid w:val="001B4AD2"/>
    <w:rsid w:val="001B7799"/>
    <w:rsid w:val="001C0CD5"/>
    <w:rsid w:val="001C2989"/>
    <w:rsid w:val="001C4A6B"/>
    <w:rsid w:val="001C7242"/>
    <w:rsid w:val="001C7B04"/>
    <w:rsid w:val="001C7CC1"/>
    <w:rsid w:val="001D2DF6"/>
    <w:rsid w:val="001D394D"/>
    <w:rsid w:val="001D5E2B"/>
    <w:rsid w:val="001E2606"/>
    <w:rsid w:val="001E48DB"/>
    <w:rsid w:val="001E549C"/>
    <w:rsid w:val="001E5953"/>
    <w:rsid w:val="001F0313"/>
    <w:rsid w:val="001F16A7"/>
    <w:rsid w:val="001F1BD9"/>
    <w:rsid w:val="001F387F"/>
    <w:rsid w:val="00200FFF"/>
    <w:rsid w:val="002025AC"/>
    <w:rsid w:val="00202F3A"/>
    <w:rsid w:val="00203881"/>
    <w:rsid w:val="00204542"/>
    <w:rsid w:val="00205B7E"/>
    <w:rsid w:val="002152E3"/>
    <w:rsid w:val="00217000"/>
    <w:rsid w:val="002172CA"/>
    <w:rsid w:val="00217A37"/>
    <w:rsid w:val="00221839"/>
    <w:rsid w:val="002229F7"/>
    <w:rsid w:val="002254B8"/>
    <w:rsid w:val="00226A1D"/>
    <w:rsid w:val="00230A1F"/>
    <w:rsid w:val="00231A10"/>
    <w:rsid w:val="00233C96"/>
    <w:rsid w:val="002422DC"/>
    <w:rsid w:val="00244A38"/>
    <w:rsid w:val="0025074A"/>
    <w:rsid w:val="0025137C"/>
    <w:rsid w:val="002516EF"/>
    <w:rsid w:val="00251D33"/>
    <w:rsid w:val="00252637"/>
    <w:rsid w:val="002566C8"/>
    <w:rsid w:val="002709E7"/>
    <w:rsid w:val="002723F5"/>
    <w:rsid w:val="00273D21"/>
    <w:rsid w:val="00274128"/>
    <w:rsid w:val="00274784"/>
    <w:rsid w:val="002800BC"/>
    <w:rsid w:val="00281BCD"/>
    <w:rsid w:val="002831BE"/>
    <w:rsid w:val="002831DA"/>
    <w:rsid w:val="0028394A"/>
    <w:rsid w:val="00284DA0"/>
    <w:rsid w:val="00290FD1"/>
    <w:rsid w:val="0029498D"/>
    <w:rsid w:val="00294A41"/>
    <w:rsid w:val="002955DA"/>
    <w:rsid w:val="002959EA"/>
    <w:rsid w:val="002973B4"/>
    <w:rsid w:val="002A0380"/>
    <w:rsid w:val="002A09CC"/>
    <w:rsid w:val="002A4029"/>
    <w:rsid w:val="002A4635"/>
    <w:rsid w:val="002A650C"/>
    <w:rsid w:val="002A6CBD"/>
    <w:rsid w:val="002B097C"/>
    <w:rsid w:val="002B3A22"/>
    <w:rsid w:val="002B5A06"/>
    <w:rsid w:val="002C0891"/>
    <w:rsid w:val="002C22C4"/>
    <w:rsid w:val="002C3C5C"/>
    <w:rsid w:val="002C7CA3"/>
    <w:rsid w:val="002D51E8"/>
    <w:rsid w:val="002E0C48"/>
    <w:rsid w:val="002E1864"/>
    <w:rsid w:val="002E1979"/>
    <w:rsid w:val="002E19A5"/>
    <w:rsid w:val="002E26F5"/>
    <w:rsid w:val="002E369E"/>
    <w:rsid w:val="002E4EAB"/>
    <w:rsid w:val="002E56DC"/>
    <w:rsid w:val="002E6E16"/>
    <w:rsid w:val="002E760B"/>
    <w:rsid w:val="002E7DE3"/>
    <w:rsid w:val="002F1515"/>
    <w:rsid w:val="002F1DB9"/>
    <w:rsid w:val="002F369D"/>
    <w:rsid w:val="002F5C40"/>
    <w:rsid w:val="003011B8"/>
    <w:rsid w:val="003013A1"/>
    <w:rsid w:val="003013C3"/>
    <w:rsid w:val="00306316"/>
    <w:rsid w:val="00306B9F"/>
    <w:rsid w:val="00316622"/>
    <w:rsid w:val="0031693A"/>
    <w:rsid w:val="00320CC3"/>
    <w:rsid w:val="00323433"/>
    <w:rsid w:val="0032694E"/>
    <w:rsid w:val="00326E04"/>
    <w:rsid w:val="0032719E"/>
    <w:rsid w:val="003333A2"/>
    <w:rsid w:val="00335C4A"/>
    <w:rsid w:val="00337110"/>
    <w:rsid w:val="00340B59"/>
    <w:rsid w:val="00343251"/>
    <w:rsid w:val="00343D27"/>
    <w:rsid w:val="00343E5B"/>
    <w:rsid w:val="003466AB"/>
    <w:rsid w:val="0035174A"/>
    <w:rsid w:val="00357C20"/>
    <w:rsid w:val="003621AD"/>
    <w:rsid w:val="003637E3"/>
    <w:rsid w:val="00363C35"/>
    <w:rsid w:val="0036654F"/>
    <w:rsid w:val="00367A1D"/>
    <w:rsid w:val="003705A6"/>
    <w:rsid w:val="00372F39"/>
    <w:rsid w:val="0037336C"/>
    <w:rsid w:val="003752E5"/>
    <w:rsid w:val="00375876"/>
    <w:rsid w:val="00375E3A"/>
    <w:rsid w:val="00375FBC"/>
    <w:rsid w:val="0037649A"/>
    <w:rsid w:val="0037681D"/>
    <w:rsid w:val="00376C75"/>
    <w:rsid w:val="0039096C"/>
    <w:rsid w:val="00390DE9"/>
    <w:rsid w:val="00392F37"/>
    <w:rsid w:val="003947BE"/>
    <w:rsid w:val="003975DF"/>
    <w:rsid w:val="003A01B7"/>
    <w:rsid w:val="003A1190"/>
    <w:rsid w:val="003A19B3"/>
    <w:rsid w:val="003A3351"/>
    <w:rsid w:val="003A3B27"/>
    <w:rsid w:val="003A7335"/>
    <w:rsid w:val="003B1B6B"/>
    <w:rsid w:val="003B35B4"/>
    <w:rsid w:val="003B4259"/>
    <w:rsid w:val="003B458D"/>
    <w:rsid w:val="003C28BE"/>
    <w:rsid w:val="003C5C3A"/>
    <w:rsid w:val="003C677E"/>
    <w:rsid w:val="003C7E48"/>
    <w:rsid w:val="003D0A55"/>
    <w:rsid w:val="003D1565"/>
    <w:rsid w:val="003D38E9"/>
    <w:rsid w:val="003E107A"/>
    <w:rsid w:val="003E2E5E"/>
    <w:rsid w:val="003E556E"/>
    <w:rsid w:val="003E5C61"/>
    <w:rsid w:val="003E5CB0"/>
    <w:rsid w:val="003E7590"/>
    <w:rsid w:val="003F06E0"/>
    <w:rsid w:val="003F28CB"/>
    <w:rsid w:val="003F2E7F"/>
    <w:rsid w:val="003F4E5E"/>
    <w:rsid w:val="003F5D15"/>
    <w:rsid w:val="003F7379"/>
    <w:rsid w:val="00400D9D"/>
    <w:rsid w:val="00400DD8"/>
    <w:rsid w:val="00401DFF"/>
    <w:rsid w:val="00403EFD"/>
    <w:rsid w:val="00404F43"/>
    <w:rsid w:val="00405F09"/>
    <w:rsid w:val="004119DD"/>
    <w:rsid w:val="00411C54"/>
    <w:rsid w:val="004131D5"/>
    <w:rsid w:val="0041550D"/>
    <w:rsid w:val="004161EC"/>
    <w:rsid w:val="00416D70"/>
    <w:rsid w:val="00416EAE"/>
    <w:rsid w:val="0042008D"/>
    <w:rsid w:val="00422154"/>
    <w:rsid w:val="00424935"/>
    <w:rsid w:val="004269EE"/>
    <w:rsid w:val="00426C33"/>
    <w:rsid w:val="004277BC"/>
    <w:rsid w:val="00427961"/>
    <w:rsid w:val="004300DB"/>
    <w:rsid w:val="0043119E"/>
    <w:rsid w:val="00434C95"/>
    <w:rsid w:val="00436BDF"/>
    <w:rsid w:val="00437CE6"/>
    <w:rsid w:val="00437DAB"/>
    <w:rsid w:val="004400BF"/>
    <w:rsid w:val="004406A5"/>
    <w:rsid w:val="004420AF"/>
    <w:rsid w:val="00442796"/>
    <w:rsid w:val="004458DE"/>
    <w:rsid w:val="00445B62"/>
    <w:rsid w:val="004501D0"/>
    <w:rsid w:val="00450651"/>
    <w:rsid w:val="0045335B"/>
    <w:rsid w:val="0045341B"/>
    <w:rsid w:val="00454A96"/>
    <w:rsid w:val="00454ABF"/>
    <w:rsid w:val="00456257"/>
    <w:rsid w:val="00456878"/>
    <w:rsid w:val="00461F2F"/>
    <w:rsid w:val="004621A8"/>
    <w:rsid w:val="004660CB"/>
    <w:rsid w:val="00466BE1"/>
    <w:rsid w:val="004700C4"/>
    <w:rsid w:val="004712EC"/>
    <w:rsid w:val="004800EB"/>
    <w:rsid w:val="00481A70"/>
    <w:rsid w:val="00482976"/>
    <w:rsid w:val="004855F4"/>
    <w:rsid w:val="00486067"/>
    <w:rsid w:val="00487BAE"/>
    <w:rsid w:val="00491187"/>
    <w:rsid w:val="004925B1"/>
    <w:rsid w:val="00494BF6"/>
    <w:rsid w:val="004965DC"/>
    <w:rsid w:val="00496FBF"/>
    <w:rsid w:val="004970FF"/>
    <w:rsid w:val="004A11ED"/>
    <w:rsid w:val="004A1BB0"/>
    <w:rsid w:val="004A1F6C"/>
    <w:rsid w:val="004A2DAA"/>
    <w:rsid w:val="004A4E59"/>
    <w:rsid w:val="004A5175"/>
    <w:rsid w:val="004A5220"/>
    <w:rsid w:val="004A588E"/>
    <w:rsid w:val="004A6B71"/>
    <w:rsid w:val="004B46CE"/>
    <w:rsid w:val="004B62B9"/>
    <w:rsid w:val="004B68AC"/>
    <w:rsid w:val="004C0C1C"/>
    <w:rsid w:val="004C10AA"/>
    <w:rsid w:val="004C2253"/>
    <w:rsid w:val="004C2349"/>
    <w:rsid w:val="004C3FFD"/>
    <w:rsid w:val="004C459B"/>
    <w:rsid w:val="004C519F"/>
    <w:rsid w:val="004D1EF0"/>
    <w:rsid w:val="004D597D"/>
    <w:rsid w:val="004D7FFE"/>
    <w:rsid w:val="004E08E4"/>
    <w:rsid w:val="004E7056"/>
    <w:rsid w:val="004F1931"/>
    <w:rsid w:val="004F50F6"/>
    <w:rsid w:val="004F553B"/>
    <w:rsid w:val="005045F0"/>
    <w:rsid w:val="0050601B"/>
    <w:rsid w:val="005071B6"/>
    <w:rsid w:val="005078DD"/>
    <w:rsid w:val="005106E9"/>
    <w:rsid w:val="00512359"/>
    <w:rsid w:val="00513066"/>
    <w:rsid w:val="0051329B"/>
    <w:rsid w:val="00514FDF"/>
    <w:rsid w:val="00517491"/>
    <w:rsid w:val="00527D8A"/>
    <w:rsid w:val="00531564"/>
    <w:rsid w:val="005332D8"/>
    <w:rsid w:val="00534CCD"/>
    <w:rsid w:val="00535E3D"/>
    <w:rsid w:val="00542D0A"/>
    <w:rsid w:val="00545D44"/>
    <w:rsid w:val="005461D8"/>
    <w:rsid w:val="0054649D"/>
    <w:rsid w:val="0054740F"/>
    <w:rsid w:val="00547BFD"/>
    <w:rsid w:val="005507F8"/>
    <w:rsid w:val="00555243"/>
    <w:rsid w:val="005555D0"/>
    <w:rsid w:val="00557B4D"/>
    <w:rsid w:val="005604AB"/>
    <w:rsid w:val="00560C05"/>
    <w:rsid w:val="00561CA7"/>
    <w:rsid w:val="00561E22"/>
    <w:rsid w:val="00564976"/>
    <w:rsid w:val="00564AB2"/>
    <w:rsid w:val="00574F99"/>
    <w:rsid w:val="00575A2B"/>
    <w:rsid w:val="0058517F"/>
    <w:rsid w:val="005859BC"/>
    <w:rsid w:val="00586A6C"/>
    <w:rsid w:val="005909F5"/>
    <w:rsid w:val="005919BE"/>
    <w:rsid w:val="005941D6"/>
    <w:rsid w:val="00597B69"/>
    <w:rsid w:val="005A52C8"/>
    <w:rsid w:val="005A6510"/>
    <w:rsid w:val="005A7487"/>
    <w:rsid w:val="005A78D7"/>
    <w:rsid w:val="005B5C1D"/>
    <w:rsid w:val="005B6852"/>
    <w:rsid w:val="005C0ABC"/>
    <w:rsid w:val="005C1FE1"/>
    <w:rsid w:val="005C27B4"/>
    <w:rsid w:val="005C337D"/>
    <w:rsid w:val="005C7C4E"/>
    <w:rsid w:val="005D4768"/>
    <w:rsid w:val="005D4D38"/>
    <w:rsid w:val="005D5E96"/>
    <w:rsid w:val="005E07E0"/>
    <w:rsid w:val="005E4FDD"/>
    <w:rsid w:val="005F01AB"/>
    <w:rsid w:val="005F2E03"/>
    <w:rsid w:val="005F34D3"/>
    <w:rsid w:val="005F355B"/>
    <w:rsid w:val="005F3A8C"/>
    <w:rsid w:val="005F6ADD"/>
    <w:rsid w:val="00601A0A"/>
    <w:rsid w:val="00603A66"/>
    <w:rsid w:val="00604568"/>
    <w:rsid w:val="00607759"/>
    <w:rsid w:val="00610B6A"/>
    <w:rsid w:val="006122BD"/>
    <w:rsid w:val="006130FA"/>
    <w:rsid w:val="00613EA7"/>
    <w:rsid w:val="0061541C"/>
    <w:rsid w:val="006154A0"/>
    <w:rsid w:val="006156C7"/>
    <w:rsid w:val="00615876"/>
    <w:rsid w:val="006167C4"/>
    <w:rsid w:val="006168A8"/>
    <w:rsid w:val="00617B2E"/>
    <w:rsid w:val="0062049B"/>
    <w:rsid w:val="006219B8"/>
    <w:rsid w:val="006221EE"/>
    <w:rsid w:val="00625CE5"/>
    <w:rsid w:val="00630C36"/>
    <w:rsid w:val="00631E9C"/>
    <w:rsid w:val="00637730"/>
    <w:rsid w:val="00644B75"/>
    <w:rsid w:val="00646E9E"/>
    <w:rsid w:val="006474E7"/>
    <w:rsid w:val="0064796C"/>
    <w:rsid w:val="00650424"/>
    <w:rsid w:val="006512A6"/>
    <w:rsid w:val="00651A8E"/>
    <w:rsid w:val="00653A28"/>
    <w:rsid w:val="00654C4E"/>
    <w:rsid w:val="00655989"/>
    <w:rsid w:val="00656C57"/>
    <w:rsid w:val="0066289D"/>
    <w:rsid w:val="0067042C"/>
    <w:rsid w:val="00670F63"/>
    <w:rsid w:val="006721B4"/>
    <w:rsid w:val="00674F14"/>
    <w:rsid w:val="0068088F"/>
    <w:rsid w:val="0068234F"/>
    <w:rsid w:val="0068416E"/>
    <w:rsid w:val="00684E09"/>
    <w:rsid w:val="00687BC9"/>
    <w:rsid w:val="00691E0B"/>
    <w:rsid w:val="006930A5"/>
    <w:rsid w:val="0069403A"/>
    <w:rsid w:val="0069631B"/>
    <w:rsid w:val="00696F5B"/>
    <w:rsid w:val="006A23EB"/>
    <w:rsid w:val="006B1BBA"/>
    <w:rsid w:val="006B404E"/>
    <w:rsid w:val="006B48C4"/>
    <w:rsid w:val="006B5F27"/>
    <w:rsid w:val="006C0E82"/>
    <w:rsid w:val="006C29E3"/>
    <w:rsid w:val="006C3F56"/>
    <w:rsid w:val="006C4320"/>
    <w:rsid w:val="006C44D3"/>
    <w:rsid w:val="006C56AB"/>
    <w:rsid w:val="006C5B40"/>
    <w:rsid w:val="006C6B91"/>
    <w:rsid w:val="006C71E1"/>
    <w:rsid w:val="006C7A72"/>
    <w:rsid w:val="006D7985"/>
    <w:rsid w:val="006E384A"/>
    <w:rsid w:val="006E5948"/>
    <w:rsid w:val="006F0328"/>
    <w:rsid w:val="006F11CF"/>
    <w:rsid w:val="006F1B52"/>
    <w:rsid w:val="006F228C"/>
    <w:rsid w:val="006F4724"/>
    <w:rsid w:val="006F4ACA"/>
    <w:rsid w:val="00700362"/>
    <w:rsid w:val="0070400D"/>
    <w:rsid w:val="00712057"/>
    <w:rsid w:val="00713DA2"/>
    <w:rsid w:val="00714C67"/>
    <w:rsid w:val="00714D31"/>
    <w:rsid w:val="00715B0A"/>
    <w:rsid w:val="007206CA"/>
    <w:rsid w:val="00721364"/>
    <w:rsid w:val="00722563"/>
    <w:rsid w:val="00723CB7"/>
    <w:rsid w:val="00726B77"/>
    <w:rsid w:val="00727AB8"/>
    <w:rsid w:val="00733399"/>
    <w:rsid w:val="0073405E"/>
    <w:rsid w:val="007350F1"/>
    <w:rsid w:val="00735E7D"/>
    <w:rsid w:val="00736472"/>
    <w:rsid w:val="0073793C"/>
    <w:rsid w:val="00741C73"/>
    <w:rsid w:val="0074208F"/>
    <w:rsid w:val="00742429"/>
    <w:rsid w:val="0074402C"/>
    <w:rsid w:val="00750F64"/>
    <w:rsid w:val="00753719"/>
    <w:rsid w:val="00753B87"/>
    <w:rsid w:val="00753F64"/>
    <w:rsid w:val="007543C3"/>
    <w:rsid w:val="0075527B"/>
    <w:rsid w:val="00757691"/>
    <w:rsid w:val="00766D0F"/>
    <w:rsid w:val="00767EAC"/>
    <w:rsid w:val="0077577E"/>
    <w:rsid w:val="007810AB"/>
    <w:rsid w:val="00781E6B"/>
    <w:rsid w:val="007842BC"/>
    <w:rsid w:val="00785BF9"/>
    <w:rsid w:val="0078642F"/>
    <w:rsid w:val="00792679"/>
    <w:rsid w:val="00794123"/>
    <w:rsid w:val="00795158"/>
    <w:rsid w:val="007A1EDC"/>
    <w:rsid w:val="007A2B57"/>
    <w:rsid w:val="007A43BC"/>
    <w:rsid w:val="007A50F9"/>
    <w:rsid w:val="007A5AD0"/>
    <w:rsid w:val="007A6AB5"/>
    <w:rsid w:val="007A70E0"/>
    <w:rsid w:val="007A7855"/>
    <w:rsid w:val="007B07D2"/>
    <w:rsid w:val="007B088F"/>
    <w:rsid w:val="007B092E"/>
    <w:rsid w:val="007B484B"/>
    <w:rsid w:val="007B7FD9"/>
    <w:rsid w:val="007C0FE3"/>
    <w:rsid w:val="007C237A"/>
    <w:rsid w:val="007C48F7"/>
    <w:rsid w:val="007C4FB0"/>
    <w:rsid w:val="007C7367"/>
    <w:rsid w:val="007D03A4"/>
    <w:rsid w:val="007D1540"/>
    <w:rsid w:val="007D51CA"/>
    <w:rsid w:val="007D79A5"/>
    <w:rsid w:val="007E3718"/>
    <w:rsid w:val="007E3C23"/>
    <w:rsid w:val="007E7104"/>
    <w:rsid w:val="007F01AA"/>
    <w:rsid w:val="007F19B0"/>
    <w:rsid w:val="007F2D17"/>
    <w:rsid w:val="007F3559"/>
    <w:rsid w:val="007F4515"/>
    <w:rsid w:val="007F4F45"/>
    <w:rsid w:val="007F55B2"/>
    <w:rsid w:val="007F743A"/>
    <w:rsid w:val="00800F8B"/>
    <w:rsid w:val="00802739"/>
    <w:rsid w:val="00803F01"/>
    <w:rsid w:val="008044E9"/>
    <w:rsid w:val="00805EBD"/>
    <w:rsid w:val="008101B6"/>
    <w:rsid w:val="0081388D"/>
    <w:rsid w:val="008174DB"/>
    <w:rsid w:val="00820627"/>
    <w:rsid w:val="00821CD8"/>
    <w:rsid w:val="00822E8A"/>
    <w:rsid w:val="00823130"/>
    <w:rsid w:val="00824E84"/>
    <w:rsid w:val="00826A4D"/>
    <w:rsid w:val="00831E22"/>
    <w:rsid w:val="00836308"/>
    <w:rsid w:val="0083656C"/>
    <w:rsid w:val="008370CF"/>
    <w:rsid w:val="008412B9"/>
    <w:rsid w:val="00842651"/>
    <w:rsid w:val="008459B4"/>
    <w:rsid w:val="008505AE"/>
    <w:rsid w:val="00852640"/>
    <w:rsid w:val="0085370C"/>
    <w:rsid w:val="0085476E"/>
    <w:rsid w:val="0085598F"/>
    <w:rsid w:val="00856F06"/>
    <w:rsid w:val="00857ABD"/>
    <w:rsid w:val="00865A63"/>
    <w:rsid w:val="00865C6C"/>
    <w:rsid w:val="0086603C"/>
    <w:rsid w:val="00871309"/>
    <w:rsid w:val="0087592D"/>
    <w:rsid w:val="008854B7"/>
    <w:rsid w:val="00886BB5"/>
    <w:rsid w:val="00886FF6"/>
    <w:rsid w:val="0089021D"/>
    <w:rsid w:val="00895320"/>
    <w:rsid w:val="0089716F"/>
    <w:rsid w:val="008A1BC7"/>
    <w:rsid w:val="008A2A4A"/>
    <w:rsid w:val="008A3D5B"/>
    <w:rsid w:val="008A47F5"/>
    <w:rsid w:val="008A509D"/>
    <w:rsid w:val="008A5982"/>
    <w:rsid w:val="008B08AD"/>
    <w:rsid w:val="008B0FF3"/>
    <w:rsid w:val="008B2009"/>
    <w:rsid w:val="008B314B"/>
    <w:rsid w:val="008B4494"/>
    <w:rsid w:val="008B451B"/>
    <w:rsid w:val="008B56B5"/>
    <w:rsid w:val="008C1ADD"/>
    <w:rsid w:val="008C1FE6"/>
    <w:rsid w:val="008C2B3E"/>
    <w:rsid w:val="008C3F17"/>
    <w:rsid w:val="008C48A5"/>
    <w:rsid w:val="008D04DF"/>
    <w:rsid w:val="008D31F1"/>
    <w:rsid w:val="008D34B4"/>
    <w:rsid w:val="008D3636"/>
    <w:rsid w:val="008D5FFF"/>
    <w:rsid w:val="008D7FC8"/>
    <w:rsid w:val="008E2BC7"/>
    <w:rsid w:val="008E437A"/>
    <w:rsid w:val="008F339F"/>
    <w:rsid w:val="008F4207"/>
    <w:rsid w:val="008F4701"/>
    <w:rsid w:val="00900176"/>
    <w:rsid w:val="0090571A"/>
    <w:rsid w:val="00906115"/>
    <w:rsid w:val="00907694"/>
    <w:rsid w:val="00907B2E"/>
    <w:rsid w:val="00907F39"/>
    <w:rsid w:val="00910790"/>
    <w:rsid w:val="00911A62"/>
    <w:rsid w:val="009125BE"/>
    <w:rsid w:val="00913BB8"/>
    <w:rsid w:val="009146CE"/>
    <w:rsid w:val="00915BF5"/>
    <w:rsid w:val="00916BF7"/>
    <w:rsid w:val="00932307"/>
    <w:rsid w:val="00932786"/>
    <w:rsid w:val="00934FBF"/>
    <w:rsid w:val="0093643A"/>
    <w:rsid w:val="00937296"/>
    <w:rsid w:val="009412E0"/>
    <w:rsid w:val="00941F21"/>
    <w:rsid w:val="00942558"/>
    <w:rsid w:val="00942DAC"/>
    <w:rsid w:val="0094342F"/>
    <w:rsid w:val="00950415"/>
    <w:rsid w:val="009518C4"/>
    <w:rsid w:val="00956ABC"/>
    <w:rsid w:val="0095756F"/>
    <w:rsid w:val="00962011"/>
    <w:rsid w:val="009677EB"/>
    <w:rsid w:val="009719C2"/>
    <w:rsid w:val="00973106"/>
    <w:rsid w:val="00973DAC"/>
    <w:rsid w:val="0097741A"/>
    <w:rsid w:val="009774EC"/>
    <w:rsid w:val="00977BC9"/>
    <w:rsid w:val="009823AC"/>
    <w:rsid w:val="00982673"/>
    <w:rsid w:val="009827D1"/>
    <w:rsid w:val="00986978"/>
    <w:rsid w:val="00986C7D"/>
    <w:rsid w:val="00986CC2"/>
    <w:rsid w:val="00994E26"/>
    <w:rsid w:val="00995215"/>
    <w:rsid w:val="009956C2"/>
    <w:rsid w:val="009A07EE"/>
    <w:rsid w:val="009A25EB"/>
    <w:rsid w:val="009A3D2B"/>
    <w:rsid w:val="009A7B29"/>
    <w:rsid w:val="009B0129"/>
    <w:rsid w:val="009B08FF"/>
    <w:rsid w:val="009B117C"/>
    <w:rsid w:val="009B238F"/>
    <w:rsid w:val="009B2728"/>
    <w:rsid w:val="009B3FFF"/>
    <w:rsid w:val="009B535F"/>
    <w:rsid w:val="009B59E4"/>
    <w:rsid w:val="009B64CB"/>
    <w:rsid w:val="009C00B0"/>
    <w:rsid w:val="009C2C3D"/>
    <w:rsid w:val="009C5AF4"/>
    <w:rsid w:val="009C5F7B"/>
    <w:rsid w:val="009D13E7"/>
    <w:rsid w:val="009D2A48"/>
    <w:rsid w:val="009D3E2C"/>
    <w:rsid w:val="009D60BB"/>
    <w:rsid w:val="009E1511"/>
    <w:rsid w:val="009E180E"/>
    <w:rsid w:val="009E251F"/>
    <w:rsid w:val="009E3B18"/>
    <w:rsid w:val="009E3DEF"/>
    <w:rsid w:val="009E3E58"/>
    <w:rsid w:val="009E46C3"/>
    <w:rsid w:val="009E4C5D"/>
    <w:rsid w:val="009E5BDA"/>
    <w:rsid w:val="009E75A0"/>
    <w:rsid w:val="009F0A90"/>
    <w:rsid w:val="009F1EB7"/>
    <w:rsid w:val="009F20EE"/>
    <w:rsid w:val="009F6075"/>
    <w:rsid w:val="009F65BE"/>
    <w:rsid w:val="009F65E5"/>
    <w:rsid w:val="009F7B9C"/>
    <w:rsid w:val="00A00714"/>
    <w:rsid w:val="00A007D4"/>
    <w:rsid w:val="00A10BEE"/>
    <w:rsid w:val="00A114E6"/>
    <w:rsid w:val="00A11BD7"/>
    <w:rsid w:val="00A12CAF"/>
    <w:rsid w:val="00A16456"/>
    <w:rsid w:val="00A17CC2"/>
    <w:rsid w:val="00A2171B"/>
    <w:rsid w:val="00A21B45"/>
    <w:rsid w:val="00A21EBB"/>
    <w:rsid w:val="00A333FA"/>
    <w:rsid w:val="00A33A4D"/>
    <w:rsid w:val="00A37B0D"/>
    <w:rsid w:val="00A4039D"/>
    <w:rsid w:val="00A42257"/>
    <w:rsid w:val="00A4237E"/>
    <w:rsid w:val="00A4286B"/>
    <w:rsid w:val="00A442C9"/>
    <w:rsid w:val="00A45A92"/>
    <w:rsid w:val="00A45D44"/>
    <w:rsid w:val="00A45FC4"/>
    <w:rsid w:val="00A46255"/>
    <w:rsid w:val="00A4725A"/>
    <w:rsid w:val="00A5184E"/>
    <w:rsid w:val="00A53218"/>
    <w:rsid w:val="00A541A5"/>
    <w:rsid w:val="00A55FCD"/>
    <w:rsid w:val="00A565E8"/>
    <w:rsid w:val="00A57905"/>
    <w:rsid w:val="00A605FF"/>
    <w:rsid w:val="00A6546F"/>
    <w:rsid w:val="00A674F6"/>
    <w:rsid w:val="00A6761B"/>
    <w:rsid w:val="00A67AFB"/>
    <w:rsid w:val="00A7491C"/>
    <w:rsid w:val="00A772C4"/>
    <w:rsid w:val="00A80932"/>
    <w:rsid w:val="00A82F52"/>
    <w:rsid w:val="00A865BA"/>
    <w:rsid w:val="00A91A52"/>
    <w:rsid w:val="00A9440E"/>
    <w:rsid w:val="00AA266F"/>
    <w:rsid w:val="00AA3EA7"/>
    <w:rsid w:val="00AB001C"/>
    <w:rsid w:val="00AB18D3"/>
    <w:rsid w:val="00AB20D0"/>
    <w:rsid w:val="00AB2C0F"/>
    <w:rsid w:val="00AB3FEB"/>
    <w:rsid w:val="00AB481F"/>
    <w:rsid w:val="00AC2718"/>
    <w:rsid w:val="00AC42F3"/>
    <w:rsid w:val="00AC4F17"/>
    <w:rsid w:val="00AC55DC"/>
    <w:rsid w:val="00AC7E9D"/>
    <w:rsid w:val="00AD4413"/>
    <w:rsid w:val="00AD6F1A"/>
    <w:rsid w:val="00AE0A24"/>
    <w:rsid w:val="00AE18E7"/>
    <w:rsid w:val="00AE353D"/>
    <w:rsid w:val="00AE4281"/>
    <w:rsid w:val="00AE535A"/>
    <w:rsid w:val="00AF1C26"/>
    <w:rsid w:val="00AF30B0"/>
    <w:rsid w:val="00B016A9"/>
    <w:rsid w:val="00B032DC"/>
    <w:rsid w:val="00B11F50"/>
    <w:rsid w:val="00B129F4"/>
    <w:rsid w:val="00B13331"/>
    <w:rsid w:val="00B1465F"/>
    <w:rsid w:val="00B17959"/>
    <w:rsid w:val="00B1797F"/>
    <w:rsid w:val="00B25068"/>
    <w:rsid w:val="00B252BB"/>
    <w:rsid w:val="00B318C2"/>
    <w:rsid w:val="00B3217B"/>
    <w:rsid w:val="00B32D98"/>
    <w:rsid w:val="00B338C3"/>
    <w:rsid w:val="00B347AD"/>
    <w:rsid w:val="00B35508"/>
    <w:rsid w:val="00B4176D"/>
    <w:rsid w:val="00B41E3C"/>
    <w:rsid w:val="00B427F7"/>
    <w:rsid w:val="00B4321F"/>
    <w:rsid w:val="00B44971"/>
    <w:rsid w:val="00B47A0C"/>
    <w:rsid w:val="00B50122"/>
    <w:rsid w:val="00B510E9"/>
    <w:rsid w:val="00B54CC5"/>
    <w:rsid w:val="00B62FC4"/>
    <w:rsid w:val="00B63808"/>
    <w:rsid w:val="00B6659E"/>
    <w:rsid w:val="00B67D3D"/>
    <w:rsid w:val="00B71B97"/>
    <w:rsid w:val="00B72528"/>
    <w:rsid w:val="00B7284E"/>
    <w:rsid w:val="00B73D80"/>
    <w:rsid w:val="00B744A5"/>
    <w:rsid w:val="00B770CC"/>
    <w:rsid w:val="00B77326"/>
    <w:rsid w:val="00B803F7"/>
    <w:rsid w:val="00B8045D"/>
    <w:rsid w:val="00B846B9"/>
    <w:rsid w:val="00B859FC"/>
    <w:rsid w:val="00B901AA"/>
    <w:rsid w:val="00B90D3E"/>
    <w:rsid w:val="00B955B9"/>
    <w:rsid w:val="00B96A27"/>
    <w:rsid w:val="00BA6F33"/>
    <w:rsid w:val="00BB0596"/>
    <w:rsid w:val="00BC28A6"/>
    <w:rsid w:val="00BC30FB"/>
    <w:rsid w:val="00BC3E2C"/>
    <w:rsid w:val="00BC50AC"/>
    <w:rsid w:val="00BC7FD8"/>
    <w:rsid w:val="00BD05A8"/>
    <w:rsid w:val="00BD295C"/>
    <w:rsid w:val="00BD2DFD"/>
    <w:rsid w:val="00BD76C7"/>
    <w:rsid w:val="00BD7995"/>
    <w:rsid w:val="00BE10E4"/>
    <w:rsid w:val="00BE522E"/>
    <w:rsid w:val="00BE596F"/>
    <w:rsid w:val="00BE7F6B"/>
    <w:rsid w:val="00BF0CD3"/>
    <w:rsid w:val="00BF27E6"/>
    <w:rsid w:val="00BF2F54"/>
    <w:rsid w:val="00BF4A4D"/>
    <w:rsid w:val="00BF7A0F"/>
    <w:rsid w:val="00C00D53"/>
    <w:rsid w:val="00C00F56"/>
    <w:rsid w:val="00C031ED"/>
    <w:rsid w:val="00C04951"/>
    <w:rsid w:val="00C06004"/>
    <w:rsid w:val="00C066FB"/>
    <w:rsid w:val="00C11154"/>
    <w:rsid w:val="00C11C4F"/>
    <w:rsid w:val="00C13F30"/>
    <w:rsid w:val="00C22248"/>
    <w:rsid w:val="00C23EB9"/>
    <w:rsid w:val="00C24384"/>
    <w:rsid w:val="00C246EF"/>
    <w:rsid w:val="00C249B1"/>
    <w:rsid w:val="00C26BF0"/>
    <w:rsid w:val="00C3216C"/>
    <w:rsid w:val="00C32ADA"/>
    <w:rsid w:val="00C3478A"/>
    <w:rsid w:val="00C34FBE"/>
    <w:rsid w:val="00C35096"/>
    <w:rsid w:val="00C36C02"/>
    <w:rsid w:val="00C3709D"/>
    <w:rsid w:val="00C374BF"/>
    <w:rsid w:val="00C4140B"/>
    <w:rsid w:val="00C43A0F"/>
    <w:rsid w:val="00C506C5"/>
    <w:rsid w:val="00C53027"/>
    <w:rsid w:val="00C5375F"/>
    <w:rsid w:val="00C538D5"/>
    <w:rsid w:val="00C54059"/>
    <w:rsid w:val="00C56A0E"/>
    <w:rsid w:val="00C57897"/>
    <w:rsid w:val="00C625E0"/>
    <w:rsid w:val="00C636F6"/>
    <w:rsid w:val="00C63C96"/>
    <w:rsid w:val="00C7105D"/>
    <w:rsid w:val="00C72007"/>
    <w:rsid w:val="00C7320D"/>
    <w:rsid w:val="00C73437"/>
    <w:rsid w:val="00C767C6"/>
    <w:rsid w:val="00C84F4F"/>
    <w:rsid w:val="00C873C2"/>
    <w:rsid w:val="00C9043B"/>
    <w:rsid w:val="00C9116A"/>
    <w:rsid w:val="00C92905"/>
    <w:rsid w:val="00C9352C"/>
    <w:rsid w:val="00C93555"/>
    <w:rsid w:val="00C93665"/>
    <w:rsid w:val="00C939F8"/>
    <w:rsid w:val="00C9493F"/>
    <w:rsid w:val="00C95957"/>
    <w:rsid w:val="00C96D4E"/>
    <w:rsid w:val="00C96D63"/>
    <w:rsid w:val="00CA0C62"/>
    <w:rsid w:val="00CA4EBF"/>
    <w:rsid w:val="00CA6207"/>
    <w:rsid w:val="00CA678D"/>
    <w:rsid w:val="00CB191A"/>
    <w:rsid w:val="00CB52B2"/>
    <w:rsid w:val="00CB73D1"/>
    <w:rsid w:val="00CC1312"/>
    <w:rsid w:val="00CC147D"/>
    <w:rsid w:val="00CC2422"/>
    <w:rsid w:val="00CC5302"/>
    <w:rsid w:val="00CC583E"/>
    <w:rsid w:val="00CC58B0"/>
    <w:rsid w:val="00CD1FE1"/>
    <w:rsid w:val="00CD26F9"/>
    <w:rsid w:val="00CE1EEE"/>
    <w:rsid w:val="00CE2D8E"/>
    <w:rsid w:val="00CF5A72"/>
    <w:rsid w:val="00CF6562"/>
    <w:rsid w:val="00D0295C"/>
    <w:rsid w:val="00D06C5D"/>
    <w:rsid w:val="00D07F3A"/>
    <w:rsid w:val="00D110AF"/>
    <w:rsid w:val="00D121FC"/>
    <w:rsid w:val="00D14BE9"/>
    <w:rsid w:val="00D15737"/>
    <w:rsid w:val="00D17107"/>
    <w:rsid w:val="00D21520"/>
    <w:rsid w:val="00D2254D"/>
    <w:rsid w:val="00D25054"/>
    <w:rsid w:val="00D252DD"/>
    <w:rsid w:val="00D258EE"/>
    <w:rsid w:val="00D25B2F"/>
    <w:rsid w:val="00D31E4D"/>
    <w:rsid w:val="00D3410F"/>
    <w:rsid w:val="00D357B6"/>
    <w:rsid w:val="00D3781F"/>
    <w:rsid w:val="00D37C3B"/>
    <w:rsid w:val="00D37C64"/>
    <w:rsid w:val="00D406FF"/>
    <w:rsid w:val="00D433CD"/>
    <w:rsid w:val="00D46AF0"/>
    <w:rsid w:val="00D541FC"/>
    <w:rsid w:val="00D564E6"/>
    <w:rsid w:val="00D56D73"/>
    <w:rsid w:val="00D60DAF"/>
    <w:rsid w:val="00D67C76"/>
    <w:rsid w:val="00D70D44"/>
    <w:rsid w:val="00D715D1"/>
    <w:rsid w:val="00D741B0"/>
    <w:rsid w:val="00D763E4"/>
    <w:rsid w:val="00D7793F"/>
    <w:rsid w:val="00D77BF8"/>
    <w:rsid w:val="00D85B77"/>
    <w:rsid w:val="00D93569"/>
    <w:rsid w:val="00D93D93"/>
    <w:rsid w:val="00D960C1"/>
    <w:rsid w:val="00DA0F38"/>
    <w:rsid w:val="00DA0FBC"/>
    <w:rsid w:val="00DA5E96"/>
    <w:rsid w:val="00DA60AC"/>
    <w:rsid w:val="00DA61A5"/>
    <w:rsid w:val="00DA650A"/>
    <w:rsid w:val="00DA7382"/>
    <w:rsid w:val="00DB0DC9"/>
    <w:rsid w:val="00DB20EE"/>
    <w:rsid w:val="00DB39F2"/>
    <w:rsid w:val="00DC01CC"/>
    <w:rsid w:val="00DC0935"/>
    <w:rsid w:val="00DC5084"/>
    <w:rsid w:val="00DC6542"/>
    <w:rsid w:val="00DC6B8C"/>
    <w:rsid w:val="00DC7F0C"/>
    <w:rsid w:val="00DD1A07"/>
    <w:rsid w:val="00DD1DCC"/>
    <w:rsid w:val="00DD3A5F"/>
    <w:rsid w:val="00DD42B7"/>
    <w:rsid w:val="00DD7F40"/>
    <w:rsid w:val="00DF02FA"/>
    <w:rsid w:val="00DF3263"/>
    <w:rsid w:val="00DF660A"/>
    <w:rsid w:val="00E00C41"/>
    <w:rsid w:val="00E01048"/>
    <w:rsid w:val="00E013A3"/>
    <w:rsid w:val="00E02197"/>
    <w:rsid w:val="00E0234C"/>
    <w:rsid w:val="00E02695"/>
    <w:rsid w:val="00E05A18"/>
    <w:rsid w:val="00E1173B"/>
    <w:rsid w:val="00E1193E"/>
    <w:rsid w:val="00E12EBE"/>
    <w:rsid w:val="00E1332D"/>
    <w:rsid w:val="00E13878"/>
    <w:rsid w:val="00E139B5"/>
    <w:rsid w:val="00E1437B"/>
    <w:rsid w:val="00E14DFA"/>
    <w:rsid w:val="00E15F57"/>
    <w:rsid w:val="00E1624C"/>
    <w:rsid w:val="00E23A8A"/>
    <w:rsid w:val="00E23C37"/>
    <w:rsid w:val="00E24E01"/>
    <w:rsid w:val="00E2550D"/>
    <w:rsid w:val="00E3129C"/>
    <w:rsid w:val="00E318C7"/>
    <w:rsid w:val="00E3234D"/>
    <w:rsid w:val="00E41296"/>
    <w:rsid w:val="00E469B0"/>
    <w:rsid w:val="00E5269B"/>
    <w:rsid w:val="00E61569"/>
    <w:rsid w:val="00E61DBF"/>
    <w:rsid w:val="00E62208"/>
    <w:rsid w:val="00E627D2"/>
    <w:rsid w:val="00E63A18"/>
    <w:rsid w:val="00E65BAB"/>
    <w:rsid w:val="00E7209D"/>
    <w:rsid w:val="00E7337C"/>
    <w:rsid w:val="00E73A7C"/>
    <w:rsid w:val="00E7415A"/>
    <w:rsid w:val="00E76602"/>
    <w:rsid w:val="00E808CE"/>
    <w:rsid w:val="00E82BFE"/>
    <w:rsid w:val="00E906DF"/>
    <w:rsid w:val="00E91FA8"/>
    <w:rsid w:val="00E93B80"/>
    <w:rsid w:val="00E95453"/>
    <w:rsid w:val="00E96B3B"/>
    <w:rsid w:val="00EA138C"/>
    <w:rsid w:val="00EA2F9E"/>
    <w:rsid w:val="00EA5F22"/>
    <w:rsid w:val="00EB76A7"/>
    <w:rsid w:val="00EC0F60"/>
    <w:rsid w:val="00EC1615"/>
    <w:rsid w:val="00EC2379"/>
    <w:rsid w:val="00EC7654"/>
    <w:rsid w:val="00ED1393"/>
    <w:rsid w:val="00ED2A69"/>
    <w:rsid w:val="00ED3FED"/>
    <w:rsid w:val="00EE3DB3"/>
    <w:rsid w:val="00EE3F13"/>
    <w:rsid w:val="00EE6525"/>
    <w:rsid w:val="00EE6B0D"/>
    <w:rsid w:val="00EF1CF7"/>
    <w:rsid w:val="00EF248F"/>
    <w:rsid w:val="00EF2BD0"/>
    <w:rsid w:val="00EF4AC4"/>
    <w:rsid w:val="00EF6090"/>
    <w:rsid w:val="00EF63BA"/>
    <w:rsid w:val="00F007FB"/>
    <w:rsid w:val="00F0236A"/>
    <w:rsid w:val="00F03411"/>
    <w:rsid w:val="00F06CAD"/>
    <w:rsid w:val="00F1307D"/>
    <w:rsid w:val="00F13937"/>
    <w:rsid w:val="00F143E3"/>
    <w:rsid w:val="00F17C90"/>
    <w:rsid w:val="00F2116C"/>
    <w:rsid w:val="00F22DDF"/>
    <w:rsid w:val="00F24B81"/>
    <w:rsid w:val="00F26928"/>
    <w:rsid w:val="00F32AE0"/>
    <w:rsid w:val="00F32D7B"/>
    <w:rsid w:val="00F33C36"/>
    <w:rsid w:val="00F34FF9"/>
    <w:rsid w:val="00F42855"/>
    <w:rsid w:val="00F42AA8"/>
    <w:rsid w:val="00F42EDE"/>
    <w:rsid w:val="00F447B6"/>
    <w:rsid w:val="00F455BF"/>
    <w:rsid w:val="00F4569B"/>
    <w:rsid w:val="00F5021C"/>
    <w:rsid w:val="00F51B6C"/>
    <w:rsid w:val="00F53F63"/>
    <w:rsid w:val="00F56A5C"/>
    <w:rsid w:val="00F57B39"/>
    <w:rsid w:val="00F60B85"/>
    <w:rsid w:val="00F624A2"/>
    <w:rsid w:val="00F65D32"/>
    <w:rsid w:val="00F71731"/>
    <w:rsid w:val="00F725BF"/>
    <w:rsid w:val="00F738CD"/>
    <w:rsid w:val="00F7522E"/>
    <w:rsid w:val="00F75F0D"/>
    <w:rsid w:val="00F76078"/>
    <w:rsid w:val="00F77C92"/>
    <w:rsid w:val="00F80095"/>
    <w:rsid w:val="00F80540"/>
    <w:rsid w:val="00F85039"/>
    <w:rsid w:val="00F859A9"/>
    <w:rsid w:val="00F86F0C"/>
    <w:rsid w:val="00F90844"/>
    <w:rsid w:val="00F914DC"/>
    <w:rsid w:val="00F93653"/>
    <w:rsid w:val="00F93911"/>
    <w:rsid w:val="00F93BC0"/>
    <w:rsid w:val="00FA03F4"/>
    <w:rsid w:val="00FA0E3E"/>
    <w:rsid w:val="00FA12AC"/>
    <w:rsid w:val="00FA6CAD"/>
    <w:rsid w:val="00FA712A"/>
    <w:rsid w:val="00FB0D73"/>
    <w:rsid w:val="00FB60BA"/>
    <w:rsid w:val="00FB61FD"/>
    <w:rsid w:val="00FB7EDD"/>
    <w:rsid w:val="00FB7F2B"/>
    <w:rsid w:val="00FC02F4"/>
    <w:rsid w:val="00FC0F17"/>
    <w:rsid w:val="00FC1252"/>
    <w:rsid w:val="00FC3897"/>
    <w:rsid w:val="00FC4663"/>
    <w:rsid w:val="00FD5F3A"/>
    <w:rsid w:val="00FD7526"/>
    <w:rsid w:val="00FD7885"/>
    <w:rsid w:val="00FE0404"/>
    <w:rsid w:val="00FE0465"/>
    <w:rsid w:val="00FE3A2E"/>
    <w:rsid w:val="00FE43AB"/>
    <w:rsid w:val="00FE64A4"/>
    <w:rsid w:val="00FF4994"/>
    <w:rsid w:val="00FF5096"/>
    <w:rsid w:val="00FF6031"/>
    <w:rsid w:val="00FF6B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01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401DFF"/>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bg2">
    <w:name w:val="hbg2"/>
    <w:basedOn w:val="Normal"/>
    <w:qFormat/>
    <w:rsid w:val="00D3781F"/>
    <w:pPr>
      <w:ind w:left="567" w:right="567"/>
      <w:jc w:val="both"/>
    </w:pPr>
    <w:rPr>
      <w:i/>
      <w:iCs/>
      <w:sz w:val="20"/>
    </w:rPr>
  </w:style>
  <w:style w:type="paragraph" w:customStyle="1" w:styleId="hbg1">
    <w:name w:val="hbg1"/>
    <w:basedOn w:val="Normal"/>
    <w:qFormat/>
    <w:rsid w:val="00D3781F"/>
    <w:pPr>
      <w:ind w:left="284" w:right="284"/>
      <w:jc w:val="both"/>
    </w:pPr>
    <w:rPr>
      <w:sz w:val="20"/>
    </w:rPr>
  </w:style>
  <w:style w:type="paragraph" w:customStyle="1" w:styleId="hbg0">
    <w:name w:val="hbg0"/>
    <w:basedOn w:val="Normal"/>
    <w:qFormat/>
    <w:rsid w:val="00D3781F"/>
    <w:pPr>
      <w:jc w:val="both"/>
    </w:pPr>
  </w:style>
  <w:style w:type="character" w:customStyle="1" w:styleId="Ttulo1Car">
    <w:name w:val="Título 1 Car"/>
    <w:basedOn w:val="Fuentedeprrafopredeter"/>
    <w:link w:val="Ttulo1"/>
    <w:uiPriority w:val="9"/>
    <w:rsid w:val="00401DFF"/>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401DFF"/>
    <w:rPr>
      <w:rFonts w:ascii="Times New Roman" w:eastAsia="Times New Roman" w:hAnsi="Times New Roman" w:cs="Times New Roman"/>
      <w:b/>
      <w:bCs/>
      <w:sz w:val="36"/>
      <w:szCs w:val="36"/>
      <w:lang w:eastAsia="es-CO"/>
    </w:rPr>
  </w:style>
  <w:style w:type="character" w:styleId="Hipervnculo">
    <w:name w:val="Hyperlink"/>
    <w:basedOn w:val="Fuentedeprrafopredeter"/>
    <w:uiPriority w:val="99"/>
    <w:semiHidden/>
    <w:unhideWhenUsed/>
    <w:rsid w:val="00401DFF"/>
    <w:rPr>
      <w:color w:val="0000FF"/>
      <w:u w:val="single"/>
    </w:rPr>
  </w:style>
  <w:style w:type="character" w:styleId="Hipervnculovisitado">
    <w:name w:val="FollowedHyperlink"/>
    <w:basedOn w:val="Fuentedeprrafopredeter"/>
    <w:uiPriority w:val="99"/>
    <w:semiHidden/>
    <w:unhideWhenUsed/>
    <w:rsid w:val="00401DFF"/>
    <w:rPr>
      <w:color w:val="800080"/>
      <w:u w:val="single"/>
    </w:rPr>
  </w:style>
  <w:style w:type="paragraph" w:customStyle="1" w:styleId="textobuscador">
    <w:name w:val="textobuscador"/>
    <w:basedOn w:val="Normal"/>
    <w:rsid w:val="00401DFF"/>
    <w:pPr>
      <w:spacing w:before="100" w:beforeAutospacing="1" w:after="100" w:afterAutospacing="1" w:line="160" w:lineRule="atLeast"/>
    </w:pPr>
    <w:rPr>
      <w:rFonts w:ascii="Verdana" w:eastAsia="Times New Roman" w:hAnsi="Verdana" w:cs="Times New Roman"/>
      <w:color w:val="666666"/>
      <w:sz w:val="16"/>
      <w:szCs w:val="16"/>
      <w:lang w:eastAsia="es-CO"/>
    </w:rPr>
  </w:style>
  <w:style w:type="paragraph" w:customStyle="1" w:styleId="tituloarial16">
    <w:name w:val="titulo_arial_16"/>
    <w:basedOn w:val="Normal"/>
    <w:rsid w:val="00401DFF"/>
    <w:pPr>
      <w:spacing w:before="100" w:beforeAutospacing="1" w:after="100" w:afterAutospacing="1" w:line="240" w:lineRule="auto"/>
    </w:pPr>
    <w:rPr>
      <w:rFonts w:ascii="Arial" w:eastAsia="Times New Roman" w:hAnsi="Arial" w:cs="Arial"/>
      <w:b/>
      <w:bCs/>
      <w:color w:val="000000"/>
      <w:sz w:val="24"/>
      <w:szCs w:val="24"/>
      <w:lang w:eastAsia="es-CO"/>
    </w:rPr>
  </w:style>
  <w:style w:type="paragraph" w:customStyle="1" w:styleId="textoarial14">
    <w:name w:val="texto_arial_14"/>
    <w:basedOn w:val="Normal"/>
    <w:rsid w:val="00401DFF"/>
    <w:pPr>
      <w:spacing w:before="100" w:beforeAutospacing="1" w:after="100" w:afterAutospacing="1" w:line="240" w:lineRule="auto"/>
    </w:pPr>
    <w:rPr>
      <w:rFonts w:ascii="Arial" w:eastAsia="Times New Roman" w:hAnsi="Arial" w:cs="Arial"/>
      <w:color w:val="000000"/>
      <w:sz w:val="21"/>
      <w:szCs w:val="21"/>
      <w:lang w:eastAsia="es-CO"/>
    </w:rPr>
  </w:style>
  <w:style w:type="paragraph" w:customStyle="1" w:styleId="textoarial12">
    <w:name w:val="texto_arial_12"/>
    <w:basedOn w:val="Normal"/>
    <w:rsid w:val="00401DFF"/>
    <w:pPr>
      <w:spacing w:before="100" w:beforeAutospacing="1" w:after="100" w:afterAutospacing="1" w:line="240" w:lineRule="auto"/>
    </w:pPr>
    <w:rPr>
      <w:rFonts w:ascii="Arial" w:eastAsia="Times New Roman" w:hAnsi="Arial" w:cs="Arial"/>
      <w:color w:val="000000"/>
      <w:sz w:val="18"/>
      <w:szCs w:val="18"/>
      <w:lang w:eastAsia="es-CO"/>
    </w:rPr>
  </w:style>
  <w:style w:type="paragraph" w:customStyle="1" w:styleId="cajatextoarial11">
    <w:name w:val="caja_texto_arial_11"/>
    <w:basedOn w:val="Normal"/>
    <w:rsid w:val="00401DFF"/>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treeviewroot">
    <w:name w:val="treeviewroot"/>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treeviewrootsub">
    <w:name w:val="treeviewroot_sub"/>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treeviewrootsub2">
    <w:name w:val="treeviewroot_sub_2"/>
    <w:basedOn w:val="Normal"/>
    <w:rsid w:val="00401DFF"/>
    <w:pPr>
      <w:spacing w:before="100" w:beforeAutospacing="1" w:after="100" w:afterAutospacing="1" w:line="240" w:lineRule="auto"/>
    </w:pPr>
    <w:rPr>
      <w:rFonts w:ascii="Tahoma" w:eastAsia="Times New Roman" w:hAnsi="Tahoma" w:cs="Tahoma"/>
      <w:color w:val="0D2E5B"/>
      <w:sz w:val="15"/>
      <w:szCs w:val="15"/>
      <w:lang w:eastAsia="es-CO"/>
    </w:rPr>
  </w:style>
  <w:style w:type="paragraph" w:customStyle="1" w:styleId="normal-level">
    <w:name w:val="normal-level"/>
    <w:basedOn w:val="Normal"/>
    <w:rsid w:val="00401DFF"/>
    <w:pPr>
      <w:spacing w:before="100" w:beforeAutospacing="1" w:after="100" w:afterAutospacing="1" w:line="240" w:lineRule="auto"/>
    </w:pPr>
    <w:rPr>
      <w:rFonts w:ascii="Arial" w:eastAsia="Times New Roman" w:hAnsi="Arial" w:cs="Arial"/>
      <w:color w:val="0D2E5B"/>
      <w:sz w:val="17"/>
      <w:szCs w:val="17"/>
      <w:lang w:eastAsia="es-CO"/>
    </w:rPr>
  </w:style>
  <w:style w:type="paragraph" w:customStyle="1" w:styleId="normal-levenegrita">
    <w:name w:val="normal-leve_negrita"/>
    <w:basedOn w:val="Normal"/>
    <w:rsid w:val="00401DFF"/>
    <w:pPr>
      <w:spacing w:before="100" w:beforeAutospacing="1" w:after="100" w:afterAutospacing="1" w:line="240" w:lineRule="auto"/>
    </w:pPr>
    <w:rPr>
      <w:rFonts w:ascii="Arial" w:eastAsia="Times New Roman" w:hAnsi="Arial" w:cs="Arial"/>
      <w:b/>
      <w:bCs/>
      <w:color w:val="0D2E5B"/>
      <w:sz w:val="18"/>
      <w:szCs w:val="18"/>
      <w:lang w:eastAsia="es-CO"/>
    </w:rPr>
  </w:style>
  <w:style w:type="paragraph" w:customStyle="1" w:styleId="control">
    <w:name w:val="control"/>
    <w:basedOn w:val="Normal"/>
    <w:rsid w:val="00401DFF"/>
    <w:pPr>
      <w:spacing w:before="100" w:beforeAutospacing="1" w:after="100" w:afterAutospacing="1" w:line="240" w:lineRule="auto"/>
    </w:pPr>
    <w:rPr>
      <w:rFonts w:ascii="Tahoma" w:eastAsia="Times New Roman" w:hAnsi="Tahoma" w:cs="Tahoma"/>
      <w:color w:val="0D2E5B"/>
      <w:sz w:val="15"/>
      <w:szCs w:val="15"/>
      <w:lang w:eastAsia="es-CO"/>
    </w:rPr>
  </w:style>
  <w:style w:type="paragraph" w:customStyle="1" w:styleId="normal-levellink">
    <w:name w:val="normal-level_link"/>
    <w:basedOn w:val="Normal"/>
    <w:rsid w:val="00401DFF"/>
    <w:pPr>
      <w:spacing w:before="100" w:beforeAutospacing="1" w:after="100" w:afterAutospacing="1" w:line="240" w:lineRule="auto"/>
    </w:pPr>
    <w:rPr>
      <w:rFonts w:ascii="Tahoma" w:eastAsia="Times New Roman" w:hAnsi="Tahoma" w:cs="Tahoma"/>
      <w:color w:val="0D2E5B"/>
      <w:sz w:val="17"/>
      <w:szCs w:val="17"/>
      <w:u w:val="single"/>
      <w:lang w:eastAsia="es-CO"/>
    </w:rPr>
  </w:style>
  <w:style w:type="paragraph" w:customStyle="1" w:styleId="tituloarial11cajaazul">
    <w:name w:val="titulo_arial_11_caja_azul"/>
    <w:basedOn w:val="Normal"/>
    <w:rsid w:val="00401DFF"/>
    <w:pPr>
      <w:shd w:val="clear" w:color="auto" w:fill="5E84B5"/>
      <w:spacing w:before="100" w:beforeAutospacing="1" w:after="100" w:afterAutospacing="1" w:line="240" w:lineRule="auto"/>
    </w:pPr>
    <w:rPr>
      <w:rFonts w:ascii="Arial" w:eastAsia="Times New Roman" w:hAnsi="Arial" w:cs="Arial"/>
      <w:b/>
      <w:bCs/>
      <w:caps/>
      <w:color w:val="FFFFFF"/>
      <w:sz w:val="17"/>
      <w:szCs w:val="17"/>
      <w:lang w:eastAsia="es-CO"/>
    </w:rPr>
  </w:style>
  <w:style w:type="paragraph" w:customStyle="1" w:styleId="tituloarial18azul">
    <w:name w:val="titulo_arial_18_azul"/>
    <w:basedOn w:val="Normal"/>
    <w:rsid w:val="00401DFF"/>
    <w:pPr>
      <w:spacing w:before="100" w:beforeAutospacing="1" w:after="100" w:afterAutospacing="1" w:line="240" w:lineRule="auto"/>
    </w:pPr>
    <w:rPr>
      <w:rFonts w:ascii="Arial" w:eastAsia="Times New Roman" w:hAnsi="Arial" w:cs="Arial"/>
      <w:b/>
      <w:bCs/>
      <w:color w:val="003366"/>
      <w:sz w:val="27"/>
      <w:szCs w:val="27"/>
      <w:lang w:eastAsia="es-CO"/>
    </w:rPr>
  </w:style>
  <w:style w:type="paragraph" w:customStyle="1" w:styleId="textoarial12gris">
    <w:name w:val="texto_arial_12_gris"/>
    <w:basedOn w:val="Normal"/>
    <w:rsid w:val="00401DFF"/>
    <w:pPr>
      <w:spacing w:before="100" w:beforeAutospacing="1" w:after="100" w:afterAutospacing="1" w:line="240" w:lineRule="auto"/>
    </w:pPr>
    <w:rPr>
      <w:rFonts w:ascii="Arial" w:eastAsia="Times New Roman" w:hAnsi="Arial" w:cs="Arial"/>
      <w:b/>
      <w:bCs/>
      <w:color w:val="999999"/>
      <w:sz w:val="18"/>
      <w:szCs w:val="18"/>
      <w:lang w:eastAsia="es-CO"/>
    </w:rPr>
  </w:style>
  <w:style w:type="paragraph" w:customStyle="1" w:styleId="banner-top">
    <w:name w:val="banner-top"/>
    <w:basedOn w:val="Normal"/>
    <w:rsid w:val="00401DFF"/>
    <w:pPr>
      <w:pBdr>
        <w:top w:val="single" w:sz="6" w:space="0" w:color="7D0000"/>
        <w:left w:val="single" w:sz="6" w:space="0" w:color="7D0000"/>
        <w:bottom w:val="single" w:sz="6" w:space="0" w:color="7D0000"/>
        <w:right w:val="single" w:sz="6" w:space="0" w:color="7D0000"/>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hit-head">
    <w:name w:val="hit-head"/>
    <w:basedOn w:val="Normal"/>
    <w:rsid w:val="00401DFF"/>
    <w:pPr>
      <w:spacing w:before="100" w:beforeAutospacing="1" w:after="100" w:afterAutospacing="1" w:line="240" w:lineRule="auto"/>
    </w:pPr>
    <w:rPr>
      <w:rFonts w:ascii="Arial" w:eastAsia="Times New Roman" w:hAnsi="Arial" w:cs="Arial"/>
      <w:b/>
      <w:bCs/>
      <w:caps/>
      <w:color w:val="FFFFFF"/>
      <w:sz w:val="17"/>
      <w:szCs w:val="17"/>
      <w:lang w:eastAsia="es-CO"/>
    </w:rPr>
  </w:style>
  <w:style w:type="paragraph" w:customStyle="1" w:styleId="hit-home-title">
    <w:name w:val="hit-home-title"/>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hit-title">
    <w:name w:val="hit-title"/>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hitlist-row-even">
    <w:name w:val="hitlist-row-even"/>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title-row">
    <w:name w:val="title-row"/>
    <w:basedOn w:val="Normal"/>
    <w:rsid w:val="00401DFF"/>
    <w:pPr>
      <w:shd w:val="clear" w:color="auto" w:fill="5E84B5"/>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regimen-penal">
    <w:name w:val="regimen-penal"/>
    <w:basedOn w:val="Normal"/>
    <w:rsid w:val="00401DFF"/>
    <w:pPr>
      <w:spacing w:before="100" w:beforeAutospacing="1" w:after="100" w:afterAutospacing="1" w:line="240" w:lineRule="auto"/>
      <w:textAlignment w:val="top"/>
    </w:pPr>
    <w:rPr>
      <w:rFonts w:ascii="Arial" w:eastAsia="Times New Roman" w:hAnsi="Arial" w:cs="Arial"/>
      <w:b/>
      <w:bCs/>
      <w:color w:val="003366"/>
      <w:sz w:val="27"/>
      <w:szCs w:val="27"/>
      <w:lang w:eastAsia="es-CO"/>
    </w:rPr>
  </w:style>
  <w:style w:type="paragraph" w:customStyle="1" w:styleId="normal-level-rowcolor">
    <w:name w:val="normal-level-rowcolor"/>
    <w:basedOn w:val="Normal"/>
    <w:rsid w:val="00401DFF"/>
    <w:pPr>
      <w:pBdr>
        <w:top w:val="single" w:sz="6" w:space="0" w:color="CCCCCC"/>
        <w:left w:val="single" w:sz="6" w:space="0" w:color="CCCCCC"/>
        <w:bottom w:val="single" w:sz="6" w:space="0" w:color="CCCCCC"/>
        <w:right w:val="single" w:sz="6" w:space="0" w:color="CCCCCC"/>
      </w:pBdr>
      <w:shd w:val="clear" w:color="auto" w:fill="F7F7F7"/>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parte">
    <w:name w:val="parte"/>
    <w:basedOn w:val="Normal"/>
    <w:rsid w:val="00401DFF"/>
    <w:pPr>
      <w:spacing w:before="100" w:beforeAutospacing="1" w:after="100" w:afterAutospacing="1" w:line="240" w:lineRule="auto"/>
      <w:textAlignment w:val="top"/>
    </w:pPr>
    <w:rPr>
      <w:rFonts w:ascii="Arial" w:eastAsia="Times New Roman" w:hAnsi="Arial" w:cs="Arial"/>
      <w:b/>
      <w:bCs/>
      <w:color w:val="990000"/>
      <w:sz w:val="24"/>
      <w:szCs w:val="24"/>
      <w:lang w:eastAsia="es-CO"/>
    </w:rPr>
  </w:style>
  <w:style w:type="paragraph" w:customStyle="1" w:styleId="nueve-gen">
    <w:name w:val="nueve-gen"/>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title">
    <w:name w:val="normal-level-title"/>
    <w:basedOn w:val="Normal"/>
    <w:rsid w:val="00401DFF"/>
    <w:pPr>
      <w:spacing w:before="100" w:beforeAutospacing="1" w:after="100" w:afterAutospacing="1" w:line="240" w:lineRule="auto"/>
    </w:pPr>
    <w:rPr>
      <w:rFonts w:ascii="Arial" w:eastAsia="Times New Roman" w:hAnsi="Arial" w:cs="Arial"/>
      <w:b/>
      <w:bCs/>
      <w:color w:val="0D2E5B"/>
      <w:sz w:val="21"/>
      <w:szCs w:val="21"/>
      <w:u w:val="single"/>
      <w:lang w:eastAsia="es-CO"/>
    </w:rPr>
  </w:style>
  <w:style w:type="paragraph" w:customStyle="1" w:styleId="normal-level-red">
    <w:name w:val="normal-level-red"/>
    <w:basedOn w:val="Normal"/>
    <w:rsid w:val="00401DFF"/>
    <w:pPr>
      <w:spacing w:before="100" w:beforeAutospacing="1" w:after="100" w:afterAutospacing="1" w:line="240" w:lineRule="auto"/>
    </w:pPr>
    <w:rPr>
      <w:rFonts w:ascii="Tahoma" w:eastAsia="Times New Roman" w:hAnsi="Tahoma" w:cs="Tahoma"/>
      <w:b/>
      <w:bCs/>
      <w:color w:val="990000"/>
      <w:sz w:val="17"/>
      <w:szCs w:val="17"/>
      <w:u w:val="single"/>
      <w:lang w:eastAsia="es-CO"/>
    </w:rPr>
  </w:style>
  <w:style w:type="paragraph" w:customStyle="1" w:styleId="normal-level-alfabeto">
    <w:name w:val="normal-level-alfabeto"/>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alfabeto-title">
    <w:name w:val="normal-level-alfabeto-title"/>
    <w:basedOn w:val="Normal"/>
    <w:rsid w:val="00401DFF"/>
    <w:pPr>
      <w:spacing w:before="100" w:beforeAutospacing="1" w:after="100" w:afterAutospacing="1" w:line="240" w:lineRule="auto"/>
    </w:pPr>
    <w:rPr>
      <w:rFonts w:ascii="Arial" w:eastAsia="Times New Roman" w:hAnsi="Arial" w:cs="Arial"/>
      <w:b/>
      <w:bCs/>
      <w:color w:val="000000"/>
      <w:sz w:val="27"/>
      <w:szCs w:val="27"/>
      <w:u w:val="single"/>
      <w:lang w:eastAsia="es-CO"/>
    </w:rPr>
  </w:style>
  <w:style w:type="paragraph" w:customStyle="1" w:styleId="normal-level-title-resultados">
    <w:name w:val="normal-level-title-resultados"/>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destacado">
    <w:name w:val="normal-level-destacado"/>
    <w:basedOn w:val="Normal"/>
    <w:rsid w:val="00401DFF"/>
    <w:pPr>
      <w:shd w:val="clear" w:color="auto" w:fill="7DDFFF"/>
      <w:spacing w:before="100" w:beforeAutospacing="1" w:after="100" w:afterAutospacing="1" w:line="240" w:lineRule="auto"/>
    </w:pPr>
    <w:rPr>
      <w:rFonts w:ascii="Arial" w:eastAsia="Times New Roman" w:hAnsi="Arial" w:cs="Arial"/>
      <w:b/>
      <w:bCs/>
      <w:color w:val="0D2E5B"/>
      <w:sz w:val="18"/>
      <w:szCs w:val="18"/>
      <w:lang w:eastAsia="es-CO"/>
    </w:rPr>
  </w:style>
  <w:style w:type="paragraph" w:customStyle="1" w:styleId="cajabordegris">
    <w:name w:val="caja_borde_gris"/>
    <w:basedOn w:val="Normal"/>
    <w:rsid w:val="00401DFF"/>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Arial" w:eastAsia="Times New Roman" w:hAnsi="Arial" w:cs="Arial"/>
      <w:color w:val="000000"/>
      <w:sz w:val="18"/>
      <w:szCs w:val="18"/>
      <w:lang w:eastAsia="es-CO"/>
    </w:rPr>
  </w:style>
  <w:style w:type="paragraph" w:customStyle="1" w:styleId="cajatextoarial112">
    <w:name w:val="caja_texto_arial_11_2"/>
    <w:basedOn w:val="Normal"/>
    <w:rsid w:val="00401DFF"/>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cajatextoarial113">
    <w:name w:val="caja_texto_arial_11_3"/>
    <w:basedOn w:val="Normal"/>
    <w:rsid w:val="00401DFF"/>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normal-level2">
    <w:name w:val="normal-level_2"/>
    <w:basedOn w:val="Normal"/>
    <w:rsid w:val="00401DFF"/>
    <w:pPr>
      <w:spacing w:before="100" w:beforeAutospacing="1" w:after="100" w:afterAutospacing="1" w:line="240" w:lineRule="auto"/>
    </w:pPr>
    <w:rPr>
      <w:rFonts w:ascii="Arial" w:eastAsia="Times New Roman" w:hAnsi="Arial" w:cs="Arial"/>
      <w:color w:val="990000"/>
      <w:sz w:val="15"/>
      <w:szCs w:val="15"/>
      <w:lang w:eastAsia="es-CO"/>
    </w:rPr>
  </w:style>
  <w:style w:type="paragraph" w:customStyle="1" w:styleId="normal-level3">
    <w:name w:val="normal-level_3"/>
    <w:basedOn w:val="Normal"/>
    <w:rsid w:val="00401DFF"/>
    <w:pPr>
      <w:spacing w:before="100" w:beforeAutospacing="1" w:after="100" w:afterAutospacing="1" w:line="240" w:lineRule="auto"/>
    </w:pPr>
    <w:rPr>
      <w:rFonts w:ascii="Arial" w:eastAsia="Times New Roman" w:hAnsi="Arial" w:cs="Arial"/>
      <w:color w:val="0D2E5B"/>
      <w:sz w:val="15"/>
      <w:szCs w:val="15"/>
      <w:lang w:eastAsia="es-CO"/>
    </w:rPr>
  </w:style>
  <w:style w:type="paragraph" w:customStyle="1" w:styleId="mostrarspantemp">
    <w:name w:val="mostrarspantem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dydoc">
    <w:name w:val="body_doc"/>
    <w:basedOn w:val="Normal"/>
    <w:rsid w:val="00401DFF"/>
    <w:pPr>
      <w:shd w:val="clear" w:color="auto" w:fill="C0C0C0"/>
      <w:spacing w:before="75" w:after="75" w:line="240" w:lineRule="auto"/>
      <w:ind w:left="75" w:right="75"/>
    </w:pPr>
    <w:rPr>
      <w:rFonts w:ascii="Times New Roman" w:eastAsia="Times New Roman" w:hAnsi="Times New Roman" w:cs="Times New Roman"/>
      <w:sz w:val="24"/>
      <w:szCs w:val="24"/>
      <w:lang w:eastAsia="es-CO"/>
    </w:rPr>
  </w:style>
  <w:style w:type="paragraph" w:customStyle="1" w:styleId="div-document">
    <w:name w:val="div-document"/>
    <w:basedOn w:val="Normal"/>
    <w:rsid w:val="00401DFF"/>
    <w:pPr>
      <w:pBdr>
        <w:top w:val="single" w:sz="8" w:space="0" w:color="A6A6A6"/>
        <w:left w:val="single" w:sz="8" w:space="0" w:color="A6A6A6"/>
        <w:bottom w:val="single" w:sz="8" w:space="0" w:color="A6A6A6"/>
        <w:right w:val="single" w:sz="8" w:space="0" w:color="A6A6A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rderdocument">
    <w:name w:val="border_document"/>
    <w:basedOn w:val="Normal"/>
    <w:rsid w:val="00401DFF"/>
    <w:pPr>
      <w:pBdr>
        <w:top w:val="single" w:sz="48" w:space="0" w:color="A6A6A6"/>
        <w:left w:val="single" w:sz="48" w:space="0" w:color="A6A6A6"/>
        <w:bottom w:val="single" w:sz="48" w:space="0" w:color="A6A6A6"/>
        <w:right w:val="single" w:sz="48" w:space="0" w:color="A6A6A6"/>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phit">
    <w:name w:val="lphit"/>
    <w:basedOn w:val="Normal"/>
    <w:rsid w:val="00401DFF"/>
    <w:pPr>
      <w:shd w:val="clear" w:color="auto" w:fill="0000FF"/>
      <w:spacing w:before="100" w:beforeAutospacing="1" w:after="100" w:afterAutospacing="1" w:line="240" w:lineRule="auto"/>
    </w:pPr>
    <w:rPr>
      <w:rFonts w:ascii="Times New Roman" w:eastAsia="Times New Roman" w:hAnsi="Times New Roman" w:cs="Times New Roman"/>
      <w:b/>
      <w:bCs/>
      <w:color w:val="FFFFFF"/>
      <w:sz w:val="24"/>
      <w:szCs w:val="24"/>
      <w:lang w:eastAsia="es-CO"/>
    </w:rPr>
  </w:style>
  <w:style w:type="paragraph" w:customStyle="1" w:styleId="cntrbghm">
    <w:name w:val="cntr_bg_h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top">
    <w:name w:val="cntr_bg_hm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top01">
    <w:name w:val="cntr_bg_hm_top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
    <w:name w:val="cntr_bg_hm_mi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01">
    <w:name w:val="cntr_bg_hm_mid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hmcol">
    <w:name w:val="cntr_hm_col"/>
    <w:basedOn w:val="Normal"/>
    <w:rsid w:val="00401DFF"/>
    <w:pPr>
      <w:spacing w:before="150" w:after="150" w:line="240" w:lineRule="auto"/>
    </w:pPr>
    <w:rPr>
      <w:rFonts w:ascii="Times New Roman" w:eastAsia="Times New Roman" w:hAnsi="Times New Roman" w:cs="Times New Roman"/>
      <w:sz w:val="24"/>
      <w:szCs w:val="24"/>
      <w:lang w:eastAsia="es-CO"/>
    </w:rPr>
  </w:style>
  <w:style w:type="paragraph" w:customStyle="1" w:styleId="collefthm">
    <w:name w:val="col_left_hm"/>
    <w:basedOn w:val="Normal"/>
    <w:rsid w:val="00401DFF"/>
    <w:pPr>
      <w:spacing w:after="0" w:line="240" w:lineRule="auto"/>
      <w:ind w:right="105"/>
    </w:pPr>
    <w:rPr>
      <w:rFonts w:ascii="Times New Roman" w:eastAsia="Times New Roman" w:hAnsi="Times New Roman" w:cs="Times New Roman"/>
      <w:sz w:val="24"/>
      <w:szCs w:val="24"/>
      <w:lang w:eastAsia="es-CO"/>
    </w:rPr>
  </w:style>
  <w:style w:type="paragraph" w:customStyle="1" w:styleId="colrighthm">
    <w:name w:val="col_right_hm"/>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cntrherram">
    <w:name w:val="cntr_herram"/>
    <w:basedOn w:val="Normal"/>
    <w:rsid w:val="00401DFF"/>
    <w:pPr>
      <w:pBdr>
        <w:top w:val="single" w:sz="2" w:space="0" w:color="E2E2E2"/>
        <w:left w:val="single" w:sz="2" w:space="0" w:color="E2E2E2"/>
        <w:bottom w:val="single" w:sz="6" w:space="0" w:color="E2E2E2"/>
        <w:right w:val="single" w:sz="2" w:space="0" w:color="E2E2E2"/>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arraacorazul">
    <w:name w:val="barra_acor_azul"/>
    <w:basedOn w:val="Normal"/>
    <w:rsid w:val="00401DFF"/>
    <w:pPr>
      <w:pBdr>
        <w:top w:val="single" w:sz="6" w:space="0" w:color="D2E6F0"/>
        <w:left w:val="single" w:sz="6" w:space="0" w:color="D2E6F0"/>
        <w:bottom w:val="single" w:sz="2" w:space="0" w:color="D2E6F0"/>
        <w:right w:val="single" w:sz="6" w:space="0" w:color="D2E6F0"/>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arraacorgris">
    <w:name w:val="barra_acor_gris"/>
    <w:basedOn w:val="Normal"/>
    <w:rsid w:val="00401DFF"/>
    <w:pPr>
      <w:pBdr>
        <w:top w:val="single" w:sz="6" w:space="0" w:color="E2E2E2"/>
        <w:left w:val="single" w:sz="6" w:space="0" w:color="E2E2E2"/>
        <w:bottom w:val="single" w:sz="2" w:space="0" w:color="E2E2E2"/>
        <w:right w:val="single" w:sz="6" w:space="0" w:color="E2E2E2"/>
      </w:pBdr>
      <w:shd w:val="clear" w:color="auto" w:fill="F8F8F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ttlmenu">
    <w:name w:val="cntr_ttl_menu"/>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menuacor">
    <w:name w:val="ico_menu_aco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menuacor">
    <w:name w:val="ttl_menu_acor"/>
    <w:basedOn w:val="Normal"/>
    <w:rsid w:val="00401DFF"/>
    <w:pPr>
      <w:spacing w:before="100" w:beforeAutospacing="1" w:after="100" w:afterAutospacing="1" w:line="240" w:lineRule="auto"/>
    </w:pPr>
    <w:rPr>
      <w:rFonts w:ascii="Arial" w:eastAsia="Times New Roman" w:hAnsi="Arial" w:cs="Arial"/>
      <w:b/>
      <w:bCs/>
      <w:color w:val="333333"/>
      <w:sz w:val="26"/>
      <w:szCs w:val="26"/>
      <w:lang w:eastAsia="es-CO"/>
    </w:rPr>
  </w:style>
  <w:style w:type="paragraph" w:customStyle="1" w:styleId="contacor">
    <w:name w:val="cont_acor"/>
    <w:basedOn w:val="Normal"/>
    <w:rsid w:val="00401DFF"/>
    <w:pPr>
      <w:pBdr>
        <w:top w:val="single" w:sz="6" w:space="4" w:color="DCECF8"/>
        <w:left w:val="single" w:sz="6" w:space="4" w:color="DCECF8"/>
        <w:bottom w:val="single" w:sz="2" w:space="4" w:color="DCECF8"/>
        <w:right w:val="single" w:sz="6" w:space="8" w:color="DCECF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tacor">
    <w:name w:val="cntr_cont_aco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echaacor">
    <w:name w:val="fecha_acor"/>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cntrinfo">
    <w:name w:val="cntr_inf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1acor">
    <w:name w:val="lnk01_acor"/>
    <w:basedOn w:val="Normal"/>
    <w:rsid w:val="00401DFF"/>
    <w:pPr>
      <w:spacing w:before="100" w:beforeAutospacing="1" w:after="100" w:afterAutospacing="1" w:line="255" w:lineRule="atLeast"/>
    </w:pPr>
    <w:rPr>
      <w:rFonts w:ascii="Arial" w:eastAsia="Times New Roman" w:hAnsi="Arial" w:cs="Arial"/>
      <w:color w:val="383838"/>
      <w:sz w:val="18"/>
      <w:szCs w:val="18"/>
      <w:lang w:eastAsia="es-CO"/>
    </w:rPr>
  </w:style>
  <w:style w:type="paragraph" w:customStyle="1" w:styleId="break">
    <w:name w:val="break"/>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uardarbusq01">
    <w:name w:val="cntr_guardar_busq01"/>
    <w:basedOn w:val="Normal"/>
    <w:rsid w:val="00401DFF"/>
    <w:pPr>
      <w:shd w:val="clear" w:color="auto" w:fill="F8F8F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putbusq01">
    <w:name w:val="cntr_input_busq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putbusq01">
    <w:name w:val="input_busq01"/>
    <w:basedOn w:val="Normal"/>
    <w:rsid w:val="00401DFF"/>
    <w:pPr>
      <w:pBdr>
        <w:top w:val="single" w:sz="6" w:space="2" w:color="CCCCCC"/>
        <w:left w:val="single" w:sz="6" w:space="2" w:color="CCCCCC"/>
        <w:bottom w:val="single" w:sz="6" w:space="2" w:color="A3A3A3"/>
        <w:right w:val="single" w:sz="6" w:space="2" w:color="A3A3A3"/>
      </w:pBdr>
      <w:spacing w:before="100" w:beforeAutospacing="1" w:after="100" w:afterAutospacing="1" w:line="240" w:lineRule="auto"/>
    </w:pPr>
    <w:rPr>
      <w:rFonts w:ascii="Arial" w:eastAsia="Times New Roman" w:hAnsi="Arial" w:cs="Arial"/>
      <w:color w:val="999999"/>
      <w:sz w:val="18"/>
      <w:szCs w:val="18"/>
      <w:lang w:eastAsia="es-CO"/>
    </w:rPr>
  </w:style>
  <w:style w:type="paragraph" w:customStyle="1" w:styleId="cntracciones01">
    <w:name w:val="cntr_accione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n">
    <w:name w:val="line_n"/>
    <w:basedOn w:val="Normal"/>
    <w:rsid w:val="00401DFF"/>
    <w:pPr>
      <w:pBdr>
        <w:right w:val="single" w:sz="6" w:space="0" w:color="CCCCCC"/>
      </w:pBdr>
      <w:spacing w:before="75" w:after="45" w:line="240" w:lineRule="auto"/>
      <w:ind w:right="45"/>
    </w:pPr>
    <w:rPr>
      <w:rFonts w:ascii="Times New Roman" w:eastAsia="Times New Roman" w:hAnsi="Times New Roman" w:cs="Times New Roman"/>
      <w:sz w:val="24"/>
      <w:szCs w:val="24"/>
      <w:lang w:eastAsia="es-CO"/>
    </w:rPr>
  </w:style>
  <w:style w:type="paragraph" w:customStyle="1" w:styleId="lnk03acor">
    <w:name w:val="lnk03_acor"/>
    <w:basedOn w:val="Normal"/>
    <w:rsid w:val="00401DFF"/>
    <w:pPr>
      <w:spacing w:before="100" w:beforeAutospacing="1" w:after="100" w:afterAutospacing="1" w:line="255" w:lineRule="atLeast"/>
    </w:pPr>
    <w:rPr>
      <w:rFonts w:ascii="Arial" w:eastAsia="Times New Roman" w:hAnsi="Arial" w:cs="Arial"/>
      <w:color w:val="949494"/>
      <w:sz w:val="17"/>
      <w:szCs w:val="17"/>
      <w:lang w:eastAsia="es-CO"/>
    </w:rPr>
  </w:style>
  <w:style w:type="paragraph" w:customStyle="1" w:styleId="cntrboxsolicitudes">
    <w:name w:val="cntr_box_solicitudes"/>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Times New Roman" w:eastAsia="Times New Roman" w:hAnsi="Times New Roman" w:cs="Times New Roman"/>
      <w:sz w:val="24"/>
      <w:szCs w:val="24"/>
      <w:lang w:eastAsia="es-CO"/>
    </w:rPr>
  </w:style>
  <w:style w:type="paragraph" w:customStyle="1" w:styleId="cntrttl01">
    <w:name w:val="cntr_ttl01"/>
    <w:basedOn w:val="Normal"/>
    <w:rsid w:val="00401DFF"/>
    <w:pPr>
      <w:pBdr>
        <w:bottom w:val="single" w:sz="6" w:space="0" w:color="EFEFE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9n">
    <w:name w:val="lnk09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btnagregar">
    <w:name w:val="cntr_btn_agreg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4">
    <w:name w:val="cntr_links_user04"/>
    <w:basedOn w:val="Normal"/>
    <w:rsid w:val="00401DFF"/>
    <w:pPr>
      <w:spacing w:after="0" w:line="240" w:lineRule="auto"/>
      <w:ind w:left="150"/>
    </w:pPr>
    <w:rPr>
      <w:rFonts w:ascii="Times New Roman" w:eastAsia="Times New Roman" w:hAnsi="Times New Roman" w:cs="Times New Roman"/>
      <w:sz w:val="24"/>
      <w:szCs w:val="24"/>
      <w:lang w:eastAsia="es-CO"/>
    </w:rPr>
  </w:style>
  <w:style w:type="paragraph" w:customStyle="1" w:styleId="lnk10n">
    <w:name w:val="lnk10_n"/>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cntrinfouser05">
    <w:name w:val="cntr_info_user05"/>
    <w:basedOn w:val="Normal"/>
    <w:rsid w:val="00401DFF"/>
    <w:pPr>
      <w:spacing w:before="120" w:after="120" w:line="240" w:lineRule="auto"/>
    </w:pPr>
    <w:rPr>
      <w:rFonts w:ascii="Times New Roman" w:eastAsia="Times New Roman" w:hAnsi="Times New Roman" w:cs="Times New Roman"/>
      <w:sz w:val="24"/>
      <w:szCs w:val="24"/>
      <w:lang w:eastAsia="es-CO"/>
    </w:rPr>
  </w:style>
  <w:style w:type="paragraph" w:customStyle="1" w:styleId="linesep04">
    <w:name w:val="line_sep04"/>
    <w:basedOn w:val="Normal"/>
    <w:rsid w:val="00401DFF"/>
    <w:pPr>
      <w:pBdr>
        <w:bottom w:val="dotted" w:sz="6" w:space="0" w:color="D4D4D4"/>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11n">
    <w:name w:val="lnk11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boxcomentario01">
    <w:name w:val="box_comentario01"/>
    <w:basedOn w:val="Normal"/>
    <w:rsid w:val="00401DFF"/>
    <w:pPr>
      <w:pBdr>
        <w:top w:val="single" w:sz="6" w:space="2" w:color="F8D181"/>
        <w:left w:val="single" w:sz="6" w:space="5" w:color="F8D181"/>
        <w:bottom w:val="single" w:sz="6" w:space="2" w:color="F8D181"/>
        <w:right w:val="single" w:sz="6" w:space="5" w:color="F8D181"/>
      </w:pBdr>
      <w:shd w:val="clear" w:color="auto" w:fill="FEF9D9"/>
      <w:spacing w:before="75" w:after="75" w:line="255" w:lineRule="atLeast"/>
    </w:pPr>
    <w:rPr>
      <w:rFonts w:ascii="Arial" w:eastAsia="Times New Roman" w:hAnsi="Arial" w:cs="Arial"/>
      <w:color w:val="575757"/>
      <w:sz w:val="17"/>
      <w:szCs w:val="17"/>
      <w:lang w:eastAsia="es-CO"/>
    </w:rPr>
  </w:style>
  <w:style w:type="paragraph" w:customStyle="1" w:styleId="fechacomment">
    <w:name w:val="fecha_comment"/>
    <w:basedOn w:val="Normal"/>
    <w:rsid w:val="00401DFF"/>
    <w:pPr>
      <w:spacing w:before="100" w:beforeAutospacing="1" w:after="100" w:afterAutospacing="1" w:line="255" w:lineRule="atLeast"/>
    </w:pPr>
    <w:rPr>
      <w:rFonts w:ascii="Arial" w:eastAsia="Times New Roman" w:hAnsi="Arial" w:cs="Arial"/>
      <w:color w:val="7E7E7E"/>
      <w:sz w:val="17"/>
      <w:szCs w:val="17"/>
      <w:lang w:eastAsia="es-CO"/>
    </w:rPr>
  </w:style>
  <w:style w:type="paragraph" w:customStyle="1" w:styleId="cntrinfouser07">
    <w:name w:val="cntr_info_user07"/>
    <w:basedOn w:val="Normal"/>
    <w:rsid w:val="00401DFF"/>
    <w:pPr>
      <w:pBdr>
        <w:bottom w:val="dotted" w:sz="6" w:space="0" w:color="E3F1FD"/>
      </w:pBdr>
      <w:shd w:val="clear" w:color="auto" w:fill="F6FA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adoinput01">
    <w:name w:val="estado_input01"/>
    <w:basedOn w:val="Normal"/>
    <w:rsid w:val="00401DFF"/>
    <w:pPr>
      <w:pBdr>
        <w:top w:val="single" w:sz="6" w:space="0" w:color="D6D6D6"/>
        <w:left w:val="single" w:sz="6" w:space="0" w:color="D6D6D6"/>
        <w:bottom w:val="single" w:sz="6" w:space="0" w:color="D6D6D6"/>
        <w:right w:val="single" w:sz="6" w:space="0" w:color="D6D6D6"/>
      </w:pBdr>
      <w:spacing w:after="75" w:line="240" w:lineRule="auto"/>
    </w:pPr>
    <w:rPr>
      <w:rFonts w:ascii="Times New Roman" w:eastAsia="Times New Roman" w:hAnsi="Times New Roman" w:cs="Times New Roman"/>
      <w:sz w:val="24"/>
      <w:szCs w:val="24"/>
      <w:lang w:eastAsia="es-CO"/>
    </w:rPr>
  </w:style>
  <w:style w:type="paragraph" w:customStyle="1" w:styleId="cntrlinksuser08">
    <w:name w:val="cntr_links_user08"/>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lnk012n">
    <w:name w:val="lnk012_n"/>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lnk03acor1">
    <w:name w:val="lnk03_acor_1"/>
    <w:basedOn w:val="Normal"/>
    <w:rsid w:val="00401DFF"/>
    <w:pPr>
      <w:spacing w:before="100" w:beforeAutospacing="1" w:after="100" w:afterAutospacing="1" w:line="255" w:lineRule="atLeast"/>
    </w:pPr>
    <w:rPr>
      <w:rFonts w:ascii="Arial" w:eastAsia="Times New Roman" w:hAnsi="Arial" w:cs="Arial"/>
      <w:color w:val="949494"/>
      <w:sz w:val="17"/>
      <w:szCs w:val="17"/>
      <w:lang w:eastAsia="es-CO"/>
    </w:rPr>
  </w:style>
  <w:style w:type="paragraph" w:customStyle="1" w:styleId="fechaacor1">
    <w:name w:val="fecha_acor_1"/>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cntrinfo1">
    <w:name w:val="cntr_info_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form">
    <w:name w:val="cntr_autent_for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info">
    <w:name w:val="cntr_autent_info"/>
    <w:basedOn w:val="Normal"/>
    <w:rsid w:val="00401DFF"/>
    <w:pPr>
      <w:spacing w:after="150" w:line="240" w:lineRule="auto"/>
    </w:pPr>
    <w:rPr>
      <w:rFonts w:ascii="Times New Roman" w:eastAsia="Times New Roman" w:hAnsi="Times New Roman" w:cs="Times New Roman"/>
      <w:sz w:val="24"/>
      <w:szCs w:val="24"/>
      <w:lang w:eastAsia="es-CO"/>
    </w:rPr>
  </w:style>
  <w:style w:type="paragraph" w:customStyle="1" w:styleId="icoautent">
    <w:name w:val="ico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autent">
    <w:name w:val="info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
    <w:name w:val="ttl_autent"/>
    <w:basedOn w:val="Normal"/>
    <w:rsid w:val="00401DFF"/>
    <w:pPr>
      <w:spacing w:before="100" w:beforeAutospacing="1" w:after="100" w:afterAutospacing="1" w:line="300" w:lineRule="atLeast"/>
    </w:pPr>
    <w:rPr>
      <w:rFonts w:ascii="Arial" w:eastAsia="Times New Roman" w:hAnsi="Arial" w:cs="Arial"/>
      <w:b/>
      <w:bCs/>
      <w:color w:val="255D83"/>
      <w:sz w:val="26"/>
      <w:szCs w:val="26"/>
      <w:lang w:eastAsia="es-CO"/>
    </w:rPr>
  </w:style>
  <w:style w:type="paragraph" w:customStyle="1" w:styleId="txtautent">
    <w:name w:val="txt_autent"/>
    <w:basedOn w:val="Normal"/>
    <w:rsid w:val="00401DFF"/>
    <w:pPr>
      <w:spacing w:before="100" w:beforeAutospacing="1" w:after="100" w:afterAutospacing="1" w:line="270" w:lineRule="atLeast"/>
    </w:pPr>
    <w:rPr>
      <w:rFonts w:ascii="Arial" w:eastAsia="Times New Roman" w:hAnsi="Arial" w:cs="Arial"/>
      <w:color w:val="666666"/>
      <w:sz w:val="21"/>
      <w:szCs w:val="21"/>
      <w:lang w:eastAsia="es-CO"/>
    </w:rPr>
  </w:style>
  <w:style w:type="paragraph" w:customStyle="1" w:styleId="boxautent">
    <w:name w:val="box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top">
    <w:name w:val="box_auten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mid">
    <w:name w:val="box_autent_mi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bottom">
    <w:name w:val="box_auten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ingreso">
    <w:name w:val="cntr_autent_ingreso"/>
    <w:basedOn w:val="Normal"/>
    <w:rsid w:val="00401DFF"/>
    <w:pPr>
      <w:pBdr>
        <w:left w:val="dotted" w:sz="6" w:space="8" w:color="C7DEEF"/>
      </w:pBdr>
      <w:spacing w:after="150" w:line="240" w:lineRule="auto"/>
      <w:ind w:left="150"/>
    </w:pPr>
    <w:rPr>
      <w:rFonts w:ascii="Times New Roman" w:eastAsia="Times New Roman" w:hAnsi="Times New Roman" w:cs="Times New Roman"/>
      <w:sz w:val="24"/>
      <w:szCs w:val="24"/>
      <w:lang w:eastAsia="es-CO"/>
    </w:rPr>
  </w:style>
  <w:style w:type="paragraph" w:customStyle="1" w:styleId="cntrautentregistro">
    <w:name w:val="cntr_autent_registr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form">
    <w:name w:val="ttl_autent_form"/>
    <w:basedOn w:val="Normal"/>
    <w:rsid w:val="00401DFF"/>
    <w:pPr>
      <w:spacing w:before="100" w:beforeAutospacing="1" w:after="100" w:afterAutospacing="1" w:line="300" w:lineRule="atLeast"/>
    </w:pPr>
    <w:rPr>
      <w:rFonts w:ascii="Arial" w:eastAsia="Times New Roman" w:hAnsi="Arial" w:cs="Arial"/>
      <w:b/>
      <w:bCs/>
      <w:color w:val="444444"/>
      <w:sz w:val="21"/>
      <w:szCs w:val="21"/>
      <w:lang w:eastAsia="es-CO"/>
    </w:rPr>
  </w:style>
  <w:style w:type="paragraph" w:customStyle="1" w:styleId="txtautent01">
    <w:name w:val="txt_autent01"/>
    <w:basedOn w:val="Normal"/>
    <w:rsid w:val="00401DFF"/>
    <w:pPr>
      <w:spacing w:before="100" w:beforeAutospacing="1" w:after="100" w:afterAutospacing="1" w:line="270" w:lineRule="atLeast"/>
    </w:pPr>
    <w:rPr>
      <w:rFonts w:ascii="Arial" w:eastAsia="Times New Roman" w:hAnsi="Arial" w:cs="Arial"/>
      <w:color w:val="666666"/>
      <w:sz w:val="18"/>
      <w:szCs w:val="18"/>
      <w:lang w:eastAsia="es-CO"/>
    </w:rPr>
  </w:style>
  <w:style w:type="paragraph" w:customStyle="1" w:styleId="txtautent02">
    <w:name w:val="txt_autent02"/>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boxautentinput">
    <w:name w:val="box_autent_inp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input">
    <w:name w:val="txt_autent_input"/>
    <w:basedOn w:val="Normal"/>
    <w:rsid w:val="00401DFF"/>
    <w:pPr>
      <w:spacing w:before="100" w:beforeAutospacing="1" w:after="100" w:afterAutospacing="1" w:line="240" w:lineRule="auto"/>
    </w:pPr>
    <w:rPr>
      <w:rFonts w:ascii="Arial" w:eastAsia="Times New Roman" w:hAnsi="Arial" w:cs="Arial"/>
      <w:color w:val="255C82"/>
      <w:sz w:val="20"/>
      <w:szCs w:val="20"/>
      <w:lang w:eastAsia="es-CO"/>
    </w:rPr>
  </w:style>
  <w:style w:type="paragraph" w:customStyle="1" w:styleId="cntrautentinput">
    <w:name w:val="cntr_autent_inp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utentinput01">
    <w:name w:val="autent_input01"/>
    <w:basedOn w:val="Normal"/>
    <w:rsid w:val="00401DFF"/>
    <w:pPr>
      <w:pBdr>
        <w:top w:val="single" w:sz="6" w:space="0" w:color="D7D7D7"/>
        <w:left w:val="single" w:sz="6" w:space="0" w:color="D7D7D7"/>
        <w:bottom w:val="single" w:sz="6" w:space="0" w:color="D7D7D7"/>
        <w:right w:val="single" w:sz="6" w:space="0" w:color="D7D7D7"/>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3">
    <w:name w:val="txt_autent03"/>
    <w:basedOn w:val="Normal"/>
    <w:rsid w:val="00401DFF"/>
    <w:pPr>
      <w:spacing w:before="100" w:beforeAutospacing="1" w:after="100" w:afterAutospacing="1" w:line="240" w:lineRule="auto"/>
    </w:pPr>
    <w:rPr>
      <w:rFonts w:ascii="Arial" w:eastAsia="Times New Roman" w:hAnsi="Arial" w:cs="Arial"/>
      <w:color w:val="255C82"/>
      <w:sz w:val="17"/>
      <w:szCs w:val="17"/>
      <w:lang w:eastAsia="es-CO"/>
    </w:rPr>
  </w:style>
  <w:style w:type="paragraph" w:customStyle="1" w:styleId="lineautent">
    <w:name w:val="line_autent"/>
    <w:basedOn w:val="Normal"/>
    <w:rsid w:val="00401DFF"/>
    <w:pPr>
      <w:pBdr>
        <w:bottom w:val="dotted" w:sz="6" w:space="0" w:color="CCCCCC"/>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btn">
    <w:name w:val="cntr_autent_bt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autent">
    <w:name w:val="sep_autent"/>
    <w:basedOn w:val="Normal"/>
    <w:rsid w:val="00401DFF"/>
    <w:pPr>
      <w:pBdr>
        <w:left w:val="single" w:sz="6" w:space="0" w:color="CCCCCC"/>
      </w:pBdr>
      <w:spacing w:before="120" w:after="0" w:line="240" w:lineRule="auto"/>
      <w:ind w:left="150"/>
    </w:pPr>
    <w:rPr>
      <w:rFonts w:ascii="Times New Roman" w:eastAsia="Times New Roman" w:hAnsi="Times New Roman" w:cs="Times New Roman"/>
      <w:sz w:val="24"/>
      <w:szCs w:val="24"/>
      <w:lang w:eastAsia="es-CO"/>
    </w:rPr>
  </w:style>
  <w:style w:type="paragraph" w:customStyle="1" w:styleId="lnkautent">
    <w:name w:val="lnk_autent"/>
    <w:basedOn w:val="Normal"/>
    <w:rsid w:val="00401DFF"/>
    <w:pPr>
      <w:spacing w:before="100" w:beforeAutospacing="1" w:after="100" w:afterAutospacing="1" w:line="240" w:lineRule="auto"/>
    </w:pPr>
    <w:rPr>
      <w:rFonts w:ascii="Arial" w:eastAsia="Times New Roman" w:hAnsi="Arial" w:cs="Arial"/>
      <w:color w:val="255C82"/>
      <w:sz w:val="18"/>
      <w:szCs w:val="18"/>
      <w:lang w:eastAsia="es-CO"/>
    </w:rPr>
  </w:style>
  <w:style w:type="paragraph" w:customStyle="1" w:styleId="hidden">
    <w:name w:val="hidden"/>
    <w:basedOn w:val="Normal"/>
    <w:rsid w:val="00401DFF"/>
    <w:pPr>
      <w:spacing w:before="100" w:beforeAutospacing="1" w:after="100" w:afterAutospacing="1" w:line="240" w:lineRule="auto"/>
    </w:pPr>
    <w:rPr>
      <w:rFonts w:ascii="Times New Roman" w:eastAsia="Times New Roman" w:hAnsi="Times New Roman" w:cs="Times New Roman"/>
      <w:vanish/>
      <w:sz w:val="24"/>
      <w:szCs w:val="24"/>
      <w:lang w:eastAsia="es-CO"/>
    </w:rPr>
  </w:style>
  <w:style w:type="paragraph" w:customStyle="1" w:styleId="cntrautentbtn02">
    <w:name w:val="cntr_autent_btn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reg01">
    <w:name w:val="cntr_autent_reg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4">
    <w:name w:val="txt_autent04"/>
    <w:basedOn w:val="Normal"/>
    <w:rsid w:val="00401DFF"/>
    <w:pPr>
      <w:spacing w:before="100" w:beforeAutospacing="1" w:after="100" w:afterAutospacing="1" w:line="240" w:lineRule="auto"/>
    </w:pPr>
    <w:rPr>
      <w:rFonts w:ascii="Arial" w:eastAsia="Times New Roman" w:hAnsi="Arial" w:cs="Arial"/>
      <w:b/>
      <w:bCs/>
      <w:color w:val="666666"/>
      <w:sz w:val="20"/>
      <w:szCs w:val="20"/>
      <w:lang w:eastAsia="es-CO"/>
    </w:rPr>
  </w:style>
  <w:style w:type="paragraph" w:customStyle="1" w:styleId="boxautentinput01">
    <w:name w:val="box_autent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utentinput02">
    <w:name w:val="autent_input02"/>
    <w:basedOn w:val="Normal"/>
    <w:rsid w:val="00401DFF"/>
    <w:pPr>
      <w:pBdr>
        <w:top w:val="single" w:sz="6" w:space="0" w:color="D7D7D7"/>
        <w:left w:val="single" w:sz="6" w:space="0" w:color="D7D7D7"/>
        <w:bottom w:val="single" w:sz="6" w:space="0" w:color="D7D7D7"/>
        <w:right w:val="single" w:sz="6" w:space="0" w:color="D7D7D7"/>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jautent">
    <w:name w:val="msj_autent"/>
    <w:basedOn w:val="Normal"/>
    <w:rsid w:val="00401DFF"/>
    <w:pPr>
      <w:spacing w:before="100" w:beforeAutospacing="1" w:after="100" w:afterAutospacing="1" w:line="255" w:lineRule="atLeast"/>
    </w:pPr>
    <w:rPr>
      <w:rFonts w:ascii="Arial" w:eastAsia="Times New Roman" w:hAnsi="Arial" w:cs="Arial"/>
      <w:color w:val="296A93"/>
      <w:sz w:val="20"/>
      <w:szCs w:val="20"/>
      <w:lang w:eastAsia="es-CO"/>
    </w:rPr>
  </w:style>
  <w:style w:type="paragraph" w:customStyle="1" w:styleId="msjautent01">
    <w:name w:val="msj_autent01"/>
    <w:basedOn w:val="Normal"/>
    <w:rsid w:val="00401DFF"/>
    <w:pPr>
      <w:spacing w:before="100" w:beforeAutospacing="1" w:after="100" w:afterAutospacing="1" w:line="270" w:lineRule="atLeast"/>
    </w:pPr>
    <w:rPr>
      <w:rFonts w:ascii="Arial" w:eastAsia="Times New Roman" w:hAnsi="Arial" w:cs="Arial"/>
      <w:b/>
      <w:bCs/>
      <w:color w:val="255D83"/>
      <w:sz w:val="26"/>
      <w:szCs w:val="26"/>
      <w:lang w:eastAsia="es-CO"/>
    </w:rPr>
  </w:style>
  <w:style w:type="paragraph" w:customStyle="1" w:styleId="msjautent02">
    <w:name w:val="msj_autent02"/>
    <w:basedOn w:val="Normal"/>
    <w:rsid w:val="00401DFF"/>
    <w:pPr>
      <w:spacing w:before="100" w:beforeAutospacing="1" w:after="100" w:afterAutospacing="1" w:line="270" w:lineRule="atLeast"/>
    </w:pPr>
    <w:rPr>
      <w:rFonts w:ascii="Arial" w:eastAsia="Times New Roman" w:hAnsi="Arial" w:cs="Arial"/>
      <w:b/>
      <w:bCs/>
      <w:color w:val="255D83"/>
      <w:sz w:val="21"/>
      <w:szCs w:val="21"/>
      <w:lang w:eastAsia="es-CO"/>
    </w:rPr>
  </w:style>
  <w:style w:type="paragraph" w:customStyle="1" w:styleId="cntrautentreg02">
    <w:name w:val="cntr_autent_reg02"/>
    <w:basedOn w:val="Normal"/>
    <w:rsid w:val="00401DFF"/>
    <w:pPr>
      <w:shd w:val="clear" w:color="auto" w:fill="F2F8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5">
    <w:name w:val="txt_autent05"/>
    <w:basedOn w:val="Normal"/>
    <w:rsid w:val="00401DFF"/>
    <w:pPr>
      <w:spacing w:before="100" w:beforeAutospacing="1" w:after="100" w:afterAutospacing="1" w:line="270" w:lineRule="atLeast"/>
    </w:pPr>
    <w:rPr>
      <w:rFonts w:ascii="Arial" w:eastAsia="Times New Roman" w:hAnsi="Arial" w:cs="Arial"/>
      <w:color w:val="666666"/>
      <w:sz w:val="18"/>
      <w:szCs w:val="18"/>
      <w:lang w:eastAsia="es-CO"/>
    </w:rPr>
  </w:style>
  <w:style w:type="paragraph" w:customStyle="1" w:styleId="cntrautentcaract">
    <w:name w:val="cntr_autent_caract"/>
    <w:basedOn w:val="Normal"/>
    <w:rsid w:val="00401DFF"/>
    <w:pPr>
      <w:spacing w:before="450" w:after="450" w:line="240" w:lineRule="auto"/>
    </w:pPr>
    <w:rPr>
      <w:rFonts w:ascii="Times New Roman" w:eastAsia="Times New Roman" w:hAnsi="Times New Roman" w:cs="Times New Roman"/>
      <w:sz w:val="24"/>
      <w:szCs w:val="24"/>
      <w:lang w:eastAsia="es-CO"/>
    </w:rPr>
  </w:style>
  <w:style w:type="paragraph" w:customStyle="1" w:styleId="col01autent">
    <w:name w:val="col01_autent"/>
    <w:basedOn w:val="Normal"/>
    <w:rsid w:val="00401DFF"/>
    <w:pPr>
      <w:spacing w:before="100" w:beforeAutospacing="1" w:after="100" w:afterAutospacing="1" w:line="255" w:lineRule="atLeast"/>
    </w:pPr>
    <w:rPr>
      <w:rFonts w:ascii="Arial" w:eastAsia="Times New Roman" w:hAnsi="Arial" w:cs="Arial"/>
      <w:color w:val="255D83"/>
      <w:sz w:val="23"/>
      <w:szCs w:val="23"/>
      <w:lang w:eastAsia="es-CO"/>
    </w:rPr>
  </w:style>
  <w:style w:type="paragraph" w:customStyle="1" w:styleId="col02autent">
    <w:name w:val="col02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3autent">
    <w:name w:val="col03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
    <w:name w:val="box_auten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top">
    <w:name w:val="box_autent02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mid">
    <w:name w:val="box_autent02_mid"/>
    <w:basedOn w:val="Normal"/>
    <w:rsid w:val="00401DFF"/>
    <w:pPr>
      <w:pBdr>
        <w:top w:val="single" w:sz="2" w:space="8" w:color="C7E4FA"/>
        <w:left w:val="single" w:sz="6" w:space="20" w:color="C7E4FA"/>
        <w:bottom w:val="single" w:sz="2" w:space="8" w:color="C7E4FA"/>
        <w:right w:val="single" w:sz="6" w:space="20" w:color="C7E4F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bottom">
    <w:name w:val="box_autent02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stacaract">
    <w:name w:val="lista_cara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1">
    <w:name w:val="item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2">
    <w:name w:val="item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3">
    <w:name w:val="item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4">
    <w:name w:val="item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pacio">
    <w:name w:val="espacio"/>
    <w:basedOn w:val="Normal"/>
    <w:rsid w:val="00401DFF"/>
    <w:pPr>
      <w:pBdr>
        <w:top w:val="single" w:sz="6" w:space="3" w:color="000033"/>
        <w:left w:val="single" w:sz="6" w:space="0" w:color="000033"/>
        <w:bottom w:val="single" w:sz="6" w:space="0" w:color="000033"/>
        <w:right w:val="single" w:sz="6" w:space="0" w:color="000033"/>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btn01">
    <w:name w:val="cntr_autent_bt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autent1">
    <w:name w:val="line_autent1"/>
    <w:basedOn w:val="Normal"/>
    <w:rsid w:val="00401DFF"/>
    <w:pPr>
      <w:pBdr>
        <w:top w:val="dotted" w:sz="6" w:space="0" w:color="E2E2E2"/>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olvidoclave">
    <w:name w:val="cntr_olvido_clav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registro02">
    <w:name w:val="cntr_autent_registro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oto">
    <w:name w:val="cntr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ghtaut">
    <w:name w:val="cntr_light_a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r01">
    <w:name w:val="box_subr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l01">
    <w:name w:val="box_sub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lightboxnxt">
    <w:name w:val="ttl_lightbox_nxt"/>
    <w:basedOn w:val="Normal"/>
    <w:rsid w:val="00401DFF"/>
    <w:pPr>
      <w:spacing w:before="100" w:beforeAutospacing="1" w:after="100" w:afterAutospacing="1" w:line="240" w:lineRule="auto"/>
    </w:pPr>
    <w:rPr>
      <w:rFonts w:ascii="Tahoma" w:eastAsia="Times New Roman" w:hAnsi="Tahoma" w:cs="Tahoma"/>
      <w:b/>
      <w:bCs/>
      <w:color w:val="FFFFFF"/>
      <w:sz w:val="17"/>
      <w:szCs w:val="17"/>
      <w:lang w:eastAsia="es-CO"/>
    </w:rPr>
  </w:style>
  <w:style w:type="paragraph" w:customStyle="1" w:styleId="boxsubr02">
    <w:name w:val="box_subr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l02">
    <w:name w:val="box_subl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ppluser">
    <w:name w:val="name_ppl_user"/>
    <w:basedOn w:val="Normal"/>
    <w:rsid w:val="00401DFF"/>
    <w:pPr>
      <w:spacing w:before="100" w:beforeAutospacing="1" w:after="100" w:afterAutospacing="1" w:line="240" w:lineRule="auto"/>
    </w:pPr>
    <w:rPr>
      <w:rFonts w:ascii="Arial" w:eastAsia="Times New Roman" w:hAnsi="Arial" w:cs="Arial"/>
      <w:b/>
      <w:bCs/>
      <w:color w:val="006699"/>
      <w:sz w:val="26"/>
      <w:szCs w:val="26"/>
      <w:lang w:eastAsia="es-CO"/>
    </w:rPr>
  </w:style>
  <w:style w:type="paragraph" w:customStyle="1" w:styleId="cntrregaut">
    <w:name w:val="cntr_reg_a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r03">
    <w:name w:val="box_subr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topligthbox">
    <w:name w:val="box_autent_top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midligthbox">
    <w:name w:val="box_autent_mid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bottomligthbox">
    <w:name w:val="box_autent_bottom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lose">
    <w:name w:val="close"/>
    <w:basedOn w:val="Normal"/>
    <w:rsid w:val="00401DFF"/>
    <w:pPr>
      <w:spacing w:before="100" w:beforeAutospacing="1" w:after="100" w:afterAutospacing="1" w:line="240" w:lineRule="auto"/>
    </w:pPr>
    <w:rPr>
      <w:rFonts w:ascii="Arial" w:eastAsia="Times New Roman" w:hAnsi="Arial" w:cs="Arial"/>
      <w:color w:val="255C82"/>
      <w:sz w:val="17"/>
      <w:szCs w:val="17"/>
      <w:lang w:eastAsia="es-CO"/>
    </w:rPr>
  </w:style>
  <w:style w:type="paragraph" w:customStyle="1" w:styleId="cntrgral1">
    <w:name w:val="cntr_gral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gralleft">
    <w:name w:val="col_gral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gralright">
    <w:name w:val="col_gral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mid01">
    <w:name w:val="col_mid_01"/>
    <w:basedOn w:val="Normal"/>
    <w:rsid w:val="00401DF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ntentlstmultiple">
    <w:name w:val="contentlstmultiple"/>
    <w:basedOn w:val="Normal"/>
    <w:rsid w:val="00401DFF"/>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stmultiple">
    <w:name w:val="lstmultiple"/>
    <w:basedOn w:val="Normal"/>
    <w:rsid w:val="00401DFF"/>
    <w:pPr>
      <w:spacing w:before="100" w:beforeAutospacing="1" w:after="100" w:afterAutospacing="1" w:line="240" w:lineRule="auto"/>
    </w:pPr>
    <w:rPr>
      <w:rFonts w:ascii="Arial" w:eastAsia="Times New Roman" w:hAnsi="Arial" w:cs="Arial"/>
      <w:sz w:val="17"/>
      <w:szCs w:val="17"/>
      <w:lang w:eastAsia="es-CO"/>
    </w:rPr>
  </w:style>
  <w:style w:type="paragraph" w:customStyle="1" w:styleId="cntrbghmmid03">
    <w:name w:val="cntr_bg_hm_mi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04">
    <w:name w:val="cntr_bg_hm_mi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central">
    <w:name w:val="col_centr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izq">
    <w:name w:val="col_perfil_izq"/>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der">
    <w:name w:val="col_perfil_d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perfil">
    <w:name w:val="cntr_perfi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perfil">
    <w:name w:val="foto_perfil"/>
    <w:basedOn w:val="Normal"/>
    <w:rsid w:val="00401DFF"/>
    <w:pPr>
      <w:pBdr>
        <w:top w:val="single" w:sz="6" w:space="2" w:color="DFDFDF"/>
        <w:left w:val="single" w:sz="6" w:space="2" w:color="DFDFDF"/>
        <w:bottom w:val="single" w:sz="6" w:space="2" w:color="DFDFDF"/>
        <w:right w:val="single" w:sz="6" w:space="2" w:color="DFDFDF"/>
      </w:pBdr>
      <w:spacing w:before="225" w:after="0" w:line="240" w:lineRule="auto"/>
      <w:ind w:left="150"/>
    </w:pPr>
    <w:rPr>
      <w:rFonts w:ascii="Times New Roman" w:eastAsia="Times New Roman" w:hAnsi="Times New Roman" w:cs="Times New Roman"/>
      <w:sz w:val="24"/>
      <w:szCs w:val="24"/>
      <w:lang w:eastAsia="es-CO"/>
    </w:rPr>
  </w:style>
  <w:style w:type="paragraph" w:customStyle="1" w:styleId="ttlpplcom">
    <w:name w:val="ttl_ppl_com"/>
    <w:basedOn w:val="Normal"/>
    <w:rsid w:val="00401DFF"/>
    <w:pPr>
      <w:spacing w:before="100" w:beforeAutospacing="1" w:after="100" w:afterAutospacing="1" w:line="240" w:lineRule="auto"/>
    </w:pPr>
    <w:rPr>
      <w:rFonts w:ascii="Arial" w:eastAsia="Times New Roman" w:hAnsi="Arial" w:cs="Arial"/>
      <w:b/>
      <w:bCs/>
      <w:color w:val="333333"/>
      <w:sz w:val="27"/>
      <w:szCs w:val="27"/>
      <w:lang w:eastAsia="es-CO"/>
    </w:rPr>
  </w:style>
  <w:style w:type="paragraph" w:customStyle="1" w:styleId="linecom01">
    <w:name w:val="line_com01"/>
    <w:basedOn w:val="Normal"/>
    <w:rsid w:val="00401DFF"/>
    <w:pPr>
      <w:shd w:val="clear" w:color="auto" w:fill="F2F2F2"/>
      <w:spacing w:before="75" w:after="75" w:line="240" w:lineRule="auto"/>
    </w:pPr>
    <w:rPr>
      <w:rFonts w:ascii="Times New Roman" w:eastAsia="Times New Roman" w:hAnsi="Times New Roman" w:cs="Times New Roman"/>
      <w:sz w:val="24"/>
      <w:szCs w:val="24"/>
      <w:lang w:eastAsia="es-CO"/>
    </w:rPr>
  </w:style>
  <w:style w:type="paragraph" w:customStyle="1" w:styleId="pfcntrinput01">
    <w:name w:val="pf_cntr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boxinput01">
    <w:name w:val="pf_box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boxinput02">
    <w:name w:val="pf_box_inpu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nameinput01">
    <w:name w:val="pf_name_input01"/>
    <w:basedOn w:val="Normal"/>
    <w:rsid w:val="00401DFF"/>
    <w:pPr>
      <w:spacing w:before="100" w:beforeAutospacing="1" w:after="100" w:afterAutospacing="1" w:line="240" w:lineRule="auto"/>
    </w:pPr>
    <w:rPr>
      <w:rFonts w:ascii="Arial" w:eastAsia="Times New Roman" w:hAnsi="Arial" w:cs="Arial"/>
      <w:color w:val="333333"/>
      <w:sz w:val="18"/>
      <w:szCs w:val="18"/>
      <w:lang w:eastAsia="es-CO"/>
    </w:rPr>
  </w:style>
  <w:style w:type="paragraph" w:customStyle="1" w:styleId="pfinput01">
    <w:name w:val="pf_input01"/>
    <w:basedOn w:val="Normal"/>
    <w:rsid w:val="00401DFF"/>
    <w:pPr>
      <w:pBdr>
        <w:top w:val="single" w:sz="6" w:space="0" w:color="DFDFDF"/>
        <w:left w:val="single" w:sz="6" w:space="0" w:color="DFDFDF"/>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select01">
    <w:name w:val="pf_selec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input02">
    <w:name w:val="pf_inpu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fig">
    <w:name w:val="cntr_config"/>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config">
    <w:name w:val="sttl_config"/>
    <w:basedOn w:val="Normal"/>
    <w:rsid w:val="00401DFF"/>
    <w:pPr>
      <w:spacing w:before="100" w:beforeAutospacing="1" w:after="100" w:afterAutospacing="1" w:line="240" w:lineRule="auto"/>
    </w:pPr>
    <w:rPr>
      <w:rFonts w:ascii="Arial" w:eastAsia="Times New Roman" w:hAnsi="Arial" w:cs="Arial"/>
      <w:b/>
      <w:bCs/>
      <w:color w:val="204C6D"/>
      <w:sz w:val="23"/>
      <w:szCs w:val="23"/>
      <w:lang w:eastAsia="es-CO"/>
    </w:rPr>
  </w:style>
  <w:style w:type="paragraph" w:customStyle="1" w:styleId="cfgcntropc01">
    <w:name w:val="cfg_cntr_opc01"/>
    <w:basedOn w:val="Normal"/>
    <w:rsid w:val="00401DFF"/>
    <w:pPr>
      <w:pBdr>
        <w:bottom w:val="single" w:sz="6" w:space="2"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opc01a">
    <w:name w:val="cfg_cntr_opc01_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conf01">
    <w:name w:val="sep_conf01"/>
    <w:basedOn w:val="Normal"/>
    <w:rsid w:val="00401DFF"/>
    <w:pPr>
      <w:pBdr>
        <w:lef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radio">
    <w:name w:val="cfg_cntr_radi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
    <w:name w:val="cntr_radi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01">
    <w:name w:val="cntr_radio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03">
    <w:name w:val="cntr_radio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radio">
    <w:name w:val="txt_radio"/>
    <w:basedOn w:val="Normal"/>
    <w:rsid w:val="00401DFF"/>
    <w:pPr>
      <w:spacing w:before="100" w:beforeAutospacing="1" w:after="100" w:afterAutospacing="1" w:line="240" w:lineRule="auto"/>
    </w:pPr>
    <w:rPr>
      <w:rFonts w:ascii="Arial" w:eastAsia="Times New Roman" w:hAnsi="Arial" w:cs="Arial"/>
      <w:color w:val="666666"/>
      <w:sz w:val="20"/>
      <w:szCs w:val="20"/>
      <w:lang w:eastAsia="es-CO"/>
    </w:rPr>
  </w:style>
  <w:style w:type="paragraph" w:customStyle="1" w:styleId="txtradio2">
    <w:name w:val="txt_radio2"/>
    <w:basedOn w:val="Normal"/>
    <w:rsid w:val="00401DFF"/>
    <w:pPr>
      <w:spacing w:after="0" w:line="240" w:lineRule="auto"/>
    </w:pPr>
    <w:rPr>
      <w:rFonts w:ascii="Arial" w:eastAsia="Times New Roman" w:hAnsi="Arial" w:cs="Arial"/>
      <w:color w:val="666666"/>
      <w:sz w:val="20"/>
      <w:szCs w:val="20"/>
      <w:lang w:eastAsia="es-CO"/>
    </w:rPr>
  </w:style>
  <w:style w:type="paragraph" w:customStyle="1" w:styleId="radiobtn01">
    <w:name w:val="radiobtn01"/>
    <w:basedOn w:val="Normal"/>
    <w:rsid w:val="00401DFF"/>
    <w:pPr>
      <w:spacing w:after="0" w:line="240" w:lineRule="auto"/>
    </w:pPr>
    <w:rPr>
      <w:rFonts w:ascii="Arial" w:eastAsia="Times New Roman" w:hAnsi="Arial" w:cs="Arial"/>
      <w:color w:val="666666"/>
      <w:sz w:val="20"/>
      <w:szCs w:val="20"/>
      <w:lang w:eastAsia="es-CO"/>
    </w:rPr>
  </w:style>
  <w:style w:type="paragraph" w:customStyle="1" w:styleId="pftxt">
    <w:name w:val="pf_txt"/>
    <w:basedOn w:val="Normal"/>
    <w:rsid w:val="00401DFF"/>
    <w:pPr>
      <w:spacing w:before="100" w:beforeAutospacing="1" w:after="100" w:afterAutospacing="1" w:line="240" w:lineRule="auto"/>
    </w:pPr>
    <w:rPr>
      <w:rFonts w:ascii="Arial" w:eastAsia="Times New Roman" w:hAnsi="Arial" w:cs="Arial"/>
      <w:color w:val="666666"/>
      <w:sz w:val="20"/>
      <w:szCs w:val="20"/>
      <w:lang w:eastAsia="es-CO"/>
    </w:rPr>
  </w:style>
  <w:style w:type="paragraph" w:customStyle="1" w:styleId="pftxt01">
    <w:name w:val="pf_txt01"/>
    <w:basedOn w:val="Normal"/>
    <w:rsid w:val="00401DFF"/>
    <w:pPr>
      <w:spacing w:before="100" w:beforeAutospacing="1" w:after="100" w:afterAutospacing="1" w:line="240" w:lineRule="auto"/>
    </w:pPr>
    <w:rPr>
      <w:rFonts w:ascii="Arial" w:eastAsia="Times New Roman" w:hAnsi="Arial" w:cs="Arial"/>
      <w:color w:val="33739B"/>
      <w:sz w:val="17"/>
      <w:szCs w:val="17"/>
      <w:lang w:eastAsia="es-CO"/>
    </w:rPr>
  </w:style>
  <w:style w:type="paragraph" w:customStyle="1" w:styleId="pfselect02">
    <w:name w:val="pf_selec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opc04">
    <w:name w:val="cfg_cntr_opc04"/>
    <w:basedOn w:val="Normal"/>
    <w:rsid w:val="00401DFF"/>
    <w:pPr>
      <w:pBdr>
        <w:bottom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txt">
    <w:name w:val="cfg_txt"/>
    <w:basedOn w:val="Normal"/>
    <w:rsid w:val="00401DFF"/>
    <w:pPr>
      <w:spacing w:before="100" w:beforeAutospacing="1" w:after="100" w:afterAutospacing="1" w:line="240" w:lineRule="auto"/>
    </w:pPr>
    <w:rPr>
      <w:rFonts w:ascii="Arial" w:eastAsia="Times New Roman" w:hAnsi="Arial" w:cs="Arial"/>
      <w:color w:val="33739B"/>
      <w:sz w:val="17"/>
      <w:szCs w:val="17"/>
      <w:lang w:eastAsia="es-CO"/>
    </w:rPr>
  </w:style>
  <w:style w:type="paragraph" w:customStyle="1" w:styleId="cntrbtngrl">
    <w:name w:val="cntr_btn_gr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left">
    <w:name w:val="btn_grl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
    <w:name w:val="btn_grl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
    <w:name w:val="btn_grl_mid"/>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linesep">
    <w:name w:val="line_sep"/>
    <w:basedOn w:val="Normal"/>
    <w:rsid w:val="00401DFF"/>
    <w:pPr>
      <w:pBdr>
        <w:right w:val="single" w:sz="6" w:space="0" w:color="D8D8D8"/>
      </w:pBdr>
      <w:spacing w:before="75" w:after="0" w:line="240" w:lineRule="auto"/>
      <w:ind w:left="75" w:right="45"/>
    </w:pPr>
    <w:rPr>
      <w:rFonts w:ascii="Times New Roman" w:eastAsia="Times New Roman" w:hAnsi="Times New Roman" w:cs="Times New Roman"/>
      <w:sz w:val="24"/>
      <w:szCs w:val="24"/>
      <w:lang w:eastAsia="es-CO"/>
    </w:rPr>
  </w:style>
  <w:style w:type="paragraph" w:customStyle="1" w:styleId="lnkgrl01">
    <w:name w:val="lnk_grl01"/>
    <w:basedOn w:val="Normal"/>
    <w:rsid w:val="00401DFF"/>
    <w:pPr>
      <w:spacing w:before="100" w:beforeAutospacing="1" w:after="100" w:afterAutospacing="1" w:line="240" w:lineRule="auto"/>
    </w:pPr>
    <w:rPr>
      <w:rFonts w:ascii="Arial" w:eastAsia="Times New Roman" w:hAnsi="Arial" w:cs="Arial"/>
      <w:color w:val="2478BE"/>
      <w:sz w:val="18"/>
      <w:szCs w:val="18"/>
      <w:lang w:eastAsia="es-CO"/>
    </w:rPr>
  </w:style>
  <w:style w:type="paragraph" w:customStyle="1" w:styleId="icomenuacorsug">
    <w:name w:val="ico_menu_acor_sug"/>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menuacorsug">
    <w:name w:val="ttl_menu_acor_sug"/>
    <w:basedOn w:val="Normal"/>
    <w:rsid w:val="00401DFF"/>
    <w:pPr>
      <w:spacing w:before="100" w:beforeAutospacing="1" w:after="100" w:afterAutospacing="1" w:line="240" w:lineRule="auto"/>
    </w:pPr>
    <w:rPr>
      <w:rFonts w:ascii="Arial" w:eastAsia="Times New Roman" w:hAnsi="Arial" w:cs="Arial"/>
      <w:b/>
      <w:bCs/>
      <w:color w:val="006699"/>
      <w:sz w:val="26"/>
      <w:szCs w:val="26"/>
      <w:lang w:eastAsia="es-CO"/>
    </w:rPr>
  </w:style>
  <w:style w:type="paragraph" w:customStyle="1" w:styleId="colsubleft">
    <w:name w:val="col_sub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infocomunidad">
    <w:name w:val="col_info_comunida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infocomunidad02">
    <w:name w:val="col_info_comunida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uscarcom">
    <w:name w:val="cntr_buscar_com"/>
    <w:basedOn w:val="Normal"/>
    <w:rsid w:val="00401DFF"/>
    <w:pPr>
      <w:pBdr>
        <w:top w:val="single" w:sz="6" w:space="0" w:color="EEEEEE"/>
        <w:left w:val="single" w:sz="2" w:space="15" w:color="EEEEEE"/>
        <w:bottom w:val="single" w:sz="6" w:space="0" w:color="EEEEEE"/>
        <w:right w:val="single" w:sz="2" w:space="0" w:color="EEEEEE"/>
      </w:pBdr>
      <w:spacing w:after="0" w:line="240" w:lineRule="auto"/>
      <w:ind w:left="15"/>
    </w:pPr>
    <w:rPr>
      <w:rFonts w:ascii="Times New Roman" w:eastAsia="Times New Roman" w:hAnsi="Times New Roman" w:cs="Times New Roman"/>
      <w:sz w:val="24"/>
      <w:szCs w:val="24"/>
      <w:lang w:eastAsia="es-CO"/>
    </w:rPr>
  </w:style>
  <w:style w:type="paragraph" w:customStyle="1" w:styleId="bordercol">
    <w:name w:val="border_col"/>
    <w:basedOn w:val="Normal"/>
    <w:rsid w:val="00401DFF"/>
    <w:pPr>
      <w:pBdr>
        <w:top w:val="dotted" w:sz="6" w:space="0" w:color="AEAEA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pplcom01">
    <w:name w:val="ttl_ppl_com01"/>
    <w:basedOn w:val="Normal"/>
    <w:rsid w:val="00401DFF"/>
    <w:pPr>
      <w:spacing w:before="100" w:beforeAutospacing="1" w:after="100" w:afterAutospacing="1" w:line="240" w:lineRule="auto"/>
    </w:pPr>
    <w:rPr>
      <w:rFonts w:ascii="Arial" w:eastAsia="Times New Roman" w:hAnsi="Arial" w:cs="Arial"/>
      <w:b/>
      <w:bCs/>
      <w:color w:val="333333"/>
      <w:sz w:val="29"/>
      <w:szCs w:val="29"/>
      <w:lang w:eastAsia="es-CO"/>
    </w:rPr>
  </w:style>
  <w:style w:type="paragraph" w:customStyle="1" w:styleId="outer">
    <w:name w:val="outer"/>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groupcolegas">
    <w:name w:val="cntr_group_colegas"/>
    <w:basedOn w:val="Normal"/>
    <w:rsid w:val="00401DFF"/>
    <w:pPr>
      <w:pBdr>
        <w:top w:val="single" w:sz="6" w:space="8"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01colegas">
    <w:name w:val="colum01_colegas"/>
    <w:basedOn w:val="Normal"/>
    <w:rsid w:val="00401DFF"/>
    <w:pPr>
      <w:pBdr>
        <w:bottom w:val="single" w:sz="6" w:space="0" w:color="EAEAEA"/>
      </w:pBdr>
      <w:spacing w:after="0" w:line="240" w:lineRule="auto"/>
      <w:ind w:left="75"/>
    </w:pPr>
    <w:rPr>
      <w:rFonts w:ascii="Times New Roman" w:eastAsia="Times New Roman" w:hAnsi="Times New Roman" w:cs="Times New Roman"/>
      <w:sz w:val="24"/>
      <w:szCs w:val="24"/>
      <w:lang w:eastAsia="es-CO"/>
    </w:rPr>
  </w:style>
  <w:style w:type="paragraph" w:customStyle="1" w:styleId="colum02colegas">
    <w:name w:val="colum02_colegas"/>
    <w:basedOn w:val="Normal"/>
    <w:rsid w:val="00401DFF"/>
    <w:pPr>
      <w:pBdr>
        <w:bottom w:val="single" w:sz="6" w:space="0" w:color="EAEAEA"/>
      </w:pBdr>
      <w:spacing w:after="0" w:line="240" w:lineRule="auto"/>
      <w:ind w:left="300"/>
    </w:pPr>
    <w:rPr>
      <w:rFonts w:ascii="Times New Roman" w:eastAsia="Times New Roman" w:hAnsi="Times New Roman" w:cs="Times New Roman"/>
      <w:sz w:val="24"/>
      <w:szCs w:val="24"/>
      <w:lang w:eastAsia="es-CO"/>
    </w:rPr>
  </w:style>
  <w:style w:type="paragraph" w:customStyle="1" w:styleId="cntrinfouser">
    <w:name w:val="cntr_info_user"/>
    <w:basedOn w:val="Normal"/>
    <w:rsid w:val="00401DFF"/>
    <w:pPr>
      <w:pBdr>
        <w:top w:val="single" w:sz="6" w:space="4" w:color="FFFFFF"/>
        <w:left w:val="single" w:sz="6" w:space="8" w:color="FFFFFF"/>
        <w:bottom w:val="single" w:sz="6" w:space="4" w:color="FFFFFF"/>
        <w:right w:val="single" w:sz="6" w:space="2" w:color="FFFFFF"/>
      </w:pBdr>
      <w:spacing w:before="75" w:after="225" w:line="240" w:lineRule="auto"/>
      <w:ind w:right="75"/>
    </w:pPr>
    <w:rPr>
      <w:rFonts w:ascii="Times New Roman" w:eastAsia="Times New Roman" w:hAnsi="Times New Roman" w:cs="Times New Roman"/>
      <w:sz w:val="24"/>
      <w:szCs w:val="24"/>
      <w:lang w:eastAsia="es-CO"/>
    </w:rPr>
  </w:style>
  <w:style w:type="paragraph" w:customStyle="1" w:styleId="cntrinfouseractive">
    <w:name w:val="cntr_info_user_activ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225" w:line="240" w:lineRule="auto"/>
      <w:ind w:right="75"/>
    </w:pPr>
    <w:rPr>
      <w:rFonts w:ascii="Times New Roman" w:eastAsia="Times New Roman" w:hAnsi="Times New Roman" w:cs="Times New Roman"/>
      <w:sz w:val="24"/>
      <w:szCs w:val="24"/>
      <w:lang w:eastAsia="es-CO"/>
    </w:rPr>
  </w:style>
  <w:style w:type="paragraph" w:customStyle="1" w:styleId="fotocolegas">
    <w:name w:val="foto_colegas"/>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
    <w:name w:val="cntr_links_us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user">
    <w:name w:val="name_user"/>
    <w:basedOn w:val="Normal"/>
    <w:rsid w:val="00401DFF"/>
    <w:pPr>
      <w:spacing w:before="100" w:beforeAutospacing="1" w:after="100" w:afterAutospacing="1" w:line="255" w:lineRule="atLeast"/>
    </w:pPr>
    <w:rPr>
      <w:rFonts w:ascii="Arial" w:eastAsia="Times New Roman" w:hAnsi="Arial" w:cs="Arial"/>
      <w:color w:val="006699"/>
      <w:sz w:val="17"/>
      <w:szCs w:val="17"/>
      <w:lang w:eastAsia="es-CO"/>
    </w:rPr>
  </w:style>
  <w:style w:type="paragraph" w:customStyle="1" w:styleId="lnk04n1">
    <w:name w:val="lnk04_n1"/>
    <w:basedOn w:val="Normal"/>
    <w:rsid w:val="00401DFF"/>
    <w:pPr>
      <w:spacing w:after="0" w:line="240" w:lineRule="auto"/>
      <w:ind w:left="1050"/>
    </w:pPr>
    <w:rPr>
      <w:rFonts w:ascii="Arial" w:eastAsia="Times New Roman" w:hAnsi="Arial" w:cs="Arial"/>
      <w:color w:val="2276BB"/>
      <w:sz w:val="17"/>
      <w:szCs w:val="17"/>
      <w:lang w:eastAsia="es-CO"/>
    </w:rPr>
  </w:style>
  <w:style w:type="paragraph" w:customStyle="1" w:styleId="lnk04n1disable">
    <w:name w:val="lnk04_n1_disable"/>
    <w:basedOn w:val="Normal"/>
    <w:rsid w:val="00401DFF"/>
    <w:pPr>
      <w:spacing w:after="0" w:line="240" w:lineRule="auto"/>
      <w:ind w:left="1050"/>
    </w:pPr>
    <w:rPr>
      <w:rFonts w:ascii="Arial" w:eastAsia="Times New Roman" w:hAnsi="Arial" w:cs="Arial"/>
      <w:color w:val="999999"/>
      <w:sz w:val="17"/>
      <w:szCs w:val="17"/>
      <w:lang w:eastAsia="es-CO"/>
    </w:rPr>
  </w:style>
  <w:style w:type="paragraph" w:customStyle="1" w:styleId="lnk04n">
    <w:name w:val="lnk04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lnk04ndisable">
    <w:name w:val="lnk04_n_disable"/>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lnk20n">
    <w:name w:val="lnk20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opcasignargrupo">
    <w:name w:val="opc_asignar_grup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opcasignar">
    <w:name w:val="ttl_opc_asignar"/>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ttlopcasignar01">
    <w:name w:val="ttl_opc_asignar01"/>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cntrgroupcoleg01">
    <w:name w:val="cntr_group_coleg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
    <w:name w:val="crear"/>
    <w:basedOn w:val="Normal"/>
    <w:rsid w:val="00401DFF"/>
    <w:pPr>
      <w:shd w:val="clear" w:color="auto" w:fill="E3F1FF"/>
      <w:spacing w:before="105" w:after="0" w:line="240" w:lineRule="auto"/>
    </w:pPr>
    <w:rPr>
      <w:rFonts w:ascii="Times New Roman" w:eastAsia="Times New Roman" w:hAnsi="Times New Roman" w:cs="Times New Roman"/>
      <w:sz w:val="24"/>
      <w:szCs w:val="24"/>
      <w:lang w:eastAsia="es-CO"/>
    </w:rPr>
  </w:style>
  <w:style w:type="paragraph" w:customStyle="1" w:styleId="cntrbtngrl01">
    <w:name w:val="cntr_btn_gr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sep02">
    <w:name w:val="line_sep02"/>
    <w:basedOn w:val="Normal"/>
    <w:rsid w:val="00401DFF"/>
    <w:pPr>
      <w:pBdr>
        <w:top w:val="dotted" w:sz="6" w:space="0"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sep02a">
    <w:name w:val="line_sep02_a"/>
    <w:basedOn w:val="Normal"/>
    <w:rsid w:val="00401DFF"/>
    <w:pPr>
      <w:pBdr>
        <w:bottom w:val="single" w:sz="12" w:space="0" w:color="EAEAEA"/>
      </w:pBdr>
      <w:spacing w:after="150" w:line="240" w:lineRule="auto"/>
    </w:pPr>
    <w:rPr>
      <w:rFonts w:ascii="Times New Roman" w:eastAsia="Times New Roman" w:hAnsi="Times New Roman" w:cs="Times New Roman"/>
      <w:sz w:val="24"/>
      <w:szCs w:val="24"/>
      <w:lang w:eastAsia="es-CO"/>
    </w:rPr>
  </w:style>
  <w:style w:type="paragraph" w:customStyle="1" w:styleId="cntrnamesgroups">
    <w:name w:val="cntr_names_groups"/>
    <w:basedOn w:val="Normal"/>
    <w:rsid w:val="00401DFF"/>
    <w:pPr>
      <w:spacing w:after="0" w:line="240" w:lineRule="auto"/>
      <w:ind w:left="15"/>
    </w:pPr>
    <w:rPr>
      <w:rFonts w:ascii="Times New Roman" w:eastAsia="Times New Roman" w:hAnsi="Times New Roman" w:cs="Times New Roman"/>
      <w:sz w:val="24"/>
      <w:szCs w:val="24"/>
      <w:lang w:eastAsia="es-CO"/>
    </w:rPr>
  </w:style>
  <w:style w:type="paragraph" w:customStyle="1" w:styleId="cntrnamesgroupsactive">
    <w:name w:val="cntr_names_groups_active"/>
    <w:basedOn w:val="Normal"/>
    <w:rsid w:val="00401DFF"/>
    <w:pPr>
      <w:pBdr>
        <w:left w:val="single" w:sz="6" w:space="9" w:color="DBEAF2"/>
        <w:bottom w:val="single" w:sz="6" w:space="5" w:color="F3F3F3"/>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active01">
    <w:name w:val="cntr_names_groups_active01"/>
    <w:basedOn w:val="Normal"/>
    <w:rsid w:val="00401DFF"/>
    <w:pPr>
      <w:pBdr>
        <w:top w:val="single" w:sz="6" w:space="5" w:color="F9F9F9"/>
        <w:left w:val="single" w:sz="6" w:space="9" w:color="F9F9F9"/>
        <w:bottom w:val="single" w:sz="6" w:space="5" w:color="F9F9F9"/>
        <w:right w:val="single" w:sz="6" w:space="0" w:color="F9F9F9"/>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5n">
    <w:name w:val="lnk05_n"/>
    <w:basedOn w:val="Normal"/>
    <w:rsid w:val="00401DFF"/>
    <w:pPr>
      <w:pBdr>
        <w:left w:val="single" w:sz="6" w:space="6" w:color="C9C9C9"/>
      </w:pBdr>
      <w:spacing w:before="60" w:after="0" w:line="240" w:lineRule="auto"/>
      <w:ind w:left="60" w:right="45"/>
    </w:pPr>
    <w:rPr>
      <w:rFonts w:ascii="Arial" w:eastAsia="Times New Roman" w:hAnsi="Arial" w:cs="Arial"/>
      <w:color w:val="2276BB"/>
      <w:sz w:val="17"/>
      <w:szCs w:val="17"/>
      <w:lang w:eastAsia="es-CO"/>
    </w:rPr>
  </w:style>
  <w:style w:type="paragraph" w:customStyle="1" w:styleId="namespplgroups">
    <w:name w:val="names_ppl_groups"/>
    <w:basedOn w:val="Normal"/>
    <w:rsid w:val="00401DFF"/>
    <w:pPr>
      <w:spacing w:before="100" w:beforeAutospacing="1" w:after="100" w:afterAutospacing="1" w:line="240" w:lineRule="auto"/>
    </w:pPr>
    <w:rPr>
      <w:rFonts w:ascii="Arial" w:eastAsia="Times New Roman" w:hAnsi="Arial" w:cs="Arial"/>
      <w:b/>
      <w:bCs/>
      <w:color w:val="006699"/>
      <w:sz w:val="23"/>
      <w:szCs w:val="23"/>
      <w:lang w:eastAsia="es-CO"/>
    </w:rPr>
  </w:style>
  <w:style w:type="paragraph" w:customStyle="1" w:styleId="namespplgroupsactive">
    <w:name w:val="names_ppl_groups_active"/>
    <w:basedOn w:val="Normal"/>
    <w:rsid w:val="00401DFF"/>
    <w:pPr>
      <w:spacing w:before="100" w:beforeAutospacing="1" w:after="100" w:afterAutospacing="1" w:line="240" w:lineRule="auto"/>
    </w:pPr>
    <w:rPr>
      <w:rFonts w:ascii="Arial" w:eastAsia="Times New Roman" w:hAnsi="Arial" w:cs="Arial"/>
      <w:b/>
      <w:bCs/>
      <w:color w:val="006699"/>
      <w:sz w:val="21"/>
      <w:szCs w:val="21"/>
      <w:lang w:eastAsia="es-CO"/>
    </w:rPr>
  </w:style>
  <w:style w:type="paragraph" w:customStyle="1" w:styleId="cntrngroup">
    <w:name w:val="cntr_ngrou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amigoscomun">
    <w:name w:val="lnk_amigos_comun"/>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enviarmsj">
    <w:name w:val="lnk_amigos_enviar_msj"/>
    <w:basedOn w:val="Normal"/>
    <w:rsid w:val="00401DFF"/>
    <w:pPr>
      <w:pBdr>
        <w:left w:val="single" w:sz="6" w:space="4" w:color="CCCCCC"/>
      </w:pBd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agregar">
    <w:name w:val="lnk_amigos_agregar"/>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eliminar">
    <w:name w:val="lnk_amigos_eliminar"/>
    <w:basedOn w:val="Normal"/>
    <w:rsid w:val="00401DFF"/>
    <w:pPr>
      <w:spacing w:after="0" w:line="240" w:lineRule="auto"/>
      <w:ind w:left="135"/>
    </w:pPr>
    <w:rPr>
      <w:rFonts w:ascii="Arial" w:eastAsia="Times New Roman" w:hAnsi="Arial" w:cs="Arial"/>
      <w:color w:val="666666"/>
      <w:sz w:val="17"/>
      <w:szCs w:val="17"/>
      <w:lang w:eastAsia="es-CO"/>
    </w:rPr>
  </w:style>
  <w:style w:type="paragraph" w:customStyle="1" w:styleId="cntrsearchuser">
    <w:name w:val="cntr_search_user"/>
    <w:basedOn w:val="Normal"/>
    <w:rsid w:val="00401DFF"/>
    <w:pPr>
      <w:spacing w:before="75" w:after="0" w:line="240" w:lineRule="auto"/>
    </w:pPr>
    <w:rPr>
      <w:rFonts w:ascii="Times New Roman" w:eastAsia="Times New Roman" w:hAnsi="Times New Roman" w:cs="Times New Roman"/>
      <w:sz w:val="24"/>
      <w:szCs w:val="24"/>
      <w:lang w:eastAsia="es-CO"/>
    </w:rPr>
  </w:style>
  <w:style w:type="paragraph" w:customStyle="1" w:styleId="ttlsearchempty">
    <w:name w:val="ttl_search_empty"/>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modulocrear">
    <w:name w:val="modulo_crear"/>
    <w:basedOn w:val="Normal"/>
    <w:rsid w:val="00401DFF"/>
    <w:pPr>
      <w:pBdr>
        <w:top w:val="single" w:sz="6" w:space="0" w:color="DBF0FB"/>
        <w:left w:val="single" w:sz="6" w:space="9" w:color="DBF0FB"/>
        <w:bottom w:val="single" w:sz="6" w:space="8" w:color="DBF0FB"/>
        <w:right w:val="single" w:sz="6" w:space="0" w:color="DBF0FB"/>
      </w:pBdr>
      <w:shd w:val="clear" w:color="auto" w:fill="F2F9FF"/>
      <w:spacing w:after="150" w:line="240" w:lineRule="auto"/>
    </w:pPr>
    <w:rPr>
      <w:rFonts w:ascii="Times New Roman" w:eastAsia="Times New Roman" w:hAnsi="Times New Roman" w:cs="Times New Roman"/>
      <w:sz w:val="24"/>
      <w:szCs w:val="24"/>
      <w:lang w:eastAsia="es-CO"/>
    </w:rPr>
  </w:style>
  <w:style w:type="paragraph" w:customStyle="1" w:styleId="crear01">
    <w:name w:val="crear01"/>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rear01input01">
    <w:name w:val="crear01_input_01"/>
    <w:basedOn w:val="Normal"/>
    <w:rsid w:val="00401DFF"/>
    <w:pPr>
      <w:pBdr>
        <w:top w:val="single" w:sz="6" w:space="2" w:color="A2D2F0"/>
        <w:left w:val="single" w:sz="6" w:space="2" w:color="A2D2F0"/>
        <w:bottom w:val="single" w:sz="6" w:space="0" w:color="A2D2F0"/>
        <w:right w:val="single" w:sz="6" w:space="0" w:color="A2D2F0"/>
      </w:pBdr>
      <w:shd w:val="clear" w:color="auto" w:fill="FFFFFF"/>
      <w:spacing w:before="60" w:after="75" w:line="240" w:lineRule="auto"/>
      <w:ind w:left="60" w:right="30"/>
    </w:pPr>
    <w:rPr>
      <w:rFonts w:ascii="Arial" w:eastAsia="Times New Roman" w:hAnsi="Arial" w:cs="Arial"/>
      <w:color w:val="333333"/>
      <w:sz w:val="20"/>
      <w:szCs w:val="20"/>
      <w:lang w:eastAsia="es-CO"/>
    </w:rPr>
  </w:style>
  <w:style w:type="paragraph" w:customStyle="1" w:styleId="crear01input02">
    <w:name w:val="crear01_input_02"/>
    <w:basedOn w:val="Normal"/>
    <w:rsid w:val="00401DFF"/>
    <w:pPr>
      <w:pBdr>
        <w:top w:val="single" w:sz="6" w:space="2" w:color="A2D2F0"/>
        <w:left w:val="single" w:sz="6" w:space="2" w:color="A2D2F0"/>
        <w:bottom w:val="single" w:sz="6" w:space="0" w:color="A2D2F0"/>
        <w:right w:val="single" w:sz="6" w:space="0" w:color="A2D2F0"/>
      </w:pBdr>
      <w:shd w:val="clear" w:color="auto" w:fill="FFFFFF"/>
      <w:spacing w:before="60" w:after="75" w:line="240" w:lineRule="auto"/>
      <w:ind w:left="60" w:right="30"/>
    </w:pPr>
    <w:rPr>
      <w:rFonts w:ascii="Arial" w:eastAsia="Times New Roman" w:hAnsi="Arial" w:cs="Arial"/>
      <w:color w:val="999999"/>
      <w:sz w:val="20"/>
      <w:szCs w:val="20"/>
      <w:lang w:eastAsia="es-CO"/>
    </w:rPr>
  </w:style>
  <w:style w:type="paragraph" w:customStyle="1" w:styleId="cntrgroupcolegas01">
    <w:name w:val="cntr_group_coleg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roupcolegasadd">
    <w:name w:val="cntr_group_colegas_ad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user01">
    <w:name w:val="cntr_info_user01"/>
    <w:basedOn w:val="Normal"/>
    <w:rsid w:val="00401DFF"/>
    <w:pPr>
      <w:spacing w:before="75" w:after="75" w:line="240" w:lineRule="auto"/>
    </w:pPr>
    <w:rPr>
      <w:rFonts w:ascii="Times New Roman" w:eastAsia="Times New Roman" w:hAnsi="Times New Roman" w:cs="Times New Roman"/>
      <w:sz w:val="24"/>
      <w:szCs w:val="24"/>
      <w:lang w:eastAsia="es-CO"/>
    </w:rPr>
  </w:style>
  <w:style w:type="paragraph" w:customStyle="1" w:styleId="colum03colegas">
    <w:name w:val="colum03_colegas"/>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olum04colegas">
    <w:name w:val="colum04_colegas"/>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fotocolegastam02">
    <w:name w:val="foto_colegas_tam02"/>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colegastam10">
    <w:name w:val="foto_colegas_tam10"/>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sultsearchuser">
    <w:name w:val="result_search_user"/>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lnk06n">
    <w:name w:val="lnk06_n"/>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cntrinfouser02">
    <w:name w:val="cntr_info_user02"/>
    <w:basedOn w:val="Normal"/>
    <w:rsid w:val="00401DFF"/>
    <w:pPr>
      <w:pBdr>
        <w:top w:val="single" w:sz="6" w:space="8" w:color="FFFFFF"/>
        <w:left w:val="single" w:sz="6" w:space="8" w:color="FFFFFF"/>
        <w:bottom w:val="dotted" w:sz="6" w:space="8"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2active">
    <w:name w:val="cntr_info_user02_active"/>
    <w:basedOn w:val="Normal"/>
    <w:rsid w:val="00401DFF"/>
    <w:pPr>
      <w:pBdr>
        <w:top w:val="single" w:sz="2" w:space="8" w:color="DBF0FB"/>
        <w:left w:val="single" w:sz="6" w:space="8" w:color="DBF0FB"/>
        <w:bottom w:val="single" w:sz="6" w:space="8" w:color="DBF0FB"/>
        <w:right w:val="single" w:sz="6" w:space="2" w:color="DBF0FB"/>
      </w:pBdr>
      <w:shd w:val="clear" w:color="auto" w:fill="F2F9FF"/>
      <w:spacing w:after="0" w:line="240" w:lineRule="auto"/>
      <w:ind w:right="75"/>
    </w:pPr>
    <w:rPr>
      <w:rFonts w:ascii="Times New Roman" w:eastAsia="Times New Roman" w:hAnsi="Times New Roman" w:cs="Times New Roman"/>
      <w:sz w:val="24"/>
      <w:szCs w:val="24"/>
      <w:lang w:eastAsia="es-CO"/>
    </w:rPr>
  </w:style>
  <w:style w:type="paragraph" w:customStyle="1" w:styleId="moduloenviarmsj">
    <w:name w:val="modulo_enviar_msj"/>
    <w:basedOn w:val="Normal"/>
    <w:rsid w:val="00401DFF"/>
    <w:pPr>
      <w:shd w:val="clear" w:color="auto" w:fill="F2F9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03">
    <w:name w:val="crear03"/>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ntrlnksgroup01">
    <w:name w:val="cntr_lnks_group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grouppriv">
    <w:name w:val="ico_group_priv"/>
    <w:basedOn w:val="Normal"/>
    <w:rsid w:val="00401DFF"/>
    <w:pPr>
      <w:spacing w:after="0" w:line="240" w:lineRule="auto"/>
      <w:ind w:right="150"/>
    </w:pPr>
    <w:rPr>
      <w:rFonts w:ascii="Times New Roman" w:eastAsia="Times New Roman" w:hAnsi="Times New Roman" w:cs="Times New Roman"/>
      <w:sz w:val="24"/>
      <w:szCs w:val="24"/>
      <w:lang w:eastAsia="es-CO"/>
    </w:rPr>
  </w:style>
  <w:style w:type="paragraph" w:customStyle="1" w:styleId="sepautent01">
    <w:name w:val="sep_autent01"/>
    <w:basedOn w:val="Normal"/>
    <w:rsid w:val="00401DFF"/>
    <w:pPr>
      <w:pBdr>
        <w:left w:val="single" w:sz="6" w:space="0" w:color="CCCCCC"/>
      </w:pBdr>
      <w:spacing w:before="30" w:after="0" w:line="240" w:lineRule="auto"/>
      <w:ind w:left="120" w:right="30"/>
    </w:pPr>
    <w:rPr>
      <w:rFonts w:ascii="Times New Roman" w:eastAsia="Times New Roman" w:hAnsi="Times New Roman" w:cs="Times New Roman"/>
      <w:sz w:val="24"/>
      <w:szCs w:val="24"/>
      <w:lang w:eastAsia="es-CO"/>
    </w:rPr>
  </w:style>
  <w:style w:type="paragraph" w:customStyle="1" w:styleId="crear02">
    <w:name w:val="crear02"/>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ntrsttlgroup">
    <w:name w:val="cntr_sttl_grou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group">
    <w:name w:val="sttl_group"/>
    <w:basedOn w:val="Normal"/>
    <w:rsid w:val="00401DFF"/>
    <w:pPr>
      <w:spacing w:before="100" w:beforeAutospacing="1" w:after="100" w:afterAutospacing="1" w:line="240" w:lineRule="auto"/>
    </w:pPr>
    <w:rPr>
      <w:rFonts w:ascii="Arial" w:eastAsia="Times New Roman" w:hAnsi="Arial" w:cs="Arial"/>
      <w:b/>
      <w:bCs/>
      <w:color w:val="333333"/>
      <w:sz w:val="26"/>
      <w:szCs w:val="26"/>
      <w:lang w:eastAsia="es-CO"/>
    </w:rPr>
  </w:style>
  <w:style w:type="paragraph" w:customStyle="1" w:styleId="sttl01group">
    <w:name w:val="sttl01_group"/>
    <w:basedOn w:val="Normal"/>
    <w:rsid w:val="00401DFF"/>
    <w:pPr>
      <w:spacing w:before="100" w:beforeAutospacing="1" w:after="100" w:afterAutospacing="1" w:line="240" w:lineRule="auto"/>
    </w:pPr>
    <w:rPr>
      <w:rFonts w:ascii="Arial" w:eastAsia="Times New Roman" w:hAnsi="Arial" w:cs="Arial"/>
      <w:b/>
      <w:bCs/>
      <w:color w:val="333333"/>
      <w:sz w:val="20"/>
      <w:szCs w:val="20"/>
      <w:lang w:eastAsia="es-CO"/>
    </w:rPr>
  </w:style>
  <w:style w:type="paragraph" w:customStyle="1" w:styleId="linesep03">
    <w:name w:val="line_sep03"/>
    <w:basedOn w:val="Normal"/>
    <w:rsid w:val="00401DFF"/>
    <w:pPr>
      <w:pBdr>
        <w:top w:val="dotted" w:sz="6" w:space="0" w:color="AAD2FF"/>
      </w:pBdr>
      <w:spacing w:before="75" w:after="240" w:line="240" w:lineRule="auto"/>
      <w:ind w:right="120"/>
    </w:pPr>
    <w:rPr>
      <w:rFonts w:ascii="Times New Roman" w:eastAsia="Times New Roman" w:hAnsi="Times New Roman" w:cs="Times New Roman"/>
      <w:sz w:val="24"/>
      <w:szCs w:val="24"/>
      <w:lang w:eastAsia="es-CO"/>
    </w:rPr>
  </w:style>
  <w:style w:type="paragraph" w:customStyle="1" w:styleId="linesep03grupos">
    <w:name w:val="line_sep03grupos"/>
    <w:basedOn w:val="Normal"/>
    <w:rsid w:val="00401DFF"/>
    <w:pPr>
      <w:pBdr>
        <w:top w:val="dotted" w:sz="6" w:space="0" w:color="AAD2FF"/>
      </w:pBdr>
      <w:spacing w:before="120" w:after="105" w:line="240" w:lineRule="auto"/>
      <w:ind w:right="120"/>
    </w:pPr>
    <w:rPr>
      <w:rFonts w:ascii="Times New Roman" w:eastAsia="Times New Roman" w:hAnsi="Times New Roman" w:cs="Times New Roman"/>
      <w:sz w:val="24"/>
      <w:szCs w:val="24"/>
      <w:lang w:eastAsia="es-CO"/>
    </w:rPr>
  </w:style>
  <w:style w:type="paragraph" w:customStyle="1" w:styleId="linesep05">
    <w:name w:val="line_sep05"/>
    <w:basedOn w:val="Normal"/>
    <w:rsid w:val="00401DFF"/>
    <w:pPr>
      <w:pBdr>
        <w:top w:val="dotted" w:sz="6" w:space="0" w:color="AAD2FF"/>
      </w:pBdr>
      <w:spacing w:after="90" w:line="240" w:lineRule="auto"/>
      <w:ind w:right="120"/>
    </w:pPr>
    <w:rPr>
      <w:rFonts w:ascii="Times New Roman" w:eastAsia="Times New Roman" w:hAnsi="Times New Roman" w:cs="Times New Roman"/>
      <w:sz w:val="24"/>
      <w:szCs w:val="24"/>
      <w:lang w:eastAsia="es-CO"/>
    </w:rPr>
  </w:style>
  <w:style w:type="paragraph" w:customStyle="1" w:styleId="ttlpplcom02">
    <w:name w:val="ttl_ppl_com02"/>
    <w:basedOn w:val="Normal"/>
    <w:rsid w:val="00401DFF"/>
    <w:pPr>
      <w:spacing w:before="100" w:beforeAutospacing="1" w:after="100" w:afterAutospacing="1" w:line="240" w:lineRule="auto"/>
    </w:pPr>
    <w:rPr>
      <w:rFonts w:ascii="Arial" w:eastAsia="Times New Roman" w:hAnsi="Arial" w:cs="Arial"/>
      <w:b/>
      <w:bCs/>
      <w:color w:val="333333"/>
      <w:sz w:val="24"/>
      <w:szCs w:val="24"/>
      <w:lang w:eastAsia="es-CO"/>
    </w:rPr>
  </w:style>
  <w:style w:type="paragraph" w:customStyle="1" w:styleId="cntrlightagregar">
    <w:name w:val="cntr_light_agreg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05colegas">
    <w:name w:val="colum05_colegas"/>
    <w:basedOn w:val="Normal"/>
    <w:rsid w:val="00401DFF"/>
    <w:pPr>
      <w:spacing w:after="0" w:line="240" w:lineRule="auto"/>
      <w:ind w:left="150" w:right="150"/>
    </w:pPr>
    <w:rPr>
      <w:rFonts w:ascii="Times New Roman" w:eastAsia="Times New Roman" w:hAnsi="Times New Roman" w:cs="Times New Roman"/>
      <w:sz w:val="24"/>
      <w:szCs w:val="24"/>
      <w:lang w:eastAsia="es-CO"/>
    </w:rPr>
  </w:style>
  <w:style w:type="paragraph" w:customStyle="1" w:styleId="colum06colegas">
    <w:name w:val="colum06_colegas"/>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cntrlinksuser01">
    <w:name w:val="cntr_links_user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3">
    <w:name w:val="cntr_links_user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uscarcom01">
    <w:name w:val="cntr_buscar_com01"/>
    <w:basedOn w:val="Normal"/>
    <w:rsid w:val="00401DFF"/>
    <w:pPr>
      <w:pBdr>
        <w:top w:val="single" w:sz="6" w:space="0" w:color="EEEEEE"/>
        <w:left w:val="single" w:sz="2" w:space="11" w:color="EEEEEE"/>
        <w:bottom w:val="single" w:sz="6" w:space="0" w:color="EEEEEE"/>
        <w:right w:val="single" w:sz="2"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roupcolegas02">
    <w:name w:val="cntr_group_colega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lumnas">
    <w:name w:val="cntr_column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jsolicitudes">
    <w:name w:val="msj_solicitudes"/>
    <w:basedOn w:val="Normal"/>
    <w:rsid w:val="00401DFF"/>
    <w:pPr>
      <w:spacing w:before="75" w:after="0" w:line="240" w:lineRule="auto"/>
      <w:ind w:left="345"/>
    </w:pPr>
    <w:rPr>
      <w:rFonts w:ascii="Arial" w:eastAsia="Times New Roman" w:hAnsi="Arial" w:cs="Arial"/>
      <w:b/>
      <w:bCs/>
      <w:color w:val="333333"/>
      <w:sz w:val="18"/>
      <w:szCs w:val="18"/>
      <w:lang w:eastAsia="es-CO"/>
    </w:rPr>
  </w:style>
  <w:style w:type="paragraph" w:customStyle="1" w:styleId="cntrlinksuser02">
    <w:name w:val="cntr_links_user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2n">
    <w:name w:val="cntr_links_user02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informacion">
    <w:name w:val="txt_informacion"/>
    <w:basedOn w:val="Normal"/>
    <w:rsid w:val="00401DFF"/>
    <w:pPr>
      <w:spacing w:before="100" w:beforeAutospacing="1" w:after="100" w:afterAutospacing="1" w:line="255" w:lineRule="atLeast"/>
    </w:pPr>
    <w:rPr>
      <w:rFonts w:ascii="Arial" w:eastAsia="Times New Roman" w:hAnsi="Arial" w:cs="Arial"/>
      <w:color w:val="575757"/>
      <w:sz w:val="20"/>
      <w:szCs w:val="20"/>
      <w:lang w:eastAsia="es-CO"/>
    </w:rPr>
  </w:style>
  <w:style w:type="paragraph" w:customStyle="1" w:styleId="nameuser01">
    <w:name w:val="name_user01"/>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infouser01">
    <w:name w:val="info_user01"/>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btngrl">
    <w:name w:val="btn_grl"/>
    <w:basedOn w:val="Normal"/>
    <w:rsid w:val="00401DFF"/>
    <w:pPr>
      <w:spacing w:before="30" w:after="75" w:line="240" w:lineRule="auto"/>
    </w:pPr>
    <w:rPr>
      <w:rFonts w:ascii="Times New Roman" w:eastAsia="Times New Roman" w:hAnsi="Times New Roman" w:cs="Times New Roman"/>
      <w:sz w:val="24"/>
      <w:szCs w:val="24"/>
      <w:lang w:eastAsia="es-CO"/>
    </w:rPr>
  </w:style>
  <w:style w:type="paragraph" w:customStyle="1" w:styleId="btngrl01">
    <w:name w:val="btn_grl01"/>
    <w:basedOn w:val="Normal"/>
    <w:rsid w:val="00401DFF"/>
    <w:pPr>
      <w:spacing w:before="105" w:after="0" w:line="240" w:lineRule="auto"/>
    </w:pPr>
    <w:rPr>
      <w:rFonts w:ascii="Times New Roman" w:eastAsia="Times New Roman" w:hAnsi="Times New Roman" w:cs="Times New Roman"/>
      <w:sz w:val="24"/>
      <w:szCs w:val="24"/>
      <w:lang w:eastAsia="es-CO"/>
    </w:rPr>
  </w:style>
  <w:style w:type="paragraph" w:customStyle="1" w:styleId="cntrinfouser03">
    <w:name w:val="cntr_info_user03"/>
    <w:basedOn w:val="Normal"/>
    <w:rsid w:val="00401DFF"/>
    <w:pPr>
      <w:pBdr>
        <w:top w:val="single" w:sz="6" w:space="11" w:color="FFFFFF"/>
        <w:left w:val="single" w:sz="6" w:space="8" w:color="FFFFFF"/>
        <w:bottom w:val="dotted" w:sz="6"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3a">
    <w:name w:val="cntr_info_user03_a"/>
    <w:basedOn w:val="Normal"/>
    <w:rsid w:val="00401DFF"/>
    <w:pPr>
      <w:pBdr>
        <w:top w:val="single" w:sz="6" w:space="11" w:color="FFFFFF"/>
        <w:left w:val="single" w:sz="6" w:space="8" w:color="FFFFFF"/>
        <w:bottom w:val="dotted" w:sz="2"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3active">
    <w:name w:val="cntr_info_user03_active"/>
    <w:basedOn w:val="Normal"/>
    <w:rsid w:val="00401DFF"/>
    <w:pPr>
      <w:pBdr>
        <w:top w:val="single" w:sz="6" w:space="11" w:color="FFFFFF"/>
        <w:left w:val="single" w:sz="6" w:space="8" w:color="FFFFFF"/>
        <w:bottom w:val="dotted" w:sz="6"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msgsolic">
    <w:name w:val="cntr_msg_solic"/>
    <w:basedOn w:val="Normal"/>
    <w:rsid w:val="00401DFF"/>
    <w:pPr>
      <w:spacing w:before="225" w:after="75" w:line="240" w:lineRule="auto"/>
      <w:ind w:right="75"/>
    </w:pPr>
    <w:rPr>
      <w:rFonts w:ascii="Times New Roman" w:eastAsia="Times New Roman" w:hAnsi="Times New Roman" w:cs="Times New Roman"/>
      <w:sz w:val="24"/>
      <w:szCs w:val="24"/>
      <w:lang w:eastAsia="es-CO"/>
    </w:rPr>
  </w:style>
  <w:style w:type="paragraph" w:customStyle="1" w:styleId="leftmsgsolic">
    <w:name w:val="left_msg_sol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idmsgsolic">
    <w:name w:val="mid_msg_solic"/>
    <w:basedOn w:val="Normal"/>
    <w:rsid w:val="00401DFF"/>
    <w:pPr>
      <w:pBdr>
        <w:top w:val="single" w:sz="12" w:space="2" w:color="F2E0AA"/>
        <w:bottom w:val="single" w:sz="12" w:space="0" w:color="F2E0AA"/>
      </w:pBdr>
      <w:shd w:val="clear" w:color="auto" w:fill="FFFFE1"/>
      <w:spacing w:before="100" w:beforeAutospacing="1" w:after="100" w:afterAutospacing="1" w:line="240" w:lineRule="auto"/>
      <w:jc w:val="center"/>
    </w:pPr>
    <w:rPr>
      <w:rFonts w:ascii="Arial" w:eastAsia="Times New Roman" w:hAnsi="Arial" w:cs="Arial"/>
      <w:color w:val="666666"/>
      <w:sz w:val="20"/>
      <w:szCs w:val="20"/>
      <w:lang w:eastAsia="es-CO"/>
    </w:rPr>
  </w:style>
  <w:style w:type="paragraph" w:customStyle="1" w:styleId="rightmsgsolic">
    <w:name w:val="right_msg_sol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iltromsg">
    <w:name w:val="cntr_filtro_msg"/>
    <w:basedOn w:val="Normal"/>
    <w:rsid w:val="00401DFF"/>
    <w:pPr>
      <w:pBdr>
        <w:top w:val="single" w:sz="6" w:space="4" w:color="E4E4E4"/>
        <w:bottom w:val="single" w:sz="6" w:space="4" w:color="E4E4E4"/>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filtromsg01">
    <w:name w:val="txt_filtro_msg01"/>
    <w:basedOn w:val="Normal"/>
    <w:rsid w:val="00401DFF"/>
    <w:pPr>
      <w:spacing w:before="100" w:beforeAutospacing="1" w:after="100" w:afterAutospacing="1" w:line="240" w:lineRule="auto"/>
    </w:pPr>
    <w:rPr>
      <w:rFonts w:ascii="Arial" w:eastAsia="Times New Roman" w:hAnsi="Arial" w:cs="Arial"/>
      <w:color w:val="575757"/>
      <w:sz w:val="20"/>
      <w:szCs w:val="20"/>
      <w:lang w:eastAsia="es-CO"/>
    </w:rPr>
  </w:style>
  <w:style w:type="paragraph" w:customStyle="1" w:styleId="cntrinfouser04">
    <w:name w:val="cntr_info_user04"/>
    <w:basedOn w:val="Normal"/>
    <w:rsid w:val="00401DFF"/>
    <w:pPr>
      <w:pBdr>
        <w:top w:val="single" w:sz="6" w:space="8" w:color="FFFFFF"/>
        <w:left w:val="single" w:sz="6" w:space="8" w:color="FFFFFF"/>
        <w:bottom w:val="dotted" w:sz="6" w:space="4"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lnkfecha">
    <w:name w:val="lnkfecha"/>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lnktitlemsg">
    <w:name w:val="lnk_title_msg"/>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timehistorial">
    <w:name w:val="time_historial"/>
    <w:basedOn w:val="Normal"/>
    <w:rsid w:val="00401DFF"/>
    <w:pPr>
      <w:spacing w:before="100" w:beforeAutospacing="1" w:after="100" w:afterAutospacing="1" w:line="255" w:lineRule="atLeast"/>
    </w:pPr>
    <w:rPr>
      <w:rFonts w:ascii="Arial" w:eastAsia="Times New Roman" w:hAnsi="Arial" w:cs="Arial"/>
      <w:color w:val="666666"/>
      <w:sz w:val="17"/>
      <w:szCs w:val="17"/>
      <w:lang w:eastAsia="es-CO"/>
    </w:rPr>
  </w:style>
  <w:style w:type="paragraph" w:customStyle="1" w:styleId="lnk07n">
    <w:name w:val="lnk07_n"/>
    <w:basedOn w:val="Normal"/>
    <w:rsid w:val="00401DFF"/>
    <w:pPr>
      <w:spacing w:before="100" w:beforeAutospacing="1" w:after="100" w:afterAutospacing="1" w:line="240" w:lineRule="auto"/>
    </w:pPr>
    <w:rPr>
      <w:rFonts w:ascii="Arial" w:eastAsia="Times New Roman" w:hAnsi="Arial" w:cs="Arial"/>
      <w:color w:val="575757"/>
      <w:sz w:val="18"/>
      <w:szCs w:val="18"/>
      <w:lang w:eastAsia="es-CO"/>
    </w:rPr>
  </w:style>
  <w:style w:type="paragraph" w:customStyle="1" w:styleId="boxcomentario">
    <w:name w:val="box_comentario"/>
    <w:basedOn w:val="Normal"/>
    <w:rsid w:val="00401DFF"/>
    <w:pPr>
      <w:pBdr>
        <w:top w:val="single" w:sz="6" w:space="4" w:color="F8D181"/>
        <w:left w:val="single" w:sz="6" w:space="8" w:color="F8D181"/>
        <w:bottom w:val="single" w:sz="6" w:space="8" w:color="F8D181"/>
        <w:right w:val="single" w:sz="6" w:space="8" w:color="F8D181"/>
      </w:pBdr>
      <w:shd w:val="clear" w:color="auto" w:fill="FEF9D9"/>
      <w:spacing w:before="150" w:after="150" w:line="255" w:lineRule="atLeast"/>
      <w:ind w:left="150"/>
    </w:pPr>
    <w:rPr>
      <w:rFonts w:ascii="Arial" w:eastAsia="Times New Roman" w:hAnsi="Arial" w:cs="Arial"/>
      <w:color w:val="575757"/>
      <w:sz w:val="20"/>
      <w:szCs w:val="20"/>
      <w:lang w:eastAsia="es-CO"/>
    </w:rPr>
  </w:style>
  <w:style w:type="paragraph" w:customStyle="1" w:styleId="cntrbtncomment">
    <w:name w:val="cntr_btn_comment"/>
    <w:basedOn w:val="Normal"/>
    <w:rsid w:val="00401DFF"/>
    <w:pPr>
      <w:spacing w:before="30" w:after="30" w:line="240" w:lineRule="auto"/>
    </w:pPr>
    <w:rPr>
      <w:rFonts w:ascii="Times New Roman" w:eastAsia="Times New Roman" w:hAnsi="Times New Roman" w:cs="Times New Roman"/>
      <w:sz w:val="24"/>
      <w:szCs w:val="24"/>
      <w:lang w:eastAsia="es-CO"/>
    </w:rPr>
  </w:style>
  <w:style w:type="paragraph" w:customStyle="1" w:styleId="cntrpublicmensajes">
    <w:name w:val="cntr_public_mensajes"/>
    <w:basedOn w:val="Normal"/>
    <w:rsid w:val="00401DFF"/>
    <w:pPr>
      <w:pBdr>
        <w:top w:val="single" w:sz="6" w:space="0"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otoenviados">
    <w:name w:val="cntr_foto_enviados"/>
    <w:basedOn w:val="Normal"/>
    <w:rsid w:val="00401DFF"/>
    <w:pPr>
      <w:spacing w:after="120" w:line="240" w:lineRule="auto"/>
    </w:pPr>
    <w:rPr>
      <w:rFonts w:ascii="Times New Roman" w:eastAsia="Times New Roman" w:hAnsi="Times New Roman" w:cs="Times New Roman"/>
      <w:sz w:val="24"/>
      <w:szCs w:val="24"/>
      <w:lang w:eastAsia="es-CO"/>
    </w:rPr>
  </w:style>
  <w:style w:type="paragraph" w:customStyle="1" w:styleId="fotocolegastam03">
    <w:name w:val="foto_colegas_tam03"/>
    <w:basedOn w:val="Normal"/>
    <w:rsid w:val="00401DFF"/>
    <w:pPr>
      <w:pBdr>
        <w:top w:val="single" w:sz="6" w:space="2" w:color="DFDFDF"/>
        <w:left w:val="single" w:sz="6" w:space="2" w:color="DFDFDF"/>
        <w:bottom w:val="single" w:sz="6" w:space="2" w:color="DFDFDF"/>
        <w:right w:val="single" w:sz="6" w:space="2" w:color="DFDFDF"/>
      </w:pBdr>
      <w:spacing w:after="0" w:line="240" w:lineRule="auto"/>
      <w:ind w:right="150"/>
    </w:pPr>
    <w:rPr>
      <w:rFonts w:ascii="Times New Roman" w:eastAsia="Times New Roman" w:hAnsi="Times New Roman" w:cs="Times New Roman"/>
      <w:sz w:val="24"/>
      <w:szCs w:val="24"/>
      <w:lang w:eastAsia="es-CO"/>
    </w:rPr>
  </w:style>
  <w:style w:type="paragraph" w:customStyle="1" w:styleId="cntrlnk01">
    <w:name w:val="cntr_lnk01"/>
    <w:basedOn w:val="Normal"/>
    <w:rsid w:val="00401DFF"/>
    <w:pPr>
      <w:spacing w:before="375" w:after="0" w:line="240" w:lineRule="auto"/>
    </w:pPr>
    <w:rPr>
      <w:rFonts w:ascii="Times New Roman" w:eastAsia="Times New Roman" w:hAnsi="Times New Roman" w:cs="Times New Roman"/>
      <w:sz w:val="24"/>
      <w:szCs w:val="24"/>
      <w:lang w:eastAsia="es-CO"/>
    </w:rPr>
  </w:style>
  <w:style w:type="paragraph" w:customStyle="1" w:styleId="namespplgroups01">
    <w:name w:val="names_ppl_groups01"/>
    <w:basedOn w:val="Normal"/>
    <w:rsid w:val="00401DFF"/>
    <w:pPr>
      <w:spacing w:before="180" w:after="120" w:line="240" w:lineRule="auto"/>
    </w:pPr>
    <w:rPr>
      <w:rFonts w:ascii="Arial" w:eastAsia="Times New Roman" w:hAnsi="Arial" w:cs="Arial"/>
      <w:b/>
      <w:bCs/>
      <w:color w:val="333333"/>
      <w:sz w:val="23"/>
      <w:szCs w:val="23"/>
      <w:lang w:eastAsia="es-CO"/>
    </w:rPr>
  </w:style>
  <w:style w:type="paragraph" w:customStyle="1" w:styleId="cntrnotasnew">
    <w:name w:val="cntr_notas_new"/>
    <w:basedOn w:val="Normal"/>
    <w:rsid w:val="00401DFF"/>
    <w:pPr>
      <w:spacing w:before="75" w:after="75" w:line="240" w:lineRule="auto"/>
    </w:pPr>
    <w:rPr>
      <w:rFonts w:ascii="Times New Roman" w:eastAsia="Times New Roman" w:hAnsi="Times New Roman" w:cs="Times New Roman"/>
      <w:sz w:val="24"/>
      <w:szCs w:val="24"/>
      <w:lang w:eastAsia="es-CO"/>
    </w:rPr>
  </w:style>
  <w:style w:type="paragraph" w:customStyle="1" w:styleId="cntrnotascomm">
    <w:name w:val="cntr_notas_comm"/>
    <w:basedOn w:val="Normal"/>
    <w:rsid w:val="00401DFF"/>
    <w:pPr>
      <w:spacing w:before="150" w:after="150" w:line="240" w:lineRule="auto"/>
    </w:pPr>
    <w:rPr>
      <w:rFonts w:ascii="Times New Roman" w:eastAsia="Times New Roman" w:hAnsi="Times New Roman" w:cs="Times New Roman"/>
      <w:sz w:val="24"/>
      <w:szCs w:val="24"/>
      <w:lang w:eastAsia="es-CO"/>
    </w:rPr>
  </w:style>
  <w:style w:type="paragraph" w:customStyle="1" w:styleId="boxcomm01lefttop">
    <w:name w:val="box_comm01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righttop">
    <w:name w:val="box_comm01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leftbottom">
    <w:name w:val="box_comm01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rightbottom">
    <w:name w:val="box_comm01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mid">
    <w:name w:val="box_comm01_mid"/>
    <w:basedOn w:val="Normal"/>
    <w:rsid w:val="00401DFF"/>
    <w:pPr>
      <w:pBdr>
        <w:top w:val="single" w:sz="2" w:space="0" w:color="F7E4C4"/>
        <w:left w:val="single" w:sz="6" w:space="4" w:color="F7E4C4"/>
        <w:bottom w:val="single" w:sz="2" w:space="0" w:color="F7E4C4"/>
        <w:right w:val="single" w:sz="6" w:space="4" w:color="F7E4C4"/>
      </w:pBdr>
      <w:shd w:val="clear" w:color="auto" w:fill="FEF9D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midopen">
    <w:name w:val="box_comm01_mid_open"/>
    <w:basedOn w:val="Normal"/>
    <w:rsid w:val="00401DFF"/>
    <w:pPr>
      <w:pBdr>
        <w:top w:val="single" w:sz="2" w:space="0" w:color="F7E4C4"/>
        <w:left w:val="single" w:sz="6" w:space="4" w:color="F7E4C4"/>
        <w:bottom w:val="single" w:sz="2" w:space="0" w:color="F7E4C4"/>
        <w:right w:val="single" w:sz="6" w:space="4" w:color="F7E4C4"/>
      </w:pBdr>
      <w:shd w:val="clear" w:color="auto" w:fill="FEF9D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mid">
    <w:name w:val="box_comm05_mid"/>
    <w:basedOn w:val="Normal"/>
    <w:rsid w:val="00401DFF"/>
    <w:pPr>
      <w:pBdr>
        <w:top w:val="single" w:sz="2" w:space="0" w:color="C4DFF7"/>
        <w:left w:val="single" w:sz="6" w:space="4" w:color="C4DFF7"/>
        <w:bottom w:val="single" w:sz="2" w:space="0" w:color="C4DFF7"/>
        <w:right w:val="single" w:sz="6" w:space="4" w:color="C4DFF7"/>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lefttop">
    <w:name w:val="box_comm02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righttop">
    <w:name w:val="box_comm02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leftbottom">
    <w:name w:val="box_comm02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rightbottom">
    <w:name w:val="box_comm02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mid">
    <w:name w:val="box_comm02_mid"/>
    <w:basedOn w:val="Normal"/>
    <w:rsid w:val="00401DFF"/>
    <w:pPr>
      <w:pBdr>
        <w:top w:val="single" w:sz="2" w:space="0" w:color="D0E8F2"/>
        <w:left w:val="single" w:sz="6" w:space="4" w:color="D0E8F2"/>
        <w:bottom w:val="single" w:sz="2" w:space="0" w:color="D0E8F2"/>
        <w:right w:val="single" w:sz="6" w:space="4" w:color="D0E8F2"/>
      </w:pBdr>
      <w:shd w:val="clear" w:color="auto" w:fill="F3F8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bordes">
    <w:name w:val="box_borde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n">
    <w:name w:val="cntr_notasn"/>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boxcomm02nmid">
    <w:name w:val="box_comm02n_mid"/>
    <w:basedOn w:val="Normal"/>
    <w:rsid w:val="00401DFF"/>
    <w:pPr>
      <w:pBdr>
        <w:top w:val="single" w:sz="2" w:space="0" w:color="D0E8F2"/>
        <w:left w:val="single" w:sz="6" w:space="4" w:color="D0E8F2"/>
        <w:bottom w:val="single" w:sz="2" w:space="0" w:color="D0E8F2"/>
        <w:right w:val="single" w:sz="6" w:space="4" w:color="D0E8F2"/>
      </w:pBdr>
      <w:shd w:val="clear" w:color="auto" w:fill="F3F8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top">
    <w:name w:val="box_comm02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lefttop">
    <w:name w:val="box_comm02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righttop">
    <w:name w:val="box_comm02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leftbottom">
    <w:name w:val="box_comm02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rightbottom">
    <w:name w:val="box_comm02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bottom">
    <w:name w:val="box_comm02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lefttop">
    <w:name w:val="box_comm05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righttop">
    <w:name w:val="box_comm05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top">
    <w:name w:val="box_comm05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leftbottom">
    <w:name w:val="box_comm05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rightbottom">
    <w:name w:val="box_comm05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bottom">
    <w:name w:val="box_comm05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mid">
    <w:name w:val="box_comm05n_mid"/>
    <w:basedOn w:val="Normal"/>
    <w:rsid w:val="00401DFF"/>
    <w:pPr>
      <w:pBdr>
        <w:top w:val="single" w:sz="2" w:space="0" w:color="C4DFF7"/>
        <w:left w:val="single" w:sz="6" w:space="4" w:color="C4DFF7"/>
        <w:bottom w:val="single" w:sz="2" w:space="0" w:color="C4DFF7"/>
        <w:right w:val="single" w:sz="6" w:space="4" w:color="C4DFF7"/>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top">
    <w:name w:val="box_comm03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lefttop">
    <w:name w:val="box_comm03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righttop">
    <w:name w:val="box_comm03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leftbottom">
    <w:name w:val="box_comm03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rightbottom">
    <w:name w:val="box_comm03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mid">
    <w:name w:val="box_comm03n_mid"/>
    <w:basedOn w:val="Normal"/>
    <w:rsid w:val="00401DFF"/>
    <w:pPr>
      <w:pBdr>
        <w:top w:val="single" w:sz="2" w:space="0" w:color="E8E8E8"/>
        <w:left w:val="single" w:sz="6" w:space="4" w:color="E8E8E8"/>
        <w:bottom w:val="single" w:sz="2" w:space="0" w:color="E8E8E8"/>
        <w:right w:val="single" w:sz="6" w:space="4" w:color="E8E8E8"/>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bottom">
    <w:name w:val="box_comm03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mid">
    <w:name w:val="box_comm01n_mid"/>
    <w:basedOn w:val="Normal"/>
    <w:rsid w:val="00401DFF"/>
    <w:pPr>
      <w:pBdr>
        <w:top w:val="single" w:sz="2" w:space="0" w:color="F7E4C4"/>
        <w:left w:val="single" w:sz="6" w:space="4" w:color="F7E4C4"/>
        <w:bottom w:val="single" w:sz="2" w:space="0" w:color="F7E4C4"/>
        <w:right w:val="single" w:sz="6" w:space="4" w:color="F7E4C4"/>
      </w:pBdr>
      <w:shd w:val="clear" w:color="auto" w:fill="FDF7D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lefttop">
    <w:name w:val="box_comm01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righttop">
    <w:name w:val="box_comm01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leftbottom">
    <w:name w:val="box_comm01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rightbottom">
    <w:name w:val="box_comm01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top">
    <w:name w:val="box_comm01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bottom">
    <w:name w:val="box_comm01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lefttop">
    <w:name w:val="box_comm04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righttop">
    <w:name w:val="box_comm04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top">
    <w:name w:val="box_comm04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leftbottom">
    <w:name w:val="box_comm04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rightbottom">
    <w:name w:val="box_comm04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bottom">
    <w:name w:val="box_comm04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mid">
    <w:name w:val="box_comm04n_mid"/>
    <w:basedOn w:val="Normal"/>
    <w:rsid w:val="00401DFF"/>
    <w:pPr>
      <w:pBdr>
        <w:top w:val="single" w:sz="2" w:space="0" w:color="F0D197"/>
        <w:left w:val="single" w:sz="6" w:space="4" w:color="F0D197"/>
        <w:bottom w:val="single" w:sz="2" w:space="0" w:color="F0D197"/>
        <w:right w:val="single" w:sz="6" w:space="4" w:color="F0D197"/>
      </w:pBdr>
      <w:shd w:val="clear" w:color="auto" w:fill="FEFBE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lefttop">
    <w:name w:val="box_comm03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righttop">
    <w:name w:val="box_comm03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leftbottom">
    <w:name w:val="box_comm03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rightbottom">
    <w:name w:val="box_comm03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mid">
    <w:name w:val="box_comm03_mid"/>
    <w:basedOn w:val="Normal"/>
    <w:rsid w:val="00401DFF"/>
    <w:pPr>
      <w:pBdr>
        <w:top w:val="single" w:sz="2" w:space="0" w:color="E8E8E8"/>
        <w:left w:val="single" w:sz="6" w:space="4" w:color="E8E8E8"/>
        <w:bottom w:val="single" w:sz="2" w:space="0" w:color="E8E8E8"/>
        <w:right w:val="single" w:sz="6" w:space="4" w:color="E8E8E8"/>
      </w:pBdr>
      <w:shd w:val="clear" w:color="auto" w:fill="F8F8F8"/>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lefttop">
    <w:name w:val="box_comm04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righttop">
    <w:name w:val="box_comm04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leftbottom">
    <w:name w:val="box_comm04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rightbottom">
    <w:name w:val="box_comm04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mid">
    <w:name w:val="box_comm04_mid"/>
    <w:basedOn w:val="Normal"/>
    <w:rsid w:val="00401DFF"/>
    <w:pPr>
      <w:pBdr>
        <w:top w:val="single" w:sz="2" w:space="0" w:color="F0D198"/>
        <w:left w:val="single" w:sz="6" w:space="4" w:color="F0D198"/>
        <w:bottom w:val="single" w:sz="2" w:space="0" w:color="F0D198"/>
        <w:right w:val="single" w:sz="6" w:space="4" w:color="F0D198"/>
      </w:pBdr>
      <w:shd w:val="clear" w:color="auto" w:fill="FEFAEB"/>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misnotasnew">
    <w:name w:val="ico_mis_notas_new"/>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notas01">
    <w:name w:val="sep_notas01"/>
    <w:basedOn w:val="Normal"/>
    <w:rsid w:val="00401DFF"/>
    <w:pPr>
      <w:pBdr>
        <w:right w:val="single" w:sz="6" w:space="0" w:color="F0CF97"/>
      </w:pBdr>
      <w:spacing w:after="0" w:line="240" w:lineRule="auto"/>
      <w:ind w:left="75" w:right="30"/>
    </w:pPr>
    <w:rPr>
      <w:rFonts w:ascii="Times New Roman" w:eastAsia="Times New Roman" w:hAnsi="Times New Roman" w:cs="Times New Roman"/>
      <w:sz w:val="24"/>
      <w:szCs w:val="24"/>
      <w:lang w:eastAsia="es-CO"/>
    </w:rPr>
  </w:style>
  <w:style w:type="paragraph" w:customStyle="1" w:styleId="sepnotas02">
    <w:name w:val="sep_notas02"/>
    <w:basedOn w:val="Normal"/>
    <w:rsid w:val="00401DFF"/>
    <w:pPr>
      <w:pBdr>
        <w:right w:val="single" w:sz="6" w:space="0" w:color="CCCCCC"/>
      </w:pBdr>
      <w:spacing w:before="60" w:after="0" w:line="240" w:lineRule="auto"/>
      <w:ind w:right="75"/>
    </w:pPr>
    <w:rPr>
      <w:rFonts w:ascii="Times New Roman" w:eastAsia="Times New Roman" w:hAnsi="Times New Roman" w:cs="Times New Roman"/>
      <w:sz w:val="24"/>
      <w:szCs w:val="24"/>
      <w:lang w:eastAsia="es-CO"/>
    </w:rPr>
  </w:style>
  <w:style w:type="paragraph" w:customStyle="1" w:styleId="sepnotas03">
    <w:name w:val="sep_notas03"/>
    <w:basedOn w:val="Normal"/>
    <w:rsid w:val="00401DFF"/>
    <w:pPr>
      <w:pBdr>
        <w:right w:val="single" w:sz="6" w:space="0" w:color="D7EAF4"/>
      </w:pBdr>
      <w:spacing w:after="0" w:line="240" w:lineRule="auto"/>
      <w:ind w:left="75" w:right="45"/>
    </w:pPr>
    <w:rPr>
      <w:rFonts w:ascii="Times New Roman" w:eastAsia="Times New Roman" w:hAnsi="Times New Roman" w:cs="Times New Roman"/>
      <w:sz w:val="24"/>
      <w:szCs w:val="24"/>
      <w:lang w:eastAsia="es-CO"/>
    </w:rPr>
  </w:style>
  <w:style w:type="paragraph" w:customStyle="1" w:styleId="sepnotas04">
    <w:name w:val="sep_notas04"/>
    <w:basedOn w:val="Normal"/>
    <w:rsid w:val="00401DFF"/>
    <w:pPr>
      <w:pBdr>
        <w:right w:val="single" w:sz="6" w:space="0" w:color="CCCCCC"/>
      </w:pBdr>
      <w:spacing w:before="75" w:after="0" w:line="240" w:lineRule="auto"/>
      <w:ind w:right="75"/>
    </w:pPr>
    <w:rPr>
      <w:rFonts w:ascii="Times New Roman" w:eastAsia="Times New Roman" w:hAnsi="Times New Roman" w:cs="Times New Roman"/>
      <w:sz w:val="24"/>
      <w:szCs w:val="24"/>
      <w:lang w:eastAsia="es-CO"/>
    </w:rPr>
  </w:style>
  <w:style w:type="paragraph" w:customStyle="1" w:styleId="cntrinfonotas01">
    <w:name w:val="cntr_info_not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notas02">
    <w:name w:val="cntr_info_notas02"/>
    <w:basedOn w:val="Normal"/>
    <w:rsid w:val="00401DFF"/>
    <w:pPr>
      <w:spacing w:before="45" w:after="0" w:line="240" w:lineRule="auto"/>
    </w:pPr>
    <w:rPr>
      <w:rFonts w:ascii="Times New Roman" w:eastAsia="Times New Roman" w:hAnsi="Times New Roman" w:cs="Times New Roman"/>
      <w:sz w:val="24"/>
      <w:szCs w:val="24"/>
      <w:lang w:eastAsia="es-CO"/>
    </w:rPr>
  </w:style>
  <w:style w:type="paragraph" w:customStyle="1" w:styleId="cntrinfonotas03">
    <w:name w:val="cntr_info_notas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notas01">
    <w:name w:val="txt_notas01"/>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txtnotas02">
    <w:name w:val="txt_notas02"/>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txtnotas03">
    <w:name w:val="txt_notas03"/>
    <w:basedOn w:val="Normal"/>
    <w:rsid w:val="00401DFF"/>
    <w:pPr>
      <w:spacing w:before="45" w:after="0" w:line="240" w:lineRule="auto"/>
    </w:pPr>
    <w:rPr>
      <w:rFonts w:ascii="Arial" w:eastAsia="Times New Roman" w:hAnsi="Arial" w:cs="Arial"/>
      <w:color w:val="939393"/>
      <w:sz w:val="15"/>
      <w:szCs w:val="15"/>
      <w:lang w:eastAsia="es-CO"/>
    </w:rPr>
  </w:style>
  <w:style w:type="paragraph" w:customStyle="1" w:styleId="txtnotas04">
    <w:name w:val="txt_notas04"/>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fotocolegastam04">
    <w:name w:val="foto_colegas_tam04"/>
    <w:basedOn w:val="Normal"/>
    <w:rsid w:val="00401DFF"/>
    <w:pPr>
      <w:pBdr>
        <w:top w:val="single" w:sz="6" w:space="1" w:color="DFDFDF"/>
        <w:left w:val="single" w:sz="6" w:space="1" w:color="DFDFDF"/>
        <w:bottom w:val="single" w:sz="6" w:space="1" w:color="DFDFDF"/>
        <w:right w:val="single" w:sz="6" w:space="1" w:color="DFDFDF"/>
      </w:pBdr>
      <w:shd w:val="clear" w:color="auto" w:fill="FFFFFF"/>
      <w:spacing w:after="0" w:line="240" w:lineRule="auto"/>
      <w:ind w:right="45"/>
    </w:pPr>
    <w:rPr>
      <w:rFonts w:ascii="Times New Roman" w:eastAsia="Times New Roman" w:hAnsi="Times New Roman" w:cs="Times New Roman"/>
      <w:sz w:val="24"/>
      <w:szCs w:val="24"/>
      <w:lang w:eastAsia="es-CO"/>
    </w:rPr>
  </w:style>
  <w:style w:type="paragraph" w:customStyle="1" w:styleId="cntrlnk02">
    <w:name w:val="cntr_lnk02"/>
    <w:basedOn w:val="Normal"/>
    <w:rsid w:val="00401DFF"/>
    <w:pPr>
      <w:spacing w:before="75" w:after="0" w:line="240" w:lineRule="auto"/>
      <w:ind w:left="75"/>
    </w:pPr>
    <w:rPr>
      <w:rFonts w:ascii="Times New Roman" w:eastAsia="Times New Roman" w:hAnsi="Times New Roman" w:cs="Times New Roman"/>
      <w:sz w:val="24"/>
      <w:szCs w:val="24"/>
      <w:lang w:eastAsia="es-CO"/>
    </w:rPr>
  </w:style>
  <w:style w:type="paragraph" w:customStyle="1" w:styleId="cntrnotasfotos">
    <w:name w:val="cntr_notas_fot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ent">
    <w:name w:val="cntr_comment"/>
    <w:basedOn w:val="Normal"/>
    <w:rsid w:val="00401DFF"/>
    <w:pPr>
      <w:shd w:val="clear" w:color="auto" w:fill="FCEEC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oxconversacion">
    <w:name w:val="cntr_box_conversacion"/>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colegasconvers">
    <w:name w:val="cntr_colegas_conver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01comment">
    <w:name w:val="sttl01_comment"/>
    <w:basedOn w:val="Normal"/>
    <w:rsid w:val="00401DFF"/>
    <w:pPr>
      <w:spacing w:before="100" w:beforeAutospacing="1" w:after="100" w:afterAutospacing="1" w:line="240" w:lineRule="auto"/>
    </w:pPr>
    <w:rPr>
      <w:rFonts w:ascii="Arial" w:eastAsia="Times New Roman" w:hAnsi="Arial" w:cs="Arial"/>
      <w:b/>
      <w:bCs/>
      <w:color w:val="333333"/>
      <w:sz w:val="23"/>
      <w:szCs w:val="23"/>
      <w:lang w:eastAsia="es-CO"/>
    </w:rPr>
  </w:style>
  <w:style w:type="paragraph" w:customStyle="1" w:styleId="cntrcheck">
    <w:name w:val="cntr_check"/>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namescomm">
    <w:name w:val="cntr_names_com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commactive">
    <w:name w:val="cntr_names_comm_active"/>
    <w:basedOn w:val="Normal"/>
    <w:rsid w:val="00401DFF"/>
    <w:pPr>
      <w:pBdr>
        <w:top w:val="single" w:sz="6" w:space="1" w:color="D9B359"/>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spplgroups011">
    <w:name w:val="names_ppl_groups011"/>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namespplgroups011active">
    <w:name w:val="names_ppl_groups011_active"/>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cntrnamesgroups02">
    <w:name w:val="cntr_names_group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02a">
    <w:name w:val="cntr_names_groups02_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02b">
    <w:name w:val="cntr_names_groups02_b"/>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02">
    <w:name w:val="btn_grl02"/>
    <w:basedOn w:val="Normal"/>
    <w:rsid w:val="00401DFF"/>
    <w:pPr>
      <w:spacing w:before="105" w:after="0" w:line="240" w:lineRule="auto"/>
      <w:ind w:right="150"/>
    </w:pPr>
    <w:rPr>
      <w:rFonts w:ascii="Times New Roman" w:eastAsia="Times New Roman" w:hAnsi="Times New Roman" w:cs="Times New Roman"/>
      <w:sz w:val="24"/>
      <w:szCs w:val="24"/>
      <w:lang w:eastAsia="es-CO"/>
    </w:rPr>
  </w:style>
  <w:style w:type="paragraph" w:customStyle="1" w:styleId="cntrusernotes">
    <w:name w:val="cntr_user_notes"/>
    <w:basedOn w:val="Normal"/>
    <w:rsid w:val="00401DFF"/>
    <w:pPr>
      <w:spacing w:after="0" w:line="240" w:lineRule="auto"/>
      <w:ind w:left="450"/>
    </w:pPr>
    <w:rPr>
      <w:rFonts w:ascii="Times New Roman" w:eastAsia="Times New Roman" w:hAnsi="Times New Roman" w:cs="Times New Roman"/>
      <w:sz w:val="24"/>
      <w:szCs w:val="24"/>
      <w:lang w:eastAsia="es-CO"/>
    </w:rPr>
  </w:style>
  <w:style w:type="paragraph" w:customStyle="1" w:styleId="cntrusuarios">
    <w:name w:val="cntr_usuarios"/>
    <w:basedOn w:val="Normal"/>
    <w:rsid w:val="00401DFF"/>
    <w:pPr>
      <w:spacing w:after="0" w:line="240" w:lineRule="auto"/>
      <w:ind w:right="300"/>
    </w:pPr>
    <w:rPr>
      <w:rFonts w:ascii="Times New Roman" w:eastAsia="Times New Roman" w:hAnsi="Times New Roman" w:cs="Times New Roman"/>
      <w:sz w:val="24"/>
      <w:szCs w:val="24"/>
      <w:lang w:eastAsia="es-CO"/>
    </w:rPr>
  </w:style>
  <w:style w:type="paragraph" w:customStyle="1" w:styleId="cntrinfo01colegas">
    <w:name w:val="cntr_info01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02colegas">
    <w:name w:val="cntr_info02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fotos01">
    <w:name w:val="cntr_notas_foto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gral">
    <w:name w:val="cntr_comm_gr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colegastam05">
    <w:name w:val="foto_colegas_tam05"/>
    <w:basedOn w:val="Normal"/>
    <w:rsid w:val="00401DFF"/>
    <w:pPr>
      <w:pBdr>
        <w:top w:val="single" w:sz="6" w:space="2" w:color="DFDFDF"/>
        <w:left w:val="single" w:sz="6" w:space="2" w:color="DFDFDF"/>
        <w:bottom w:val="single" w:sz="6" w:space="2" w:color="DFDFDF"/>
        <w:right w:val="single" w:sz="6" w:space="2" w:color="DFDFDF"/>
      </w:pBdr>
      <w:spacing w:before="45" w:after="0" w:line="240" w:lineRule="auto"/>
    </w:pPr>
    <w:rPr>
      <w:rFonts w:ascii="Times New Roman" w:eastAsia="Times New Roman" w:hAnsi="Times New Roman" w:cs="Times New Roman"/>
      <w:sz w:val="24"/>
      <w:szCs w:val="24"/>
      <w:lang w:eastAsia="es-CO"/>
    </w:rPr>
  </w:style>
  <w:style w:type="paragraph" w:customStyle="1" w:styleId="cntrcommcolegas">
    <w:name w:val="cntr_comm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colegas01">
    <w:name w:val="cntr_comm_coleg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s">
    <w:name w:val="names"/>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cntrlines">
    <w:name w:val="cntr_line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1">
    <w:name w:val="line01"/>
    <w:basedOn w:val="Normal"/>
    <w:rsid w:val="00401DFF"/>
    <w:pPr>
      <w:pBdr>
        <w:top w:val="single" w:sz="6" w:space="0" w:color="E6F0FB"/>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2">
    <w:name w:val="line02"/>
    <w:basedOn w:val="Normal"/>
    <w:rsid w:val="00401DFF"/>
    <w:pPr>
      <w:pBdr>
        <w:top w:val="single" w:sz="6" w:space="0" w:color="FBFDF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3">
    <w:name w:val="line03"/>
    <w:basedOn w:val="Normal"/>
    <w:rsid w:val="00401DFF"/>
    <w:pPr>
      <w:pBdr>
        <w:top w:val="single" w:sz="6" w:space="0" w:color="FEFCE9"/>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4">
    <w:name w:val="line04"/>
    <w:basedOn w:val="Normal"/>
    <w:rsid w:val="00401DFF"/>
    <w:pPr>
      <w:pBdr>
        <w:top w:val="single" w:sz="6" w:space="0" w:color="E6F0FB"/>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5">
    <w:name w:val="line05"/>
    <w:basedOn w:val="Normal"/>
    <w:rsid w:val="00401DFF"/>
    <w:pPr>
      <w:pBdr>
        <w:top w:val="single" w:sz="6" w:space="0" w:color="FAEED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mmentgral">
    <w:name w:val="comment_gral"/>
    <w:basedOn w:val="Normal"/>
    <w:rsid w:val="00401DFF"/>
    <w:pPr>
      <w:spacing w:before="100" w:beforeAutospacing="1" w:after="100" w:afterAutospacing="1" w:line="255" w:lineRule="atLeast"/>
    </w:pPr>
    <w:rPr>
      <w:rFonts w:ascii="Arial" w:eastAsia="Times New Roman" w:hAnsi="Arial" w:cs="Arial"/>
      <w:color w:val="575757"/>
      <w:sz w:val="20"/>
      <w:szCs w:val="20"/>
      <w:lang w:eastAsia="es-CO"/>
    </w:rPr>
  </w:style>
  <w:style w:type="paragraph" w:customStyle="1" w:styleId="btngrl03">
    <w:name w:val="btn_grl03"/>
    <w:basedOn w:val="Normal"/>
    <w:rsid w:val="00401DFF"/>
    <w:pPr>
      <w:spacing w:after="0" w:line="240" w:lineRule="auto"/>
      <w:ind w:right="45"/>
    </w:pPr>
    <w:rPr>
      <w:rFonts w:ascii="Times New Roman" w:eastAsia="Times New Roman" w:hAnsi="Times New Roman" w:cs="Times New Roman"/>
      <w:sz w:val="24"/>
      <w:szCs w:val="24"/>
      <w:lang w:eastAsia="es-CO"/>
    </w:rPr>
  </w:style>
  <w:style w:type="paragraph" w:customStyle="1" w:styleId="cntropc01">
    <w:name w:val="cntr_opc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k08">
    <w:name w:val="link08"/>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comment01">
    <w:name w:val="cntr_comment01"/>
    <w:basedOn w:val="Normal"/>
    <w:rsid w:val="00401DFF"/>
    <w:pPr>
      <w:shd w:val="clear" w:color="auto" w:fill="E2EFFA"/>
      <w:spacing w:after="0" w:line="240" w:lineRule="auto"/>
    </w:pPr>
    <w:rPr>
      <w:rFonts w:ascii="Times New Roman" w:eastAsia="Times New Roman" w:hAnsi="Times New Roman" w:cs="Times New Roman"/>
      <w:sz w:val="24"/>
      <w:szCs w:val="24"/>
      <w:lang w:eastAsia="es-CO"/>
    </w:rPr>
  </w:style>
  <w:style w:type="paragraph" w:customStyle="1" w:styleId="cntrcomment02">
    <w:name w:val="cntr_comment02"/>
    <w:basedOn w:val="Normal"/>
    <w:rsid w:val="00401DFF"/>
    <w:pPr>
      <w:shd w:val="clear" w:color="auto" w:fill="E9E9E9"/>
      <w:spacing w:after="0" w:line="240" w:lineRule="auto"/>
    </w:pPr>
    <w:rPr>
      <w:rFonts w:ascii="Times New Roman" w:eastAsia="Times New Roman" w:hAnsi="Times New Roman" w:cs="Times New Roman"/>
      <w:sz w:val="24"/>
      <w:szCs w:val="24"/>
      <w:lang w:eastAsia="es-CO"/>
    </w:rPr>
  </w:style>
  <w:style w:type="paragraph" w:customStyle="1" w:styleId="boxcomm05lefttop">
    <w:name w:val="box_comm05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righttop">
    <w:name w:val="box_comm05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leftbottom">
    <w:name w:val="box_comm05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rightbottom">
    <w:name w:val="box_comm05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usernotes01">
    <w:name w:val="cntr_user_note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
    <w:name w:val="cntr_conversacio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01">
    <w:name w:val="cntr_conversacio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02">
    <w:name w:val="cntr_conversacion02"/>
    <w:basedOn w:val="Normal"/>
    <w:rsid w:val="00401DFF"/>
    <w:pPr>
      <w:spacing w:after="0" w:line="240" w:lineRule="auto"/>
      <w:ind w:left="75" w:right="75"/>
    </w:pPr>
    <w:rPr>
      <w:rFonts w:ascii="Times New Roman" w:eastAsia="Times New Roman" w:hAnsi="Times New Roman" w:cs="Times New Roman"/>
      <w:sz w:val="24"/>
      <w:szCs w:val="24"/>
      <w:lang w:eastAsia="es-CO"/>
    </w:rPr>
  </w:style>
  <w:style w:type="paragraph" w:customStyle="1" w:styleId="notificacion">
    <w:name w:val="notificacion"/>
    <w:basedOn w:val="Normal"/>
    <w:rsid w:val="00401DFF"/>
    <w:pPr>
      <w:pBdr>
        <w:top w:val="single" w:sz="6" w:space="2" w:color="F5D894"/>
        <w:left w:val="single" w:sz="6" w:space="20" w:color="F5D894"/>
        <w:bottom w:val="single" w:sz="6" w:space="0" w:color="F5D894"/>
        <w:right w:val="single" w:sz="6" w:space="0" w:color="F5D894"/>
      </w:pBdr>
      <w:shd w:val="clear" w:color="auto" w:fill="FEFBF3"/>
      <w:spacing w:after="120" w:line="240" w:lineRule="auto"/>
    </w:pPr>
    <w:rPr>
      <w:rFonts w:ascii="Arial" w:eastAsia="Times New Roman" w:hAnsi="Arial" w:cs="Arial"/>
      <w:color w:val="C14E00"/>
      <w:sz w:val="17"/>
      <w:szCs w:val="17"/>
      <w:lang w:eastAsia="es-CO"/>
    </w:rPr>
  </w:style>
  <w:style w:type="paragraph" w:customStyle="1" w:styleId="cntropc02">
    <w:name w:val="cntr_opc02"/>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commcolegas02">
    <w:name w:val="cntr_comm_colega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grouppriv01">
    <w:name w:val="ico_group_priv01"/>
    <w:basedOn w:val="Normal"/>
    <w:rsid w:val="00401DFF"/>
    <w:pPr>
      <w:spacing w:after="0" w:line="240" w:lineRule="auto"/>
      <w:ind w:right="30"/>
    </w:pPr>
    <w:rPr>
      <w:rFonts w:ascii="Times New Roman" w:eastAsia="Times New Roman" w:hAnsi="Times New Roman" w:cs="Times New Roman"/>
      <w:sz w:val="24"/>
      <w:szCs w:val="24"/>
      <w:lang w:eastAsia="es-CO"/>
    </w:rPr>
  </w:style>
  <w:style w:type="paragraph" w:customStyle="1" w:styleId="cntrlnk03">
    <w:name w:val="cntr_lnk03"/>
    <w:basedOn w:val="Normal"/>
    <w:rsid w:val="00401DFF"/>
    <w:pPr>
      <w:spacing w:before="30" w:after="75" w:line="240" w:lineRule="auto"/>
      <w:ind w:left="45" w:right="75"/>
    </w:pPr>
    <w:rPr>
      <w:rFonts w:ascii="Times New Roman" w:eastAsia="Times New Roman" w:hAnsi="Times New Roman" w:cs="Times New Roman"/>
      <w:sz w:val="24"/>
      <w:szCs w:val="24"/>
      <w:lang w:eastAsia="es-CO"/>
    </w:rPr>
  </w:style>
  <w:style w:type="paragraph" w:customStyle="1" w:styleId="lnk08n">
    <w:name w:val="lnk08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infonotas04">
    <w:name w:val="cntr_info_notas04"/>
    <w:basedOn w:val="Normal"/>
    <w:rsid w:val="00401DFF"/>
    <w:pPr>
      <w:pBdr>
        <w:top w:val="single" w:sz="6" w:space="0" w:color="F3F8FD"/>
        <w:left w:val="single" w:sz="6" w:space="0" w:color="F3F8FD"/>
        <w:bottom w:val="single" w:sz="6" w:space="0" w:color="F3F8FD"/>
        <w:right w:val="single" w:sz="6" w:space="0" w:color="F3F8FD"/>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ent04">
    <w:name w:val="cntr_comment04"/>
    <w:basedOn w:val="Normal"/>
    <w:rsid w:val="00401DFF"/>
    <w:pPr>
      <w:shd w:val="clear" w:color="auto" w:fill="FCEEC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trltextarea">
    <w:name w:val="ctrl_text_area"/>
    <w:basedOn w:val="Normal"/>
    <w:rsid w:val="00401DFF"/>
    <w:pPr>
      <w:pBdr>
        <w:top w:val="single" w:sz="6" w:space="0" w:color="DFDFDF"/>
        <w:left w:val="single" w:sz="6" w:space="0" w:color="DFDFDF"/>
        <w:bottom w:val="single" w:sz="6" w:space="0" w:color="DFDFDF"/>
        <w:right w:val="single" w:sz="6" w:space="0" w:color="DFDFDF"/>
      </w:pBdr>
      <w:spacing w:before="100" w:beforeAutospacing="1" w:after="100" w:afterAutospacing="1" w:line="270" w:lineRule="atLeast"/>
    </w:pPr>
    <w:rPr>
      <w:rFonts w:ascii="Arial" w:eastAsia="Times New Roman" w:hAnsi="Arial" w:cs="Arial"/>
      <w:color w:val="575757"/>
      <w:sz w:val="20"/>
      <w:szCs w:val="20"/>
      <w:lang w:eastAsia="es-CO"/>
    </w:rPr>
  </w:style>
  <w:style w:type="paragraph" w:customStyle="1" w:styleId="cntrperfil01">
    <w:name w:val="cntr_perfi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izq01">
    <w:name w:val="col_perfil_izq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der01">
    <w:name w:val="col_perfil_der01"/>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nameppluser01">
    <w:name w:val="name_ppl_user01"/>
    <w:basedOn w:val="Normal"/>
    <w:rsid w:val="00401DFF"/>
    <w:pPr>
      <w:spacing w:before="100" w:beforeAutospacing="1" w:after="100" w:afterAutospacing="1" w:line="240" w:lineRule="auto"/>
    </w:pPr>
    <w:rPr>
      <w:rFonts w:ascii="Arial" w:eastAsia="Times New Roman" w:hAnsi="Arial" w:cs="Arial"/>
      <w:b/>
      <w:bCs/>
      <w:color w:val="333333"/>
      <w:sz w:val="23"/>
      <w:szCs w:val="23"/>
      <w:lang w:eastAsia="es-CO"/>
    </w:rPr>
  </w:style>
  <w:style w:type="paragraph" w:customStyle="1" w:styleId="lnkgrl02">
    <w:name w:val="lnk_grl02"/>
    <w:basedOn w:val="Normal"/>
    <w:rsid w:val="00401DFF"/>
    <w:pPr>
      <w:spacing w:before="100" w:beforeAutospacing="1" w:after="100" w:afterAutospacing="1" w:line="240" w:lineRule="auto"/>
    </w:pPr>
    <w:rPr>
      <w:rFonts w:ascii="Arial" w:eastAsia="Times New Roman" w:hAnsi="Arial" w:cs="Arial"/>
      <w:color w:val="2478BE"/>
      <w:sz w:val="18"/>
      <w:szCs w:val="18"/>
      <w:lang w:eastAsia="es-CO"/>
    </w:rPr>
  </w:style>
  <w:style w:type="paragraph" w:customStyle="1" w:styleId="infoperfil">
    <w:name w:val="info_perfil"/>
    <w:basedOn w:val="Normal"/>
    <w:rsid w:val="00401DFF"/>
    <w:pPr>
      <w:spacing w:before="100" w:beforeAutospacing="1" w:after="100" w:afterAutospacing="1" w:line="240" w:lineRule="auto"/>
    </w:pPr>
    <w:rPr>
      <w:rFonts w:ascii="Arial" w:eastAsia="Times New Roman" w:hAnsi="Arial" w:cs="Arial"/>
      <w:color w:val="575757"/>
      <w:sz w:val="18"/>
      <w:szCs w:val="18"/>
      <w:lang w:eastAsia="es-CO"/>
    </w:rPr>
  </w:style>
  <w:style w:type="paragraph" w:customStyle="1" w:styleId="cntrbtngrl02">
    <w:name w:val="cntr_btn_grl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04">
    <w:name w:val="btn_grl04"/>
    <w:basedOn w:val="Normal"/>
    <w:rsid w:val="00401DFF"/>
    <w:pPr>
      <w:spacing w:before="30" w:after="75" w:line="240" w:lineRule="auto"/>
    </w:pPr>
    <w:rPr>
      <w:rFonts w:ascii="Times New Roman" w:eastAsia="Times New Roman" w:hAnsi="Times New Roman" w:cs="Times New Roman"/>
      <w:sz w:val="24"/>
      <w:szCs w:val="24"/>
      <w:lang w:eastAsia="es-CO"/>
    </w:rPr>
  </w:style>
  <w:style w:type="paragraph" w:customStyle="1" w:styleId="cntrmsgaceptarsolicitud">
    <w:name w:val="cntr_msg_aceptarsolicitud"/>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cntrboxbanner">
    <w:name w:val="cntr_box_banner"/>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Arial" w:eastAsia="Times New Roman" w:hAnsi="Arial" w:cs="Arial"/>
      <w:color w:val="666666"/>
      <w:sz w:val="20"/>
      <w:szCs w:val="20"/>
      <w:lang w:eastAsia="es-CO"/>
    </w:rPr>
  </w:style>
  <w:style w:type="paragraph" w:customStyle="1" w:styleId="cntrboxbanner01">
    <w:name w:val="cntr_box_banner01"/>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Arial" w:eastAsia="Times New Roman" w:hAnsi="Arial" w:cs="Arial"/>
      <w:color w:val="666666"/>
      <w:sz w:val="20"/>
      <w:szCs w:val="20"/>
      <w:lang w:eastAsia="es-CO"/>
    </w:rPr>
  </w:style>
  <w:style w:type="paragraph" w:customStyle="1" w:styleId="cntrautentreg03">
    <w:name w:val="cntr_autent_reg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tngrl03">
    <w:name w:val="cntr_btn_grl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rgarfoto">
    <w:name w:val="cargar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mpofoto">
    <w:name w:val="campo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put01">
    <w:name w:val="input01"/>
    <w:basedOn w:val="Normal"/>
    <w:rsid w:val="00401DFF"/>
    <w:pPr>
      <w:pBdr>
        <w:top w:val="single" w:sz="6" w:space="0" w:color="EAEAEA"/>
        <w:left w:val="single" w:sz="6" w:space="0" w:color="EAEAEA"/>
        <w:bottom w:val="single" w:sz="6" w:space="0" w:color="EAEAEA"/>
        <w:right w:val="single" w:sz="6" w:space="0"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examinar">
    <w:name w:val="btn_examin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14n">
    <w:name w:val="lnk014_n"/>
    <w:basedOn w:val="Normal"/>
    <w:rsid w:val="00401DFF"/>
    <w:pPr>
      <w:spacing w:before="100" w:beforeAutospacing="1" w:after="100" w:afterAutospacing="1" w:line="240" w:lineRule="auto"/>
    </w:pPr>
    <w:rPr>
      <w:rFonts w:ascii="Arial" w:eastAsia="Times New Roman" w:hAnsi="Arial" w:cs="Arial"/>
      <w:color w:val="9E9E9E"/>
      <w:sz w:val="17"/>
      <w:szCs w:val="17"/>
      <w:lang w:eastAsia="es-CO"/>
    </w:rPr>
  </w:style>
  <w:style w:type="paragraph" w:customStyle="1" w:styleId="linesep07">
    <w:name w:val="line_sep07"/>
    <w:basedOn w:val="Normal"/>
    <w:rsid w:val="00401DFF"/>
    <w:pPr>
      <w:pBdr>
        <w:top w:val="dotted" w:sz="6" w:space="0" w:color="AAD2FF"/>
      </w:pBdr>
      <w:spacing w:before="180" w:after="45" w:line="240" w:lineRule="auto"/>
      <w:ind w:right="120"/>
    </w:pPr>
    <w:rPr>
      <w:rFonts w:ascii="Times New Roman" w:eastAsia="Times New Roman" w:hAnsi="Times New Roman" w:cs="Times New Roman"/>
      <w:sz w:val="24"/>
      <w:szCs w:val="24"/>
      <w:lang w:eastAsia="es-CO"/>
    </w:rPr>
  </w:style>
  <w:style w:type="paragraph" w:customStyle="1" w:styleId="box01">
    <w:name w:val="box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01top">
    <w:name w:val="box01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01mid">
    <w:name w:val="box01_mid"/>
    <w:basedOn w:val="Normal"/>
    <w:rsid w:val="00401DFF"/>
    <w:pPr>
      <w:pBdr>
        <w:top w:val="single" w:sz="2" w:space="0" w:color="DAEEFA"/>
        <w:left w:val="single" w:sz="6" w:space="0" w:color="DAEEFA"/>
        <w:bottom w:val="single" w:sz="2" w:space="0" w:color="DAEEFA"/>
        <w:right w:val="single" w:sz="6" w:space="0" w:color="DAEEF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box01">
    <w:name w:val="info_box01"/>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box01bottom">
    <w:name w:val="box01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autent01">
    <w:name w:val="info_auten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01">
    <w:name w:val="ttl_autent01"/>
    <w:basedOn w:val="Normal"/>
    <w:rsid w:val="00401DFF"/>
    <w:pPr>
      <w:pBdr>
        <w:bottom w:val="single" w:sz="6" w:space="8" w:color="E6E6E6"/>
      </w:pBdr>
      <w:spacing w:before="100" w:beforeAutospacing="1" w:after="100" w:afterAutospacing="1" w:line="300" w:lineRule="atLeast"/>
    </w:pPr>
    <w:rPr>
      <w:rFonts w:ascii="Arial" w:eastAsia="Times New Roman" w:hAnsi="Arial" w:cs="Arial"/>
      <w:color w:val="333333"/>
      <w:sz w:val="29"/>
      <w:szCs w:val="29"/>
      <w:lang w:eastAsia="es-CO"/>
    </w:rPr>
  </w:style>
  <w:style w:type="paragraph" w:customStyle="1" w:styleId="txtautent07">
    <w:name w:val="txt_autent07"/>
    <w:basedOn w:val="Normal"/>
    <w:rsid w:val="00401DFF"/>
    <w:pPr>
      <w:spacing w:before="75" w:after="225" w:line="270" w:lineRule="atLeast"/>
    </w:pPr>
    <w:rPr>
      <w:rFonts w:ascii="Arial" w:eastAsia="Times New Roman" w:hAnsi="Arial" w:cs="Arial"/>
      <w:color w:val="666666"/>
      <w:sz w:val="21"/>
      <w:szCs w:val="21"/>
      <w:lang w:eastAsia="es-CO"/>
    </w:rPr>
  </w:style>
  <w:style w:type="paragraph" w:customStyle="1" w:styleId="lnkcolegaerr">
    <w:name w:val="lnk_colegaerr"/>
    <w:basedOn w:val="Normal"/>
    <w:rsid w:val="00401DFF"/>
    <w:pPr>
      <w:pBdr>
        <w:top w:val="single" w:sz="6" w:space="0" w:color="A0191A"/>
        <w:left w:val="single" w:sz="6" w:space="2" w:color="A0191A"/>
        <w:bottom w:val="single" w:sz="6" w:space="0" w:color="A0191A"/>
        <w:right w:val="single" w:sz="6" w:space="2" w:color="A0191A"/>
      </w:pBdr>
      <w:shd w:val="clear" w:color="auto" w:fill="FDF5F5"/>
      <w:spacing w:before="45" w:after="45" w:line="240" w:lineRule="auto"/>
      <w:ind w:left="45" w:right="45"/>
    </w:pPr>
    <w:rPr>
      <w:rFonts w:ascii="Arial" w:eastAsia="Times New Roman" w:hAnsi="Arial" w:cs="Arial"/>
      <w:color w:val="666666"/>
      <w:sz w:val="17"/>
      <w:szCs w:val="17"/>
      <w:lang w:eastAsia="es-CO"/>
    </w:rPr>
  </w:style>
  <w:style w:type="paragraph" w:customStyle="1" w:styleId="lnkcolega">
    <w:name w:val="lnk_colega"/>
    <w:basedOn w:val="Normal"/>
    <w:rsid w:val="00401DFF"/>
    <w:pPr>
      <w:pBdr>
        <w:top w:val="single" w:sz="6" w:space="0" w:color="83C0ED"/>
        <w:left w:val="single" w:sz="6" w:space="2" w:color="83C0ED"/>
        <w:bottom w:val="single" w:sz="6" w:space="0" w:color="83C0ED"/>
        <w:right w:val="single" w:sz="6" w:space="2" w:color="83C0ED"/>
      </w:pBdr>
      <w:shd w:val="clear" w:color="auto" w:fill="F9FCFF"/>
      <w:spacing w:before="45" w:after="45" w:line="240" w:lineRule="auto"/>
      <w:ind w:left="45" w:right="45"/>
    </w:pPr>
    <w:rPr>
      <w:rFonts w:ascii="Arial" w:eastAsia="Times New Roman" w:hAnsi="Arial" w:cs="Arial"/>
      <w:color w:val="666666"/>
      <w:sz w:val="17"/>
      <w:szCs w:val="17"/>
      <w:lang w:eastAsia="es-CO"/>
    </w:rPr>
  </w:style>
  <w:style w:type="paragraph" w:customStyle="1" w:styleId="lnkcolegal">
    <w:name w:val="lnk_coleg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box">
    <w:name w:val="cntr_l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lbox">
    <w:name w:val="cntr_col_box"/>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ol01lbox">
    <w:name w:val="col01_lbox"/>
    <w:basedOn w:val="Normal"/>
    <w:rsid w:val="00401DFF"/>
    <w:pPr>
      <w:pBdr>
        <w:top w:val="single" w:sz="6" w:space="0" w:color="A2D2F0"/>
        <w:left w:val="single" w:sz="6" w:space="0" w:color="A2D2F0"/>
        <w:bottom w:val="single" w:sz="6" w:space="0" w:color="A2D2F0"/>
        <w:right w:val="single" w:sz="6" w:space="0" w:color="A2D2F0"/>
      </w:pBdr>
      <w:shd w:val="clear" w:color="auto" w:fill="FFFFFF"/>
      <w:spacing w:before="45" w:after="45" w:line="240" w:lineRule="auto"/>
      <w:ind w:left="45" w:right="30"/>
    </w:pPr>
    <w:rPr>
      <w:rFonts w:ascii="Times New Roman" w:eastAsia="Times New Roman" w:hAnsi="Times New Roman" w:cs="Times New Roman"/>
      <w:sz w:val="24"/>
      <w:szCs w:val="24"/>
      <w:lang w:eastAsia="es-CO"/>
    </w:rPr>
  </w:style>
  <w:style w:type="paragraph" w:customStyle="1" w:styleId="col01lboxb">
    <w:name w:val="col01_lboxb"/>
    <w:basedOn w:val="Normal"/>
    <w:rsid w:val="00401DF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1lboxppl">
    <w:name w:val="col01_lbox_ppl"/>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col01lboxa">
    <w:name w:val="col01_lboxa"/>
    <w:basedOn w:val="Normal"/>
    <w:rsid w:val="00401DFF"/>
    <w:pPr>
      <w:shd w:val="clear" w:color="auto" w:fill="E3F1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2lbox">
    <w:name w:val="col02_lbox"/>
    <w:basedOn w:val="Normal"/>
    <w:rsid w:val="00401DFF"/>
    <w:pPr>
      <w:spacing w:after="0" w:line="240" w:lineRule="auto"/>
      <w:ind w:left="600"/>
    </w:pPr>
    <w:rPr>
      <w:rFonts w:ascii="Times New Roman" w:eastAsia="Times New Roman" w:hAnsi="Times New Roman" w:cs="Times New Roman"/>
      <w:sz w:val="24"/>
      <w:szCs w:val="24"/>
      <w:lang w:eastAsia="es-CO"/>
    </w:rPr>
  </w:style>
  <w:style w:type="paragraph" w:customStyle="1" w:styleId="cntrinfouser01a">
    <w:name w:val="cntr_info_user01a"/>
    <w:basedOn w:val="Normal"/>
    <w:rsid w:val="00401DFF"/>
    <w:pPr>
      <w:pBdr>
        <w:top w:val="single" w:sz="6" w:space="2" w:color="FFFFFF"/>
        <w:left w:val="single" w:sz="6" w:space="8" w:color="FFFFFF"/>
        <w:bottom w:val="single" w:sz="6" w:space="2" w:color="FFFFFF"/>
        <w:right w:val="single" w:sz="6" w:space="4" w:color="FFFFFF"/>
      </w:pBdr>
      <w:spacing w:before="45" w:after="45" w:line="240" w:lineRule="auto"/>
      <w:ind w:left="30"/>
    </w:pPr>
    <w:rPr>
      <w:rFonts w:ascii="Times New Roman" w:eastAsia="Times New Roman" w:hAnsi="Times New Roman" w:cs="Times New Roman"/>
      <w:sz w:val="24"/>
      <w:szCs w:val="24"/>
      <w:lang w:eastAsia="es-CO"/>
    </w:rPr>
  </w:style>
  <w:style w:type="paragraph" w:customStyle="1" w:styleId="cntrinfouser01aactive">
    <w:name w:val="cntr_info_user01a_active"/>
    <w:basedOn w:val="Normal"/>
    <w:rsid w:val="00401DFF"/>
    <w:pPr>
      <w:pBdr>
        <w:top w:val="single" w:sz="6" w:space="2" w:color="DBF0FB"/>
        <w:left w:val="single" w:sz="6" w:space="8" w:color="DBF0FB"/>
        <w:bottom w:val="single" w:sz="6" w:space="2" w:color="DBF0FB"/>
        <w:right w:val="single" w:sz="6" w:space="4" w:color="DBF0FB"/>
      </w:pBdr>
      <w:shd w:val="clear" w:color="auto" w:fill="F2F9FF"/>
      <w:spacing w:before="45" w:after="45" w:line="240" w:lineRule="auto"/>
      <w:ind w:left="30"/>
    </w:pPr>
    <w:rPr>
      <w:rFonts w:ascii="Times New Roman" w:eastAsia="Times New Roman" w:hAnsi="Times New Roman" w:cs="Times New Roman"/>
      <w:sz w:val="24"/>
      <w:szCs w:val="24"/>
      <w:lang w:eastAsia="es-CO"/>
    </w:rPr>
  </w:style>
  <w:style w:type="paragraph" w:customStyle="1" w:styleId="cntrinfouser01b">
    <w:name w:val="cntr_info_user01b"/>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selectall">
    <w:name w:val="cntr_selectall"/>
    <w:basedOn w:val="Normal"/>
    <w:rsid w:val="00401DFF"/>
    <w:pPr>
      <w:pBdr>
        <w:bottom w:val="single" w:sz="6" w:space="8" w:color="EEEEEE"/>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emover">
    <w:name w:val="cntr_remover"/>
    <w:basedOn w:val="Normal"/>
    <w:rsid w:val="00401DFF"/>
    <w:pPr>
      <w:pBdr>
        <w:top w:val="single" w:sz="6" w:space="3" w:color="DBF0FB"/>
      </w:pBdr>
      <w:shd w:val="clear" w:color="auto" w:fill="F2F9FF"/>
      <w:spacing w:before="100" w:beforeAutospacing="1" w:after="100" w:afterAutospacing="1" w:line="240" w:lineRule="auto"/>
    </w:pPr>
    <w:rPr>
      <w:rFonts w:ascii="Arial" w:eastAsia="Times New Roman" w:hAnsi="Arial" w:cs="Arial"/>
      <w:color w:val="2B739E"/>
      <w:sz w:val="17"/>
      <w:szCs w:val="17"/>
      <w:lang w:eastAsia="es-CO"/>
    </w:rPr>
  </w:style>
  <w:style w:type="paragraph" w:customStyle="1" w:styleId="txtcol01">
    <w:name w:val="txt_col01"/>
    <w:basedOn w:val="Normal"/>
    <w:rsid w:val="00401DFF"/>
    <w:pPr>
      <w:spacing w:before="75" w:after="30" w:line="240" w:lineRule="auto"/>
    </w:pPr>
    <w:rPr>
      <w:rFonts w:ascii="Arial" w:eastAsia="Times New Roman" w:hAnsi="Arial" w:cs="Arial"/>
      <w:b/>
      <w:bCs/>
      <w:color w:val="333333"/>
      <w:sz w:val="18"/>
      <w:szCs w:val="18"/>
      <w:lang w:eastAsia="es-CO"/>
    </w:rPr>
  </w:style>
  <w:style w:type="paragraph" w:customStyle="1" w:styleId="col02lboxa">
    <w:name w:val="col02_lboxa"/>
    <w:basedOn w:val="Normal"/>
    <w:rsid w:val="00401DFF"/>
    <w:pPr>
      <w:shd w:val="clear" w:color="auto" w:fill="E3F1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2lboxinter">
    <w:name w:val="col02_lbox_inter"/>
    <w:basedOn w:val="Normal"/>
    <w:rsid w:val="00401DFF"/>
    <w:pPr>
      <w:pBdr>
        <w:top w:val="single" w:sz="6" w:space="0" w:color="A2D2F0"/>
        <w:left w:val="single" w:sz="6" w:space="0" w:color="A2D2F0"/>
        <w:bottom w:val="single" w:sz="6" w:space="0" w:color="A2D2F0"/>
        <w:right w:val="single" w:sz="6" w:space="0" w:color="A2D2F0"/>
      </w:pBdr>
      <w:shd w:val="clear" w:color="auto" w:fill="FFFFFF"/>
      <w:spacing w:before="45" w:after="45" w:line="240" w:lineRule="auto"/>
      <w:ind w:left="45" w:right="30"/>
    </w:pPr>
    <w:rPr>
      <w:rFonts w:ascii="Times New Roman" w:eastAsia="Times New Roman" w:hAnsi="Times New Roman" w:cs="Times New Roman"/>
      <w:sz w:val="24"/>
      <w:szCs w:val="24"/>
      <w:lang w:eastAsia="es-CO"/>
    </w:rPr>
  </w:style>
  <w:style w:type="paragraph" w:customStyle="1" w:styleId="cntrsearchn">
    <w:name w:val="cntr_search_n"/>
    <w:basedOn w:val="Normal"/>
    <w:rsid w:val="00401DFF"/>
    <w:pPr>
      <w:pBdr>
        <w:bottom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1lboxb2">
    <w:name w:val="col01_lboxb2"/>
    <w:basedOn w:val="Normal"/>
    <w:rsid w:val="00401DF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tnn">
    <w:name w:val="cntr_btn_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pacegrupos">
    <w:name w:val="spacegrup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lightboxgrupo">
    <w:name w:val="ttl_lightbox_grupo"/>
    <w:basedOn w:val="Normal"/>
    <w:rsid w:val="00401DFF"/>
    <w:pPr>
      <w:spacing w:before="100" w:beforeAutospacing="1" w:after="100" w:afterAutospacing="1" w:line="240" w:lineRule="auto"/>
    </w:pPr>
    <w:rPr>
      <w:rFonts w:ascii="Arial" w:eastAsia="Times New Roman" w:hAnsi="Arial" w:cs="Arial"/>
      <w:b/>
      <w:bCs/>
      <w:color w:val="000000"/>
      <w:sz w:val="23"/>
      <w:szCs w:val="23"/>
      <w:lang w:eastAsia="es-CO"/>
    </w:rPr>
  </w:style>
  <w:style w:type="paragraph" w:customStyle="1" w:styleId="ttllightboxcolegas">
    <w:name w:val="ttl_lightbox_colegas"/>
    <w:basedOn w:val="Normal"/>
    <w:rsid w:val="00401DFF"/>
    <w:pPr>
      <w:spacing w:before="100" w:beforeAutospacing="1" w:after="100" w:afterAutospacing="1" w:line="240" w:lineRule="auto"/>
    </w:pPr>
    <w:rPr>
      <w:rFonts w:ascii="Arial" w:eastAsia="Times New Roman" w:hAnsi="Arial" w:cs="Arial"/>
      <w:b/>
      <w:bCs/>
      <w:color w:val="000000"/>
      <w:sz w:val="23"/>
      <w:szCs w:val="23"/>
      <w:lang w:eastAsia="es-CO"/>
    </w:rPr>
  </w:style>
  <w:style w:type="paragraph" w:customStyle="1" w:styleId="btngrlleft01">
    <w:name w:val="btn_grl_lef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01">
    <w:name w:val="btn_grl_righ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01">
    <w:name w:val="btn_grl_mid01"/>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imgred">
    <w:name w:val="img_re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2">
    <w:name w:val="img_re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3">
    <w:name w:val="img_re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4">
    <w:name w:val="img_re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5">
    <w:name w:val="img_red05"/>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
    <w:name w:val="info"/>
    <w:basedOn w:val="Normal"/>
    <w:rsid w:val="00401DFF"/>
    <w:pPr>
      <w:spacing w:before="100" w:beforeAutospacing="1" w:after="100" w:afterAutospacing="1" w:line="270" w:lineRule="atLeast"/>
    </w:pPr>
    <w:rPr>
      <w:rFonts w:ascii="Arial" w:eastAsia="Times New Roman" w:hAnsi="Arial" w:cs="Arial"/>
      <w:color w:val="666666"/>
      <w:sz w:val="21"/>
      <w:szCs w:val="21"/>
      <w:lang w:eastAsia="es-CO"/>
    </w:rPr>
  </w:style>
  <w:style w:type="paragraph" w:customStyle="1" w:styleId="bgtxtred">
    <w:name w:val="bg_txt_re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1">
    <w:name w:val="opcio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2">
    <w:name w:val="opcion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4">
    <w:name w:val="opcion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3">
    <w:name w:val="opcion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1">
    <w:name w:val="bg_txt_red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2">
    <w:name w:val="bg_txt_re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3">
    <w:name w:val="bg_txt_re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4">
    <w:name w:val="bg_txt_re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mjs">
    <w:name w:val="img_red_mj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colegas">
    <w:name w:val="img_red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docs">
    <w:name w:val="img_red_doc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vistos">
    <w:name w:val="img_red_vist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
    <w:name w:val="img_red_perfi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rivacidad">
    <w:name w:val="img_red_privacida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1">
    <w:name w:val="opcion_new_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2">
    <w:name w:val="opcion_new_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ver">
    <w:name w:val="img_red_perfil_v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act">
    <w:name w:val="img_red_perfil_a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det">
    <w:name w:val="img_red_perfil_de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col">
    <w:name w:val="img_red_perfil_co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ini">
    <w:name w:val="img_red_ini"/>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3">
    <w:name w:val="opcion_new_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pest">
    <w:name w:val="perfil_pest"/>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perfilcntrbtnppalactive">
    <w:name w:val="perfil_cntr_btn_ppal_activ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btnleft">
    <w:name w:val="perfil_btn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btnmid">
    <w:name w:val="perfil_btn_mid"/>
    <w:basedOn w:val="Normal"/>
    <w:rsid w:val="00401DFF"/>
    <w:pPr>
      <w:spacing w:before="100" w:beforeAutospacing="1" w:after="100" w:afterAutospacing="1" w:line="240" w:lineRule="auto"/>
    </w:pPr>
    <w:rPr>
      <w:rFonts w:ascii="Tahoma" w:eastAsia="Times New Roman" w:hAnsi="Tahoma" w:cs="Tahoma"/>
      <w:b/>
      <w:bCs/>
      <w:color w:val="BB0000"/>
      <w:sz w:val="18"/>
      <w:szCs w:val="18"/>
      <w:lang w:eastAsia="es-CO"/>
    </w:rPr>
  </w:style>
  <w:style w:type="paragraph" w:customStyle="1" w:styleId="perfilbtnright">
    <w:name w:val="perfil_btn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cntrbtnppalinactive">
    <w:name w:val="perfil_cntr_btn_ppal_inactive"/>
    <w:basedOn w:val="Normal"/>
    <w:rsid w:val="00401DFF"/>
    <w:pPr>
      <w:spacing w:before="100" w:beforeAutospacing="1" w:after="100" w:afterAutospacing="1" w:line="240" w:lineRule="auto"/>
    </w:pPr>
    <w:rPr>
      <w:rFonts w:ascii="Tahoma" w:eastAsia="Times New Roman" w:hAnsi="Tahoma" w:cs="Tahoma"/>
      <w:b/>
      <w:bCs/>
      <w:color w:val="FFFFFF"/>
      <w:sz w:val="18"/>
      <w:szCs w:val="18"/>
      <w:lang w:eastAsia="es-CO"/>
    </w:rPr>
  </w:style>
  <w:style w:type="paragraph" w:customStyle="1" w:styleId="perfilcntrbtnppalinactiveoff">
    <w:name w:val="perfil_cntr_btn_ppal_inactive_off"/>
    <w:basedOn w:val="Normal"/>
    <w:rsid w:val="00401DFF"/>
    <w:pPr>
      <w:spacing w:before="100" w:beforeAutospacing="1" w:after="100" w:afterAutospacing="1" w:line="240" w:lineRule="auto"/>
    </w:pPr>
    <w:rPr>
      <w:rFonts w:ascii="Tahoma" w:eastAsia="Times New Roman" w:hAnsi="Tahoma" w:cs="Tahoma"/>
      <w:b/>
      <w:bCs/>
      <w:color w:val="81AEC9"/>
      <w:sz w:val="18"/>
      <w:szCs w:val="18"/>
      <w:lang w:eastAsia="es-CO"/>
    </w:rPr>
  </w:style>
  <w:style w:type="paragraph" w:customStyle="1" w:styleId="cntrinfocomun">
    <w:name w:val="cntr_info_comu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oduloenviarmsjsmall">
    <w:name w:val="modulo_enviar_msj_small"/>
    <w:basedOn w:val="Normal"/>
    <w:rsid w:val="00401DFF"/>
    <w:pPr>
      <w:shd w:val="clear" w:color="auto" w:fill="F2F9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03small">
    <w:name w:val="crear03_small"/>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ttlopcasignarsmall">
    <w:name w:val="ttl_opc_asignar_small"/>
    <w:basedOn w:val="Normal"/>
    <w:rsid w:val="00401DFF"/>
    <w:pPr>
      <w:spacing w:before="100" w:beforeAutospacing="1" w:after="100" w:afterAutospacing="1" w:line="270" w:lineRule="atLeast"/>
    </w:pPr>
    <w:rPr>
      <w:rFonts w:ascii="Arial" w:eastAsia="Times New Roman" w:hAnsi="Arial" w:cs="Arial"/>
      <w:b/>
      <w:bCs/>
      <w:color w:val="575757"/>
      <w:sz w:val="17"/>
      <w:szCs w:val="17"/>
      <w:lang w:eastAsia="es-CO"/>
    </w:rPr>
  </w:style>
  <w:style w:type="paragraph" w:customStyle="1" w:styleId="btngrl010">
    <w:name w:val="btn_grl_01"/>
    <w:basedOn w:val="Normal"/>
    <w:rsid w:val="00401DFF"/>
    <w:pPr>
      <w:spacing w:after="0" w:line="240" w:lineRule="auto"/>
      <w:ind w:right="105"/>
    </w:pPr>
    <w:rPr>
      <w:rFonts w:ascii="Arial" w:eastAsia="Times New Roman" w:hAnsi="Arial" w:cs="Arial"/>
      <w:sz w:val="18"/>
      <w:szCs w:val="18"/>
      <w:lang w:eastAsia="es-CO"/>
    </w:rPr>
  </w:style>
  <w:style w:type="paragraph" w:customStyle="1" w:styleId="btngrlleftwhite">
    <w:name w:val="btn_grl_left_whit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white">
    <w:name w:val="btn_grl_right_whit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white">
    <w:name w:val="btn_grl_mid_white"/>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btnboxselect">
    <w:name w:val="btn_box_sele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mensaje">
    <w:name w:val="tt_mensaje"/>
    <w:basedOn w:val="Normal"/>
    <w:rsid w:val="00401DFF"/>
    <w:pPr>
      <w:spacing w:before="100" w:beforeAutospacing="1" w:after="100" w:afterAutospacing="1" w:line="240" w:lineRule="auto"/>
    </w:pPr>
    <w:rPr>
      <w:rFonts w:ascii="Arial" w:eastAsia="Times New Roman" w:hAnsi="Arial" w:cs="Arial"/>
      <w:color w:val="006699"/>
      <w:sz w:val="24"/>
      <w:szCs w:val="24"/>
      <w:lang w:eastAsia="es-CO"/>
    </w:rPr>
  </w:style>
  <w:style w:type="paragraph" w:customStyle="1" w:styleId="boxpara">
    <w:name w:val="box_para"/>
    <w:basedOn w:val="Normal"/>
    <w:rsid w:val="00401DFF"/>
    <w:pPr>
      <w:spacing w:before="75" w:after="75" w:line="240" w:lineRule="auto"/>
      <w:ind w:left="75" w:right="75"/>
    </w:pPr>
    <w:rPr>
      <w:rFonts w:ascii="Arial" w:eastAsia="Times New Roman" w:hAnsi="Arial" w:cs="Arial"/>
      <w:color w:val="666666"/>
      <w:sz w:val="18"/>
      <w:szCs w:val="18"/>
      <w:lang w:eastAsia="es-CO"/>
    </w:rPr>
  </w:style>
  <w:style w:type="paragraph" w:customStyle="1" w:styleId="boxasunto">
    <w:name w:val="box_asunto"/>
    <w:basedOn w:val="Normal"/>
    <w:rsid w:val="00401DFF"/>
    <w:pPr>
      <w:spacing w:before="75" w:after="75" w:line="240" w:lineRule="auto"/>
      <w:ind w:left="75" w:right="75"/>
    </w:pPr>
    <w:rPr>
      <w:rFonts w:ascii="Arial" w:eastAsia="Times New Roman" w:hAnsi="Arial" w:cs="Arial"/>
      <w:color w:val="666666"/>
      <w:sz w:val="18"/>
      <w:szCs w:val="18"/>
      <w:lang w:eastAsia="es-CO"/>
    </w:rPr>
  </w:style>
  <w:style w:type="paragraph" w:customStyle="1" w:styleId="boxtexto">
    <w:name w:val="box_texto"/>
    <w:basedOn w:val="Normal"/>
    <w:rsid w:val="00401DFF"/>
    <w:pPr>
      <w:spacing w:before="75" w:after="150" w:line="240" w:lineRule="auto"/>
      <w:ind w:left="75" w:right="75"/>
    </w:pPr>
    <w:rPr>
      <w:rFonts w:ascii="Arial" w:eastAsia="Times New Roman" w:hAnsi="Arial" w:cs="Arial"/>
      <w:color w:val="666666"/>
      <w:sz w:val="18"/>
      <w:szCs w:val="18"/>
      <w:lang w:eastAsia="es-CO"/>
    </w:rPr>
  </w:style>
  <w:style w:type="paragraph" w:customStyle="1" w:styleId="lnkmensajes">
    <w:name w:val="lnk_mensajes"/>
    <w:basedOn w:val="Normal"/>
    <w:rsid w:val="00401DFF"/>
    <w:pPr>
      <w:spacing w:before="100" w:beforeAutospacing="1" w:after="100" w:afterAutospacing="1" w:line="240" w:lineRule="auto"/>
    </w:pPr>
    <w:rPr>
      <w:rFonts w:ascii="Arial" w:eastAsia="Times New Roman" w:hAnsi="Arial" w:cs="Arial"/>
      <w:color w:val="255C82"/>
      <w:sz w:val="18"/>
      <w:szCs w:val="18"/>
      <w:lang w:eastAsia="es-CO"/>
    </w:rPr>
  </w:style>
  <w:style w:type="paragraph" w:customStyle="1" w:styleId="sepautentmensajes">
    <w:name w:val="sep_autent_mensajes"/>
    <w:basedOn w:val="Normal"/>
    <w:rsid w:val="00401DFF"/>
    <w:pPr>
      <w:pBdr>
        <w:left w:val="single" w:sz="6" w:space="0" w:color="CCCCCC"/>
      </w:pBdr>
      <w:spacing w:before="75" w:after="0" w:line="240" w:lineRule="auto"/>
      <w:ind w:left="150"/>
    </w:pPr>
    <w:rPr>
      <w:rFonts w:ascii="Times New Roman" w:eastAsia="Times New Roman" w:hAnsi="Times New Roman" w:cs="Times New Roman"/>
      <w:sz w:val="24"/>
      <w:szCs w:val="24"/>
      <w:lang w:eastAsia="es-CO"/>
    </w:rPr>
  </w:style>
  <w:style w:type="paragraph" w:customStyle="1" w:styleId="cntrinputborder">
    <w:name w:val="cntr_input_border"/>
    <w:basedOn w:val="Normal"/>
    <w:rsid w:val="00401DFF"/>
    <w:pPr>
      <w:pBdr>
        <w:top w:val="single" w:sz="6" w:space="0" w:color="BDC7D8"/>
        <w:left w:val="single" w:sz="6" w:space="2" w:color="BDC7D8"/>
        <w:bottom w:val="single" w:sz="6" w:space="0" w:color="BDC7D8"/>
        <w:right w:val="single" w:sz="6" w:space="0" w:color="BDC7D8"/>
      </w:pBdr>
      <w:spacing w:after="0" w:line="240" w:lineRule="auto"/>
      <w:ind w:left="795"/>
    </w:pPr>
    <w:rPr>
      <w:rFonts w:ascii="Times New Roman" w:eastAsia="Times New Roman" w:hAnsi="Times New Roman" w:cs="Times New Roman"/>
      <w:sz w:val="24"/>
      <w:szCs w:val="24"/>
      <w:lang w:eastAsia="es-CO"/>
    </w:rPr>
  </w:style>
  <w:style w:type="paragraph" w:customStyle="1" w:styleId="ttlsugerencias">
    <w:name w:val="ttl_sugerencias"/>
    <w:basedOn w:val="Normal"/>
    <w:rsid w:val="00401DFF"/>
    <w:pPr>
      <w:spacing w:before="150" w:after="0" w:line="240" w:lineRule="auto"/>
    </w:pPr>
    <w:rPr>
      <w:rFonts w:ascii="Arial" w:eastAsia="Times New Roman" w:hAnsi="Arial" w:cs="Arial"/>
      <w:b/>
      <w:bCs/>
      <w:color w:val="666666"/>
      <w:sz w:val="23"/>
      <w:szCs w:val="23"/>
      <w:lang w:eastAsia="es-CO"/>
    </w:rPr>
  </w:style>
  <w:style w:type="paragraph" w:customStyle="1" w:styleId="columsugerencias">
    <w:name w:val="colum_sugerencias"/>
    <w:basedOn w:val="Normal"/>
    <w:rsid w:val="00401DFF"/>
    <w:pPr>
      <w:pBdr>
        <w:right w:val="single" w:sz="6" w:space="8" w:color="F2F2F2"/>
      </w:pBdr>
      <w:spacing w:after="0" w:line="240" w:lineRule="auto"/>
    </w:pPr>
    <w:rPr>
      <w:rFonts w:ascii="Times New Roman" w:eastAsia="Times New Roman" w:hAnsi="Times New Roman" w:cs="Times New Roman"/>
      <w:sz w:val="24"/>
      <w:szCs w:val="24"/>
      <w:lang w:eastAsia="es-CO"/>
    </w:rPr>
  </w:style>
  <w:style w:type="paragraph" w:customStyle="1" w:styleId="cntrinfousersug">
    <w:name w:val="cntr_info_user_sug"/>
    <w:basedOn w:val="Normal"/>
    <w:rsid w:val="00401DFF"/>
    <w:pPr>
      <w:pBdr>
        <w:top w:val="single" w:sz="6" w:space="4" w:color="FFFFFF"/>
        <w:left w:val="single" w:sz="6" w:space="8" w:color="FFFFFF"/>
        <w:bottom w:val="single" w:sz="6" w:space="4" w:color="FFFFFF"/>
        <w:right w:val="single" w:sz="6" w:space="2" w:color="FFFFFF"/>
      </w:pBdr>
      <w:spacing w:before="75" w:after="225" w:line="240" w:lineRule="auto"/>
      <w:ind w:right="75"/>
    </w:pPr>
    <w:rPr>
      <w:rFonts w:ascii="Times New Roman" w:eastAsia="Times New Roman" w:hAnsi="Times New Roman" w:cs="Times New Roman"/>
      <w:sz w:val="24"/>
      <w:szCs w:val="24"/>
      <w:lang w:eastAsia="es-CO"/>
    </w:rPr>
  </w:style>
  <w:style w:type="paragraph" w:customStyle="1" w:styleId="cntrinfousersugactive">
    <w:name w:val="cntr_info_user_sug_activ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225" w:line="240" w:lineRule="auto"/>
      <w:ind w:right="75"/>
    </w:pPr>
    <w:rPr>
      <w:rFonts w:ascii="Times New Roman" w:eastAsia="Times New Roman" w:hAnsi="Times New Roman" w:cs="Times New Roman"/>
      <w:sz w:val="24"/>
      <w:szCs w:val="24"/>
      <w:lang w:eastAsia="es-CO"/>
    </w:rPr>
  </w:style>
  <w:style w:type="paragraph" w:customStyle="1" w:styleId="nameusersuge">
    <w:name w:val="name_user_suge"/>
    <w:basedOn w:val="Normal"/>
    <w:rsid w:val="00401DFF"/>
    <w:pPr>
      <w:spacing w:before="100" w:beforeAutospacing="1" w:after="100" w:afterAutospacing="1" w:line="255" w:lineRule="atLeast"/>
    </w:pPr>
    <w:rPr>
      <w:rFonts w:ascii="Arial" w:eastAsia="Times New Roman" w:hAnsi="Arial" w:cs="Arial"/>
      <w:color w:val="006699"/>
      <w:sz w:val="18"/>
      <w:szCs w:val="18"/>
      <w:lang w:eastAsia="es-CO"/>
    </w:rPr>
  </w:style>
  <w:style w:type="paragraph" w:customStyle="1" w:styleId="cerrarsuge">
    <w:name w:val="cerrar_suge"/>
    <w:basedOn w:val="Normal"/>
    <w:rsid w:val="00401DFF"/>
    <w:pPr>
      <w:spacing w:before="100" w:beforeAutospacing="1" w:after="100" w:afterAutospacing="1" w:line="240" w:lineRule="auto"/>
    </w:pPr>
    <w:rPr>
      <w:rFonts w:ascii="Arial" w:eastAsia="Times New Roman" w:hAnsi="Arial" w:cs="Arial"/>
      <w:sz w:val="15"/>
      <w:szCs w:val="15"/>
      <w:lang w:eastAsia="es-CO"/>
    </w:rPr>
  </w:style>
  <w:style w:type="paragraph" w:customStyle="1" w:styleId="lnkamigoscomunsuge">
    <w:name w:val="lnk_amigos_comun_suge"/>
    <w:basedOn w:val="Normal"/>
    <w:rsid w:val="00401DFF"/>
    <w:pPr>
      <w:spacing w:before="100" w:beforeAutospacing="1" w:after="100" w:afterAutospacing="1" w:line="240" w:lineRule="auto"/>
    </w:pPr>
    <w:rPr>
      <w:rFonts w:ascii="Arial" w:eastAsia="Times New Roman" w:hAnsi="Arial" w:cs="Arial"/>
      <w:color w:val="666666"/>
      <w:sz w:val="18"/>
      <w:szCs w:val="18"/>
      <w:lang w:eastAsia="es-CO"/>
    </w:rPr>
  </w:style>
  <w:style w:type="paragraph" w:customStyle="1" w:styleId="lnkamigosagregarsuge">
    <w:name w:val="lnk_amigos_agregar_suge"/>
    <w:basedOn w:val="Normal"/>
    <w:rsid w:val="00401DFF"/>
    <w:pPr>
      <w:spacing w:before="100" w:beforeAutospacing="1" w:after="100" w:afterAutospacing="1" w:line="240" w:lineRule="auto"/>
    </w:pPr>
    <w:rPr>
      <w:rFonts w:ascii="Arial" w:eastAsia="Times New Roman" w:hAnsi="Arial" w:cs="Arial"/>
      <w:color w:val="666666"/>
      <w:sz w:val="18"/>
      <w:szCs w:val="18"/>
      <w:lang w:eastAsia="es-CO"/>
    </w:rPr>
  </w:style>
  <w:style w:type="paragraph" w:customStyle="1" w:styleId="opcasignargruposuge">
    <w:name w:val="opc_asignar_grupo_sug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opcasignarsug">
    <w:name w:val="ttl_opc_asignar_sug"/>
    <w:basedOn w:val="Normal"/>
    <w:rsid w:val="00401DFF"/>
    <w:pPr>
      <w:spacing w:before="100" w:beforeAutospacing="1" w:after="100" w:afterAutospacing="1" w:line="270" w:lineRule="atLeast"/>
    </w:pPr>
    <w:rPr>
      <w:rFonts w:ascii="Arial" w:eastAsia="Times New Roman" w:hAnsi="Arial" w:cs="Arial"/>
      <w:b/>
      <w:bCs/>
      <w:color w:val="575757"/>
      <w:sz w:val="18"/>
      <w:szCs w:val="18"/>
      <w:lang w:eastAsia="es-CO"/>
    </w:rPr>
  </w:style>
  <w:style w:type="paragraph" w:customStyle="1" w:styleId="mensajeagregar">
    <w:name w:val="mensaje_agregar"/>
    <w:basedOn w:val="Normal"/>
    <w:rsid w:val="00401DFF"/>
    <w:pPr>
      <w:shd w:val="clear" w:color="auto" w:fill="E3F1FF"/>
      <w:spacing w:before="105" w:after="0" w:line="240" w:lineRule="auto"/>
    </w:pPr>
    <w:rPr>
      <w:rFonts w:ascii="Times New Roman" w:eastAsia="Times New Roman" w:hAnsi="Times New Roman" w:cs="Times New Roman"/>
      <w:sz w:val="24"/>
      <w:szCs w:val="24"/>
      <w:lang w:eastAsia="es-CO"/>
    </w:rPr>
  </w:style>
  <w:style w:type="paragraph" w:customStyle="1" w:styleId="cntrbtngrlsuge">
    <w:name w:val="cntr_btn_grl_sug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sugerenciashome">
    <w:name w:val="colum_sugerencias_home"/>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boxhome">
    <w:name w:val="cntr_box_home"/>
    <w:basedOn w:val="Normal"/>
    <w:rsid w:val="00401DFF"/>
    <w:pPr>
      <w:pBdr>
        <w:top w:val="single" w:sz="6" w:space="0" w:color="EFEFEF"/>
        <w:left w:val="single" w:sz="6" w:space="0" w:color="EFEFEF"/>
        <w:bottom w:val="single" w:sz="6" w:space="0" w:color="EFEFEF"/>
        <w:right w:val="single" w:sz="6" w:space="0" w:color="EFEFEF"/>
      </w:pBdr>
      <w:spacing w:after="150" w:line="240" w:lineRule="auto"/>
      <w:ind w:right="750"/>
    </w:pPr>
    <w:rPr>
      <w:rFonts w:ascii="Times New Roman" w:eastAsia="Times New Roman" w:hAnsi="Times New Roman" w:cs="Times New Roman"/>
      <w:sz w:val="24"/>
      <w:szCs w:val="24"/>
      <w:lang w:eastAsia="es-CO"/>
    </w:rPr>
  </w:style>
  <w:style w:type="paragraph" w:customStyle="1" w:styleId="cntrinfousersughome">
    <w:name w:val="cntr_info_user_sug_hom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75" w:line="240" w:lineRule="auto"/>
      <w:ind w:right="75"/>
    </w:pPr>
    <w:rPr>
      <w:rFonts w:ascii="Times New Roman" w:eastAsia="Times New Roman" w:hAnsi="Times New Roman" w:cs="Times New Roman"/>
      <w:sz w:val="24"/>
      <w:szCs w:val="24"/>
      <w:lang w:eastAsia="es-CO"/>
    </w:rPr>
  </w:style>
  <w:style w:type="paragraph" w:customStyle="1" w:styleId="nameusersuge2">
    <w:name w:val="name_user_suge2"/>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lnkamigoscomunsugehome">
    <w:name w:val="lnk_amigos_comun_suge_home"/>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agregarsugehome">
    <w:name w:val="lnk_amigos_agregar_suge_home"/>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nameusersugehome">
    <w:name w:val="name_user_suge_home"/>
    <w:basedOn w:val="Normal"/>
    <w:rsid w:val="00401DFF"/>
    <w:pPr>
      <w:spacing w:before="100" w:beforeAutospacing="1" w:after="100" w:afterAutospacing="1" w:line="225" w:lineRule="atLeast"/>
    </w:pPr>
    <w:rPr>
      <w:rFonts w:ascii="Arial" w:eastAsia="Times New Roman" w:hAnsi="Arial" w:cs="Arial"/>
      <w:color w:val="006699"/>
      <w:sz w:val="18"/>
      <w:szCs w:val="18"/>
      <w:lang w:eastAsia="es-CO"/>
    </w:rPr>
  </w:style>
  <w:style w:type="paragraph" w:customStyle="1" w:styleId="cntrttl01sughome">
    <w:name w:val="cntr_ttl01_sug_home"/>
    <w:basedOn w:val="Normal"/>
    <w:rsid w:val="00401DFF"/>
    <w:pPr>
      <w:pBdr>
        <w:bottom w:val="single" w:sz="2" w:space="0" w:color="EFEFE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lhisto">
    <w:name w:val="del_histo"/>
    <w:basedOn w:val="Normal"/>
    <w:rsid w:val="00401DFF"/>
    <w:pPr>
      <w:pBdr>
        <w:bottom w:val="single" w:sz="6" w:space="11" w:color="EFEFEF"/>
      </w:pBdr>
      <w:spacing w:before="100" w:beforeAutospacing="1" w:after="100" w:afterAutospacing="1" w:line="240" w:lineRule="auto"/>
      <w:jc w:val="right"/>
    </w:pPr>
    <w:rPr>
      <w:rFonts w:ascii="Arial" w:eastAsia="Times New Roman" w:hAnsi="Arial" w:cs="Arial"/>
      <w:sz w:val="17"/>
      <w:szCs w:val="17"/>
      <w:lang w:eastAsia="es-CO"/>
    </w:rPr>
  </w:style>
  <w:style w:type="paragraph" w:customStyle="1" w:styleId="nameuser2">
    <w:name w:val="name_user_2"/>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infodescuser">
    <w:name w:val="info_desc_user"/>
    <w:basedOn w:val="Normal"/>
    <w:rsid w:val="00401DFF"/>
    <w:pPr>
      <w:spacing w:before="100" w:beforeAutospacing="1" w:after="100" w:afterAutospacing="1" w:line="255" w:lineRule="atLeast"/>
    </w:pPr>
    <w:rPr>
      <w:rFonts w:ascii="Arial" w:eastAsia="Times New Roman" w:hAnsi="Arial" w:cs="Arial"/>
      <w:b/>
      <w:bCs/>
      <w:color w:val="666666"/>
      <w:sz w:val="17"/>
      <w:szCs w:val="17"/>
      <w:lang w:eastAsia="es-CO"/>
    </w:rPr>
  </w:style>
  <w:style w:type="paragraph" w:customStyle="1" w:styleId="linksficha">
    <w:name w:val="links_fich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fotosp">
    <w:name w:val="cntr_notas_fotos_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gerror">
    <w:name w:val="msgerror"/>
    <w:basedOn w:val="Normal"/>
    <w:rsid w:val="00401DFF"/>
    <w:pPr>
      <w:spacing w:before="100" w:beforeAutospacing="1" w:after="100" w:afterAutospacing="1" w:line="240" w:lineRule="auto"/>
    </w:pPr>
    <w:rPr>
      <w:rFonts w:ascii="Arial" w:eastAsia="Times New Roman" w:hAnsi="Arial" w:cs="Arial"/>
      <w:color w:val="840000"/>
      <w:sz w:val="17"/>
      <w:szCs w:val="17"/>
      <w:lang w:eastAsia="es-CO"/>
    </w:rPr>
  </w:style>
  <w:style w:type="paragraph" w:customStyle="1" w:styleId="msgexito">
    <w:name w:val="msgexito"/>
    <w:basedOn w:val="Normal"/>
    <w:rsid w:val="00401DFF"/>
    <w:pPr>
      <w:spacing w:before="100" w:beforeAutospacing="1" w:after="100" w:afterAutospacing="1" w:line="240" w:lineRule="auto"/>
    </w:pPr>
    <w:rPr>
      <w:rFonts w:ascii="Arial" w:eastAsia="Times New Roman" w:hAnsi="Arial" w:cs="Arial"/>
      <w:color w:val="183D54"/>
      <w:sz w:val="17"/>
      <w:szCs w:val="17"/>
      <w:lang w:eastAsia="es-CO"/>
    </w:rPr>
  </w:style>
  <w:style w:type="paragraph" w:customStyle="1" w:styleId="tablink">
    <w:name w:val="tab_link"/>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cinfoadic">
    <w:name w:val="cinfoad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unico">
    <w:name w:val="unic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ampo1">
    <w:name w:val="campo.1"/>
    <w:basedOn w:val="Fuentedeprrafopredeter"/>
    <w:rsid w:val="00401DFF"/>
  </w:style>
  <w:style w:type="paragraph" w:customStyle="1" w:styleId="cuadro">
    <w:name w:val="cuadr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uerpo">
    <w:name w:val="cuerp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ia">
    <w:name w:val="sangri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401D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2">
    <w:name w:val="heading 2"/>
    <w:basedOn w:val="Normal"/>
    <w:link w:val="Ttulo2Car"/>
    <w:uiPriority w:val="9"/>
    <w:qFormat/>
    <w:rsid w:val="00401DFF"/>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bg2">
    <w:name w:val="hbg2"/>
    <w:basedOn w:val="Normal"/>
    <w:qFormat/>
    <w:rsid w:val="00D3781F"/>
    <w:pPr>
      <w:ind w:left="567" w:right="567"/>
      <w:jc w:val="both"/>
    </w:pPr>
    <w:rPr>
      <w:i/>
      <w:iCs/>
      <w:sz w:val="20"/>
    </w:rPr>
  </w:style>
  <w:style w:type="paragraph" w:customStyle="1" w:styleId="hbg1">
    <w:name w:val="hbg1"/>
    <w:basedOn w:val="Normal"/>
    <w:qFormat/>
    <w:rsid w:val="00D3781F"/>
    <w:pPr>
      <w:ind w:left="284" w:right="284"/>
      <w:jc w:val="both"/>
    </w:pPr>
    <w:rPr>
      <w:sz w:val="20"/>
    </w:rPr>
  </w:style>
  <w:style w:type="paragraph" w:customStyle="1" w:styleId="hbg0">
    <w:name w:val="hbg0"/>
    <w:basedOn w:val="Normal"/>
    <w:qFormat/>
    <w:rsid w:val="00D3781F"/>
    <w:pPr>
      <w:jc w:val="both"/>
    </w:pPr>
  </w:style>
  <w:style w:type="character" w:customStyle="1" w:styleId="Ttulo1Car">
    <w:name w:val="Título 1 Car"/>
    <w:basedOn w:val="Fuentedeprrafopredeter"/>
    <w:link w:val="Ttulo1"/>
    <w:uiPriority w:val="9"/>
    <w:rsid w:val="00401DFF"/>
    <w:rPr>
      <w:rFonts w:ascii="Times New Roman" w:eastAsia="Times New Roman" w:hAnsi="Times New Roman" w:cs="Times New Roman"/>
      <w:b/>
      <w:bCs/>
      <w:kern w:val="36"/>
      <w:sz w:val="48"/>
      <w:szCs w:val="48"/>
      <w:lang w:eastAsia="es-CO"/>
    </w:rPr>
  </w:style>
  <w:style w:type="character" w:customStyle="1" w:styleId="Ttulo2Car">
    <w:name w:val="Título 2 Car"/>
    <w:basedOn w:val="Fuentedeprrafopredeter"/>
    <w:link w:val="Ttulo2"/>
    <w:uiPriority w:val="9"/>
    <w:rsid w:val="00401DFF"/>
    <w:rPr>
      <w:rFonts w:ascii="Times New Roman" w:eastAsia="Times New Roman" w:hAnsi="Times New Roman" w:cs="Times New Roman"/>
      <w:b/>
      <w:bCs/>
      <w:sz w:val="36"/>
      <w:szCs w:val="36"/>
      <w:lang w:eastAsia="es-CO"/>
    </w:rPr>
  </w:style>
  <w:style w:type="character" w:styleId="Hipervnculo">
    <w:name w:val="Hyperlink"/>
    <w:basedOn w:val="Fuentedeprrafopredeter"/>
    <w:uiPriority w:val="99"/>
    <w:semiHidden/>
    <w:unhideWhenUsed/>
    <w:rsid w:val="00401DFF"/>
    <w:rPr>
      <w:color w:val="0000FF"/>
      <w:u w:val="single"/>
    </w:rPr>
  </w:style>
  <w:style w:type="character" w:styleId="Hipervnculovisitado">
    <w:name w:val="FollowedHyperlink"/>
    <w:basedOn w:val="Fuentedeprrafopredeter"/>
    <w:uiPriority w:val="99"/>
    <w:semiHidden/>
    <w:unhideWhenUsed/>
    <w:rsid w:val="00401DFF"/>
    <w:rPr>
      <w:color w:val="800080"/>
      <w:u w:val="single"/>
    </w:rPr>
  </w:style>
  <w:style w:type="paragraph" w:customStyle="1" w:styleId="textobuscador">
    <w:name w:val="textobuscador"/>
    <w:basedOn w:val="Normal"/>
    <w:rsid w:val="00401DFF"/>
    <w:pPr>
      <w:spacing w:before="100" w:beforeAutospacing="1" w:after="100" w:afterAutospacing="1" w:line="160" w:lineRule="atLeast"/>
    </w:pPr>
    <w:rPr>
      <w:rFonts w:ascii="Verdana" w:eastAsia="Times New Roman" w:hAnsi="Verdana" w:cs="Times New Roman"/>
      <w:color w:val="666666"/>
      <w:sz w:val="16"/>
      <w:szCs w:val="16"/>
      <w:lang w:eastAsia="es-CO"/>
    </w:rPr>
  </w:style>
  <w:style w:type="paragraph" w:customStyle="1" w:styleId="tituloarial16">
    <w:name w:val="titulo_arial_16"/>
    <w:basedOn w:val="Normal"/>
    <w:rsid w:val="00401DFF"/>
    <w:pPr>
      <w:spacing w:before="100" w:beforeAutospacing="1" w:after="100" w:afterAutospacing="1" w:line="240" w:lineRule="auto"/>
    </w:pPr>
    <w:rPr>
      <w:rFonts w:ascii="Arial" w:eastAsia="Times New Roman" w:hAnsi="Arial" w:cs="Arial"/>
      <w:b/>
      <w:bCs/>
      <w:color w:val="000000"/>
      <w:sz w:val="24"/>
      <w:szCs w:val="24"/>
      <w:lang w:eastAsia="es-CO"/>
    </w:rPr>
  </w:style>
  <w:style w:type="paragraph" w:customStyle="1" w:styleId="textoarial14">
    <w:name w:val="texto_arial_14"/>
    <w:basedOn w:val="Normal"/>
    <w:rsid w:val="00401DFF"/>
    <w:pPr>
      <w:spacing w:before="100" w:beforeAutospacing="1" w:after="100" w:afterAutospacing="1" w:line="240" w:lineRule="auto"/>
    </w:pPr>
    <w:rPr>
      <w:rFonts w:ascii="Arial" w:eastAsia="Times New Roman" w:hAnsi="Arial" w:cs="Arial"/>
      <w:color w:val="000000"/>
      <w:sz w:val="21"/>
      <w:szCs w:val="21"/>
      <w:lang w:eastAsia="es-CO"/>
    </w:rPr>
  </w:style>
  <w:style w:type="paragraph" w:customStyle="1" w:styleId="textoarial12">
    <w:name w:val="texto_arial_12"/>
    <w:basedOn w:val="Normal"/>
    <w:rsid w:val="00401DFF"/>
    <w:pPr>
      <w:spacing w:before="100" w:beforeAutospacing="1" w:after="100" w:afterAutospacing="1" w:line="240" w:lineRule="auto"/>
    </w:pPr>
    <w:rPr>
      <w:rFonts w:ascii="Arial" w:eastAsia="Times New Roman" w:hAnsi="Arial" w:cs="Arial"/>
      <w:color w:val="000000"/>
      <w:sz w:val="18"/>
      <w:szCs w:val="18"/>
      <w:lang w:eastAsia="es-CO"/>
    </w:rPr>
  </w:style>
  <w:style w:type="paragraph" w:customStyle="1" w:styleId="cajatextoarial11">
    <w:name w:val="caja_texto_arial_11"/>
    <w:basedOn w:val="Normal"/>
    <w:rsid w:val="00401DFF"/>
    <w:pPr>
      <w:pBdr>
        <w:top w:val="single" w:sz="6" w:space="0" w:color="999999"/>
        <w:left w:val="single" w:sz="6" w:space="0" w:color="999999"/>
        <w:bottom w:val="single" w:sz="6" w:space="0" w:color="999999"/>
        <w:right w:val="single" w:sz="6" w:space="0" w:color="99999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treeviewroot">
    <w:name w:val="treeviewroot"/>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treeviewrootsub">
    <w:name w:val="treeviewroot_sub"/>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treeviewrootsub2">
    <w:name w:val="treeviewroot_sub_2"/>
    <w:basedOn w:val="Normal"/>
    <w:rsid w:val="00401DFF"/>
    <w:pPr>
      <w:spacing w:before="100" w:beforeAutospacing="1" w:after="100" w:afterAutospacing="1" w:line="240" w:lineRule="auto"/>
    </w:pPr>
    <w:rPr>
      <w:rFonts w:ascii="Tahoma" w:eastAsia="Times New Roman" w:hAnsi="Tahoma" w:cs="Tahoma"/>
      <w:color w:val="0D2E5B"/>
      <w:sz w:val="15"/>
      <w:szCs w:val="15"/>
      <w:lang w:eastAsia="es-CO"/>
    </w:rPr>
  </w:style>
  <w:style w:type="paragraph" w:customStyle="1" w:styleId="normal-level">
    <w:name w:val="normal-level"/>
    <w:basedOn w:val="Normal"/>
    <w:rsid w:val="00401DFF"/>
    <w:pPr>
      <w:spacing w:before="100" w:beforeAutospacing="1" w:after="100" w:afterAutospacing="1" w:line="240" w:lineRule="auto"/>
    </w:pPr>
    <w:rPr>
      <w:rFonts w:ascii="Arial" w:eastAsia="Times New Roman" w:hAnsi="Arial" w:cs="Arial"/>
      <w:color w:val="0D2E5B"/>
      <w:sz w:val="17"/>
      <w:szCs w:val="17"/>
      <w:lang w:eastAsia="es-CO"/>
    </w:rPr>
  </w:style>
  <w:style w:type="paragraph" w:customStyle="1" w:styleId="normal-levenegrita">
    <w:name w:val="normal-leve_negrita"/>
    <w:basedOn w:val="Normal"/>
    <w:rsid w:val="00401DFF"/>
    <w:pPr>
      <w:spacing w:before="100" w:beforeAutospacing="1" w:after="100" w:afterAutospacing="1" w:line="240" w:lineRule="auto"/>
    </w:pPr>
    <w:rPr>
      <w:rFonts w:ascii="Arial" w:eastAsia="Times New Roman" w:hAnsi="Arial" w:cs="Arial"/>
      <w:b/>
      <w:bCs/>
      <w:color w:val="0D2E5B"/>
      <w:sz w:val="18"/>
      <w:szCs w:val="18"/>
      <w:lang w:eastAsia="es-CO"/>
    </w:rPr>
  </w:style>
  <w:style w:type="paragraph" w:customStyle="1" w:styleId="control">
    <w:name w:val="control"/>
    <w:basedOn w:val="Normal"/>
    <w:rsid w:val="00401DFF"/>
    <w:pPr>
      <w:spacing w:before="100" w:beforeAutospacing="1" w:after="100" w:afterAutospacing="1" w:line="240" w:lineRule="auto"/>
    </w:pPr>
    <w:rPr>
      <w:rFonts w:ascii="Tahoma" w:eastAsia="Times New Roman" w:hAnsi="Tahoma" w:cs="Tahoma"/>
      <w:color w:val="0D2E5B"/>
      <w:sz w:val="15"/>
      <w:szCs w:val="15"/>
      <w:lang w:eastAsia="es-CO"/>
    </w:rPr>
  </w:style>
  <w:style w:type="paragraph" w:customStyle="1" w:styleId="normal-levellink">
    <w:name w:val="normal-level_link"/>
    <w:basedOn w:val="Normal"/>
    <w:rsid w:val="00401DFF"/>
    <w:pPr>
      <w:spacing w:before="100" w:beforeAutospacing="1" w:after="100" w:afterAutospacing="1" w:line="240" w:lineRule="auto"/>
    </w:pPr>
    <w:rPr>
      <w:rFonts w:ascii="Tahoma" w:eastAsia="Times New Roman" w:hAnsi="Tahoma" w:cs="Tahoma"/>
      <w:color w:val="0D2E5B"/>
      <w:sz w:val="17"/>
      <w:szCs w:val="17"/>
      <w:u w:val="single"/>
      <w:lang w:eastAsia="es-CO"/>
    </w:rPr>
  </w:style>
  <w:style w:type="paragraph" w:customStyle="1" w:styleId="tituloarial11cajaazul">
    <w:name w:val="titulo_arial_11_caja_azul"/>
    <w:basedOn w:val="Normal"/>
    <w:rsid w:val="00401DFF"/>
    <w:pPr>
      <w:shd w:val="clear" w:color="auto" w:fill="5E84B5"/>
      <w:spacing w:before="100" w:beforeAutospacing="1" w:after="100" w:afterAutospacing="1" w:line="240" w:lineRule="auto"/>
    </w:pPr>
    <w:rPr>
      <w:rFonts w:ascii="Arial" w:eastAsia="Times New Roman" w:hAnsi="Arial" w:cs="Arial"/>
      <w:b/>
      <w:bCs/>
      <w:caps/>
      <w:color w:val="FFFFFF"/>
      <w:sz w:val="17"/>
      <w:szCs w:val="17"/>
      <w:lang w:eastAsia="es-CO"/>
    </w:rPr>
  </w:style>
  <w:style w:type="paragraph" w:customStyle="1" w:styleId="tituloarial18azul">
    <w:name w:val="titulo_arial_18_azul"/>
    <w:basedOn w:val="Normal"/>
    <w:rsid w:val="00401DFF"/>
    <w:pPr>
      <w:spacing w:before="100" w:beforeAutospacing="1" w:after="100" w:afterAutospacing="1" w:line="240" w:lineRule="auto"/>
    </w:pPr>
    <w:rPr>
      <w:rFonts w:ascii="Arial" w:eastAsia="Times New Roman" w:hAnsi="Arial" w:cs="Arial"/>
      <w:b/>
      <w:bCs/>
      <w:color w:val="003366"/>
      <w:sz w:val="27"/>
      <w:szCs w:val="27"/>
      <w:lang w:eastAsia="es-CO"/>
    </w:rPr>
  </w:style>
  <w:style w:type="paragraph" w:customStyle="1" w:styleId="textoarial12gris">
    <w:name w:val="texto_arial_12_gris"/>
    <w:basedOn w:val="Normal"/>
    <w:rsid w:val="00401DFF"/>
    <w:pPr>
      <w:spacing w:before="100" w:beforeAutospacing="1" w:after="100" w:afterAutospacing="1" w:line="240" w:lineRule="auto"/>
    </w:pPr>
    <w:rPr>
      <w:rFonts w:ascii="Arial" w:eastAsia="Times New Roman" w:hAnsi="Arial" w:cs="Arial"/>
      <w:b/>
      <w:bCs/>
      <w:color w:val="999999"/>
      <w:sz w:val="18"/>
      <w:szCs w:val="18"/>
      <w:lang w:eastAsia="es-CO"/>
    </w:rPr>
  </w:style>
  <w:style w:type="paragraph" w:customStyle="1" w:styleId="banner-top">
    <w:name w:val="banner-top"/>
    <w:basedOn w:val="Normal"/>
    <w:rsid w:val="00401DFF"/>
    <w:pPr>
      <w:pBdr>
        <w:top w:val="single" w:sz="6" w:space="0" w:color="7D0000"/>
        <w:left w:val="single" w:sz="6" w:space="0" w:color="7D0000"/>
        <w:bottom w:val="single" w:sz="6" w:space="0" w:color="7D0000"/>
        <w:right w:val="single" w:sz="6" w:space="0" w:color="7D0000"/>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hit-head">
    <w:name w:val="hit-head"/>
    <w:basedOn w:val="Normal"/>
    <w:rsid w:val="00401DFF"/>
    <w:pPr>
      <w:spacing w:before="100" w:beforeAutospacing="1" w:after="100" w:afterAutospacing="1" w:line="240" w:lineRule="auto"/>
    </w:pPr>
    <w:rPr>
      <w:rFonts w:ascii="Arial" w:eastAsia="Times New Roman" w:hAnsi="Arial" w:cs="Arial"/>
      <w:b/>
      <w:bCs/>
      <w:caps/>
      <w:color w:val="FFFFFF"/>
      <w:sz w:val="17"/>
      <w:szCs w:val="17"/>
      <w:lang w:eastAsia="es-CO"/>
    </w:rPr>
  </w:style>
  <w:style w:type="paragraph" w:customStyle="1" w:styleId="hit-home-title">
    <w:name w:val="hit-home-title"/>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hit-title">
    <w:name w:val="hit-title"/>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hitlist-row-even">
    <w:name w:val="hitlist-row-even"/>
    <w:basedOn w:val="Normal"/>
    <w:rsid w:val="00401DFF"/>
    <w:pPr>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title-row">
    <w:name w:val="title-row"/>
    <w:basedOn w:val="Normal"/>
    <w:rsid w:val="00401DFF"/>
    <w:pPr>
      <w:shd w:val="clear" w:color="auto" w:fill="5E84B5"/>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regimen-penal">
    <w:name w:val="regimen-penal"/>
    <w:basedOn w:val="Normal"/>
    <w:rsid w:val="00401DFF"/>
    <w:pPr>
      <w:spacing w:before="100" w:beforeAutospacing="1" w:after="100" w:afterAutospacing="1" w:line="240" w:lineRule="auto"/>
      <w:textAlignment w:val="top"/>
    </w:pPr>
    <w:rPr>
      <w:rFonts w:ascii="Arial" w:eastAsia="Times New Roman" w:hAnsi="Arial" w:cs="Arial"/>
      <w:b/>
      <w:bCs/>
      <w:color w:val="003366"/>
      <w:sz w:val="27"/>
      <w:szCs w:val="27"/>
      <w:lang w:eastAsia="es-CO"/>
    </w:rPr>
  </w:style>
  <w:style w:type="paragraph" w:customStyle="1" w:styleId="normal-level-rowcolor">
    <w:name w:val="normal-level-rowcolor"/>
    <w:basedOn w:val="Normal"/>
    <w:rsid w:val="00401DFF"/>
    <w:pPr>
      <w:pBdr>
        <w:top w:val="single" w:sz="6" w:space="0" w:color="CCCCCC"/>
        <w:left w:val="single" w:sz="6" w:space="0" w:color="CCCCCC"/>
        <w:bottom w:val="single" w:sz="6" w:space="0" w:color="CCCCCC"/>
        <w:right w:val="single" w:sz="6" w:space="0" w:color="CCCCCC"/>
      </w:pBdr>
      <w:shd w:val="clear" w:color="auto" w:fill="F7F7F7"/>
      <w:spacing w:before="100" w:beforeAutospacing="1" w:after="100" w:afterAutospacing="1" w:line="240" w:lineRule="auto"/>
    </w:pPr>
    <w:rPr>
      <w:rFonts w:ascii="Tahoma" w:eastAsia="Times New Roman" w:hAnsi="Tahoma" w:cs="Tahoma"/>
      <w:color w:val="0D2E5B"/>
      <w:sz w:val="17"/>
      <w:szCs w:val="17"/>
      <w:lang w:eastAsia="es-CO"/>
    </w:rPr>
  </w:style>
  <w:style w:type="paragraph" w:customStyle="1" w:styleId="parte">
    <w:name w:val="parte"/>
    <w:basedOn w:val="Normal"/>
    <w:rsid w:val="00401DFF"/>
    <w:pPr>
      <w:spacing w:before="100" w:beforeAutospacing="1" w:after="100" w:afterAutospacing="1" w:line="240" w:lineRule="auto"/>
      <w:textAlignment w:val="top"/>
    </w:pPr>
    <w:rPr>
      <w:rFonts w:ascii="Arial" w:eastAsia="Times New Roman" w:hAnsi="Arial" w:cs="Arial"/>
      <w:b/>
      <w:bCs/>
      <w:color w:val="990000"/>
      <w:sz w:val="24"/>
      <w:szCs w:val="24"/>
      <w:lang w:eastAsia="es-CO"/>
    </w:rPr>
  </w:style>
  <w:style w:type="paragraph" w:customStyle="1" w:styleId="nueve-gen">
    <w:name w:val="nueve-gen"/>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title">
    <w:name w:val="normal-level-title"/>
    <w:basedOn w:val="Normal"/>
    <w:rsid w:val="00401DFF"/>
    <w:pPr>
      <w:spacing w:before="100" w:beforeAutospacing="1" w:after="100" w:afterAutospacing="1" w:line="240" w:lineRule="auto"/>
    </w:pPr>
    <w:rPr>
      <w:rFonts w:ascii="Arial" w:eastAsia="Times New Roman" w:hAnsi="Arial" w:cs="Arial"/>
      <w:b/>
      <w:bCs/>
      <w:color w:val="0D2E5B"/>
      <w:sz w:val="21"/>
      <w:szCs w:val="21"/>
      <w:u w:val="single"/>
      <w:lang w:eastAsia="es-CO"/>
    </w:rPr>
  </w:style>
  <w:style w:type="paragraph" w:customStyle="1" w:styleId="normal-level-red">
    <w:name w:val="normal-level-red"/>
    <w:basedOn w:val="Normal"/>
    <w:rsid w:val="00401DFF"/>
    <w:pPr>
      <w:spacing w:before="100" w:beforeAutospacing="1" w:after="100" w:afterAutospacing="1" w:line="240" w:lineRule="auto"/>
    </w:pPr>
    <w:rPr>
      <w:rFonts w:ascii="Tahoma" w:eastAsia="Times New Roman" w:hAnsi="Tahoma" w:cs="Tahoma"/>
      <w:b/>
      <w:bCs/>
      <w:color w:val="990000"/>
      <w:sz w:val="17"/>
      <w:szCs w:val="17"/>
      <w:u w:val="single"/>
      <w:lang w:eastAsia="es-CO"/>
    </w:rPr>
  </w:style>
  <w:style w:type="paragraph" w:customStyle="1" w:styleId="normal-level-alfabeto">
    <w:name w:val="normal-level-alfabeto"/>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alfabeto-title">
    <w:name w:val="normal-level-alfabeto-title"/>
    <w:basedOn w:val="Normal"/>
    <w:rsid w:val="00401DFF"/>
    <w:pPr>
      <w:spacing w:before="100" w:beforeAutospacing="1" w:after="100" w:afterAutospacing="1" w:line="240" w:lineRule="auto"/>
    </w:pPr>
    <w:rPr>
      <w:rFonts w:ascii="Arial" w:eastAsia="Times New Roman" w:hAnsi="Arial" w:cs="Arial"/>
      <w:b/>
      <w:bCs/>
      <w:color w:val="000000"/>
      <w:sz w:val="27"/>
      <w:szCs w:val="27"/>
      <w:u w:val="single"/>
      <w:lang w:eastAsia="es-CO"/>
    </w:rPr>
  </w:style>
  <w:style w:type="paragraph" w:customStyle="1" w:styleId="normal-level-title-resultados">
    <w:name w:val="normal-level-title-resultados"/>
    <w:basedOn w:val="Normal"/>
    <w:rsid w:val="00401DFF"/>
    <w:pPr>
      <w:spacing w:before="100" w:beforeAutospacing="1" w:after="100" w:afterAutospacing="1" w:line="240" w:lineRule="auto"/>
    </w:pPr>
    <w:rPr>
      <w:rFonts w:ascii="Arial" w:eastAsia="Times New Roman" w:hAnsi="Arial" w:cs="Arial"/>
      <w:b/>
      <w:bCs/>
      <w:color w:val="0D2E5B"/>
      <w:sz w:val="21"/>
      <w:szCs w:val="21"/>
      <w:lang w:eastAsia="es-CO"/>
    </w:rPr>
  </w:style>
  <w:style w:type="paragraph" w:customStyle="1" w:styleId="normal-level-destacado">
    <w:name w:val="normal-level-destacado"/>
    <w:basedOn w:val="Normal"/>
    <w:rsid w:val="00401DFF"/>
    <w:pPr>
      <w:shd w:val="clear" w:color="auto" w:fill="7DDFFF"/>
      <w:spacing w:before="100" w:beforeAutospacing="1" w:after="100" w:afterAutospacing="1" w:line="240" w:lineRule="auto"/>
    </w:pPr>
    <w:rPr>
      <w:rFonts w:ascii="Arial" w:eastAsia="Times New Roman" w:hAnsi="Arial" w:cs="Arial"/>
      <w:b/>
      <w:bCs/>
      <w:color w:val="0D2E5B"/>
      <w:sz w:val="18"/>
      <w:szCs w:val="18"/>
      <w:lang w:eastAsia="es-CO"/>
    </w:rPr>
  </w:style>
  <w:style w:type="paragraph" w:customStyle="1" w:styleId="cajabordegris">
    <w:name w:val="caja_borde_gris"/>
    <w:basedOn w:val="Normal"/>
    <w:rsid w:val="00401DFF"/>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Arial" w:eastAsia="Times New Roman" w:hAnsi="Arial" w:cs="Arial"/>
      <w:color w:val="000000"/>
      <w:sz w:val="18"/>
      <w:szCs w:val="18"/>
      <w:lang w:eastAsia="es-CO"/>
    </w:rPr>
  </w:style>
  <w:style w:type="paragraph" w:customStyle="1" w:styleId="cajatextoarial112">
    <w:name w:val="caja_texto_arial_11_2"/>
    <w:basedOn w:val="Normal"/>
    <w:rsid w:val="00401DFF"/>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cajatextoarial113">
    <w:name w:val="caja_texto_arial_11_3"/>
    <w:basedOn w:val="Normal"/>
    <w:rsid w:val="00401DFF"/>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Arial" w:eastAsia="Times New Roman" w:hAnsi="Arial" w:cs="Arial"/>
      <w:color w:val="000000"/>
      <w:sz w:val="17"/>
      <w:szCs w:val="17"/>
      <w:lang w:eastAsia="es-CO"/>
    </w:rPr>
  </w:style>
  <w:style w:type="paragraph" w:customStyle="1" w:styleId="normal-level2">
    <w:name w:val="normal-level_2"/>
    <w:basedOn w:val="Normal"/>
    <w:rsid w:val="00401DFF"/>
    <w:pPr>
      <w:spacing w:before="100" w:beforeAutospacing="1" w:after="100" w:afterAutospacing="1" w:line="240" w:lineRule="auto"/>
    </w:pPr>
    <w:rPr>
      <w:rFonts w:ascii="Arial" w:eastAsia="Times New Roman" w:hAnsi="Arial" w:cs="Arial"/>
      <w:color w:val="990000"/>
      <w:sz w:val="15"/>
      <w:szCs w:val="15"/>
      <w:lang w:eastAsia="es-CO"/>
    </w:rPr>
  </w:style>
  <w:style w:type="paragraph" w:customStyle="1" w:styleId="normal-level3">
    <w:name w:val="normal-level_3"/>
    <w:basedOn w:val="Normal"/>
    <w:rsid w:val="00401DFF"/>
    <w:pPr>
      <w:spacing w:before="100" w:beforeAutospacing="1" w:after="100" w:afterAutospacing="1" w:line="240" w:lineRule="auto"/>
    </w:pPr>
    <w:rPr>
      <w:rFonts w:ascii="Arial" w:eastAsia="Times New Roman" w:hAnsi="Arial" w:cs="Arial"/>
      <w:color w:val="0D2E5B"/>
      <w:sz w:val="15"/>
      <w:szCs w:val="15"/>
      <w:lang w:eastAsia="es-CO"/>
    </w:rPr>
  </w:style>
  <w:style w:type="paragraph" w:customStyle="1" w:styleId="mostrarspantemp">
    <w:name w:val="mostrarspantem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dydoc">
    <w:name w:val="body_doc"/>
    <w:basedOn w:val="Normal"/>
    <w:rsid w:val="00401DFF"/>
    <w:pPr>
      <w:shd w:val="clear" w:color="auto" w:fill="C0C0C0"/>
      <w:spacing w:before="75" w:after="75" w:line="240" w:lineRule="auto"/>
      <w:ind w:left="75" w:right="75"/>
    </w:pPr>
    <w:rPr>
      <w:rFonts w:ascii="Times New Roman" w:eastAsia="Times New Roman" w:hAnsi="Times New Roman" w:cs="Times New Roman"/>
      <w:sz w:val="24"/>
      <w:szCs w:val="24"/>
      <w:lang w:eastAsia="es-CO"/>
    </w:rPr>
  </w:style>
  <w:style w:type="paragraph" w:customStyle="1" w:styleId="div-document">
    <w:name w:val="div-document"/>
    <w:basedOn w:val="Normal"/>
    <w:rsid w:val="00401DFF"/>
    <w:pPr>
      <w:pBdr>
        <w:top w:val="single" w:sz="8" w:space="0" w:color="A6A6A6"/>
        <w:left w:val="single" w:sz="8" w:space="0" w:color="A6A6A6"/>
        <w:bottom w:val="single" w:sz="8" w:space="0" w:color="A6A6A6"/>
        <w:right w:val="single" w:sz="8" w:space="0" w:color="A6A6A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rderdocument">
    <w:name w:val="border_document"/>
    <w:basedOn w:val="Normal"/>
    <w:rsid w:val="00401DFF"/>
    <w:pPr>
      <w:pBdr>
        <w:top w:val="single" w:sz="48" w:space="0" w:color="A6A6A6"/>
        <w:left w:val="single" w:sz="48" w:space="0" w:color="A6A6A6"/>
        <w:bottom w:val="single" w:sz="48" w:space="0" w:color="A6A6A6"/>
        <w:right w:val="single" w:sz="48" w:space="0" w:color="A6A6A6"/>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phit">
    <w:name w:val="lphit"/>
    <w:basedOn w:val="Normal"/>
    <w:rsid w:val="00401DFF"/>
    <w:pPr>
      <w:shd w:val="clear" w:color="auto" w:fill="0000FF"/>
      <w:spacing w:before="100" w:beforeAutospacing="1" w:after="100" w:afterAutospacing="1" w:line="240" w:lineRule="auto"/>
    </w:pPr>
    <w:rPr>
      <w:rFonts w:ascii="Times New Roman" w:eastAsia="Times New Roman" w:hAnsi="Times New Roman" w:cs="Times New Roman"/>
      <w:b/>
      <w:bCs/>
      <w:color w:val="FFFFFF"/>
      <w:sz w:val="24"/>
      <w:szCs w:val="24"/>
      <w:lang w:eastAsia="es-CO"/>
    </w:rPr>
  </w:style>
  <w:style w:type="paragraph" w:customStyle="1" w:styleId="cntrbghm">
    <w:name w:val="cntr_bg_h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top">
    <w:name w:val="cntr_bg_hm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top01">
    <w:name w:val="cntr_bg_hm_top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
    <w:name w:val="cntr_bg_hm_mi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01">
    <w:name w:val="cntr_bg_hm_mid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hmcol">
    <w:name w:val="cntr_hm_col"/>
    <w:basedOn w:val="Normal"/>
    <w:rsid w:val="00401DFF"/>
    <w:pPr>
      <w:spacing w:before="150" w:after="150" w:line="240" w:lineRule="auto"/>
    </w:pPr>
    <w:rPr>
      <w:rFonts w:ascii="Times New Roman" w:eastAsia="Times New Roman" w:hAnsi="Times New Roman" w:cs="Times New Roman"/>
      <w:sz w:val="24"/>
      <w:szCs w:val="24"/>
      <w:lang w:eastAsia="es-CO"/>
    </w:rPr>
  </w:style>
  <w:style w:type="paragraph" w:customStyle="1" w:styleId="collefthm">
    <w:name w:val="col_left_hm"/>
    <w:basedOn w:val="Normal"/>
    <w:rsid w:val="00401DFF"/>
    <w:pPr>
      <w:spacing w:after="0" w:line="240" w:lineRule="auto"/>
      <w:ind w:right="105"/>
    </w:pPr>
    <w:rPr>
      <w:rFonts w:ascii="Times New Roman" w:eastAsia="Times New Roman" w:hAnsi="Times New Roman" w:cs="Times New Roman"/>
      <w:sz w:val="24"/>
      <w:szCs w:val="24"/>
      <w:lang w:eastAsia="es-CO"/>
    </w:rPr>
  </w:style>
  <w:style w:type="paragraph" w:customStyle="1" w:styleId="colrighthm">
    <w:name w:val="col_right_hm"/>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cntrherram">
    <w:name w:val="cntr_herram"/>
    <w:basedOn w:val="Normal"/>
    <w:rsid w:val="00401DFF"/>
    <w:pPr>
      <w:pBdr>
        <w:top w:val="single" w:sz="2" w:space="0" w:color="E2E2E2"/>
        <w:left w:val="single" w:sz="2" w:space="0" w:color="E2E2E2"/>
        <w:bottom w:val="single" w:sz="6" w:space="0" w:color="E2E2E2"/>
        <w:right w:val="single" w:sz="2" w:space="0" w:color="E2E2E2"/>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arraacorazul">
    <w:name w:val="barra_acor_azul"/>
    <w:basedOn w:val="Normal"/>
    <w:rsid w:val="00401DFF"/>
    <w:pPr>
      <w:pBdr>
        <w:top w:val="single" w:sz="6" w:space="0" w:color="D2E6F0"/>
        <w:left w:val="single" w:sz="6" w:space="0" w:color="D2E6F0"/>
        <w:bottom w:val="single" w:sz="2" w:space="0" w:color="D2E6F0"/>
        <w:right w:val="single" w:sz="6" w:space="0" w:color="D2E6F0"/>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arraacorgris">
    <w:name w:val="barra_acor_gris"/>
    <w:basedOn w:val="Normal"/>
    <w:rsid w:val="00401DFF"/>
    <w:pPr>
      <w:pBdr>
        <w:top w:val="single" w:sz="6" w:space="0" w:color="E2E2E2"/>
        <w:left w:val="single" w:sz="6" w:space="0" w:color="E2E2E2"/>
        <w:bottom w:val="single" w:sz="2" w:space="0" w:color="E2E2E2"/>
        <w:right w:val="single" w:sz="6" w:space="0" w:color="E2E2E2"/>
      </w:pBdr>
      <w:shd w:val="clear" w:color="auto" w:fill="F8F8F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ttlmenu">
    <w:name w:val="cntr_ttl_menu"/>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menuacor">
    <w:name w:val="ico_menu_aco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menuacor">
    <w:name w:val="ttl_menu_acor"/>
    <w:basedOn w:val="Normal"/>
    <w:rsid w:val="00401DFF"/>
    <w:pPr>
      <w:spacing w:before="100" w:beforeAutospacing="1" w:after="100" w:afterAutospacing="1" w:line="240" w:lineRule="auto"/>
    </w:pPr>
    <w:rPr>
      <w:rFonts w:ascii="Arial" w:eastAsia="Times New Roman" w:hAnsi="Arial" w:cs="Arial"/>
      <w:b/>
      <w:bCs/>
      <w:color w:val="333333"/>
      <w:sz w:val="26"/>
      <w:szCs w:val="26"/>
      <w:lang w:eastAsia="es-CO"/>
    </w:rPr>
  </w:style>
  <w:style w:type="paragraph" w:customStyle="1" w:styleId="contacor">
    <w:name w:val="cont_acor"/>
    <w:basedOn w:val="Normal"/>
    <w:rsid w:val="00401DFF"/>
    <w:pPr>
      <w:pBdr>
        <w:top w:val="single" w:sz="6" w:space="4" w:color="DCECF8"/>
        <w:left w:val="single" w:sz="6" w:space="4" w:color="DCECF8"/>
        <w:bottom w:val="single" w:sz="2" w:space="4" w:color="DCECF8"/>
        <w:right w:val="single" w:sz="6" w:space="8" w:color="DCECF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tacor">
    <w:name w:val="cntr_cont_aco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echaacor">
    <w:name w:val="fecha_acor"/>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cntrinfo">
    <w:name w:val="cntr_inf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1acor">
    <w:name w:val="lnk01_acor"/>
    <w:basedOn w:val="Normal"/>
    <w:rsid w:val="00401DFF"/>
    <w:pPr>
      <w:spacing w:before="100" w:beforeAutospacing="1" w:after="100" w:afterAutospacing="1" w:line="255" w:lineRule="atLeast"/>
    </w:pPr>
    <w:rPr>
      <w:rFonts w:ascii="Arial" w:eastAsia="Times New Roman" w:hAnsi="Arial" w:cs="Arial"/>
      <w:color w:val="383838"/>
      <w:sz w:val="18"/>
      <w:szCs w:val="18"/>
      <w:lang w:eastAsia="es-CO"/>
    </w:rPr>
  </w:style>
  <w:style w:type="paragraph" w:customStyle="1" w:styleId="break">
    <w:name w:val="break"/>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uardarbusq01">
    <w:name w:val="cntr_guardar_busq01"/>
    <w:basedOn w:val="Normal"/>
    <w:rsid w:val="00401DFF"/>
    <w:pPr>
      <w:shd w:val="clear" w:color="auto" w:fill="F8F8F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putbusq01">
    <w:name w:val="cntr_input_busq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putbusq01">
    <w:name w:val="input_busq01"/>
    <w:basedOn w:val="Normal"/>
    <w:rsid w:val="00401DFF"/>
    <w:pPr>
      <w:pBdr>
        <w:top w:val="single" w:sz="6" w:space="2" w:color="CCCCCC"/>
        <w:left w:val="single" w:sz="6" w:space="2" w:color="CCCCCC"/>
        <w:bottom w:val="single" w:sz="6" w:space="2" w:color="A3A3A3"/>
        <w:right w:val="single" w:sz="6" w:space="2" w:color="A3A3A3"/>
      </w:pBdr>
      <w:spacing w:before="100" w:beforeAutospacing="1" w:after="100" w:afterAutospacing="1" w:line="240" w:lineRule="auto"/>
    </w:pPr>
    <w:rPr>
      <w:rFonts w:ascii="Arial" w:eastAsia="Times New Roman" w:hAnsi="Arial" w:cs="Arial"/>
      <w:color w:val="999999"/>
      <w:sz w:val="18"/>
      <w:szCs w:val="18"/>
      <w:lang w:eastAsia="es-CO"/>
    </w:rPr>
  </w:style>
  <w:style w:type="paragraph" w:customStyle="1" w:styleId="cntracciones01">
    <w:name w:val="cntr_accione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n">
    <w:name w:val="line_n"/>
    <w:basedOn w:val="Normal"/>
    <w:rsid w:val="00401DFF"/>
    <w:pPr>
      <w:pBdr>
        <w:right w:val="single" w:sz="6" w:space="0" w:color="CCCCCC"/>
      </w:pBdr>
      <w:spacing w:before="75" w:after="45" w:line="240" w:lineRule="auto"/>
      <w:ind w:right="45"/>
    </w:pPr>
    <w:rPr>
      <w:rFonts w:ascii="Times New Roman" w:eastAsia="Times New Roman" w:hAnsi="Times New Roman" w:cs="Times New Roman"/>
      <w:sz w:val="24"/>
      <w:szCs w:val="24"/>
      <w:lang w:eastAsia="es-CO"/>
    </w:rPr>
  </w:style>
  <w:style w:type="paragraph" w:customStyle="1" w:styleId="lnk03acor">
    <w:name w:val="lnk03_acor"/>
    <w:basedOn w:val="Normal"/>
    <w:rsid w:val="00401DFF"/>
    <w:pPr>
      <w:spacing w:before="100" w:beforeAutospacing="1" w:after="100" w:afterAutospacing="1" w:line="255" w:lineRule="atLeast"/>
    </w:pPr>
    <w:rPr>
      <w:rFonts w:ascii="Arial" w:eastAsia="Times New Roman" w:hAnsi="Arial" w:cs="Arial"/>
      <w:color w:val="949494"/>
      <w:sz w:val="17"/>
      <w:szCs w:val="17"/>
      <w:lang w:eastAsia="es-CO"/>
    </w:rPr>
  </w:style>
  <w:style w:type="paragraph" w:customStyle="1" w:styleId="cntrboxsolicitudes">
    <w:name w:val="cntr_box_solicitudes"/>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Times New Roman" w:eastAsia="Times New Roman" w:hAnsi="Times New Roman" w:cs="Times New Roman"/>
      <w:sz w:val="24"/>
      <w:szCs w:val="24"/>
      <w:lang w:eastAsia="es-CO"/>
    </w:rPr>
  </w:style>
  <w:style w:type="paragraph" w:customStyle="1" w:styleId="cntrttl01">
    <w:name w:val="cntr_ttl01"/>
    <w:basedOn w:val="Normal"/>
    <w:rsid w:val="00401DFF"/>
    <w:pPr>
      <w:pBdr>
        <w:bottom w:val="single" w:sz="6" w:space="0" w:color="EFEFE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9n">
    <w:name w:val="lnk09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btnagregar">
    <w:name w:val="cntr_btn_agreg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4">
    <w:name w:val="cntr_links_user04"/>
    <w:basedOn w:val="Normal"/>
    <w:rsid w:val="00401DFF"/>
    <w:pPr>
      <w:spacing w:after="0" w:line="240" w:lineRule="auto"/>
      <w:ind w:left="150"/>
    </w:pPr>
    <w:rPr>
      <w:rFonts w:ascii="Times New Roman" w:eastAsia="Times New Roman" w:hAnsi="Times New Roman" w:cs="Times New Roman"/>
      <w:sz w:val="24"/>
      <w:szCs w:val="24"/>
      <w:lang w:eastAsia="es-CO"/>
    </w:rPr>
  </w:style>
  <w:style w:type="paragraph" w:customStyle="1" w:styleId="lnk10n">
    <w:name w:val="lnk10_n"/>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cntrinfouser05">
    <w:name w:val="cntr_info_user05"/>
    <w:basedOn w:val="Normal"/>
    <w:rsid w:val="00401DFF"/>
    <w:pPr>
      <w:spacing w:before="120" w:after="120" w:line="240" w:lineRule="auto"/>
    </w:pPr>
    <w:rPr>
      <w:rFonts w:ascii="Times New Roman" w:eastAsia="Times New Roman" w:hAnsi="Times New Roman" w:cs="Times New Roman"/>
      <w:sz w:val="24"/>
      <w:szCs w:val="24"/>
      <w:lang w:eastAsia="es-CO"/>
    </w:rPr>
  </w:style>
  <w:style w:type="paragraph" w:customStyle="1" w:styleId="linesep04">
    <w:name w:val="line_sep04"/>
    <w:basedOn w:val="Normal"/>
    <w:rsid w:val="00401DFF"/>
    <w:pPr>
      <w:pBdr>
        <w:bottom w:val="dotted" w:sz="6" w:space="0" w:color="D4D4D4"/>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11n">
    <w:name w:val="lnk11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boxcomentario01">
    <w:name w:val="box_comentario01"/>
    <w:basedOn w:val="Normal"/>
    <w:rsid w:val="00401DFF"/>
    <w:pPr>
      <w:pBdr>
        <w:top w:val="single" w:sz="6" w:space="2" w:color="F8D181"/>
        <w:left w:val="single" w:sz="6" w:space="5" w:color="F8D181"/>
        <w:bottom w:val="single" w:sz="6" w:space="2" w:color="F8D181"/>
        <w:right w:val="single" w:sz="6" w:space="5" w:color="F8D181"/>
      </w:pBdr>
      <w:shd w:val="clear" w:color="auto" w:fill="FEF9D9"/>
      <w:spacing w:before="75" w:after="75" w:line="255" w:lineRule="atLeast"/>
    </w:pPr>
    <w:rPr>
      <w:rFonts w:ascii="Arial" w:eastAsia="Times New Roman" w:hAnsi="Arial" w:cs="Arial"/>
      <w:color w:val="575757"/>
      <w:sz w:val="17"/>
      <w:szCs w:val="17"/>
      <w:lang w:eastAsia="es-CO"/>
    </w:rPr>
  </w:style>
  <w:style w:type="paragraph" w:customStyle="1" w:styleId="fechacomment">
    <w:name w:val="fecha_comment"/>
    <w:basedOn w:val="Normal"/>
    <w:rsid w:val="00401DFF"/>
    <w:pPr>
      <w:spacing w:before="100" w:beforeAutospacing="1" w:after="100" w:afterAutospacing="1" w:line="255" w:lineRule="atLeast"/>
    </w:pPr>
    <w:rPr>
      <w:rFonts w:ascii="Arial" w:eastAsia="Times New Roman" w:hAnsi="Arial" w:cs="Arial"/>
      <w:color w:val="7E7E7E"/>
      <w:sz w:val="17"/>
      <w:szCs w:val="17"/>
      <w:lang w:eastAsia="es-CO"/>
    </w:rPr>
  </w:style>
  <w:style w:type="paragraph" w:customStyle="1" w:styleId="cntrinfouser07">
    <w:name w:val="cntr_info_user07"/>
    <w:basedOn w:val="Normal"/>
    <w:rsid w:val="00401DFF"/>
    <w:pPr>
      <w:pBdr>
        <w:bottom w:val="dotted" w:sz="6" w:space="0" w:color="E3F1FD"/>
      </w:pBdr>
      <w:shd w:val="clear" w:color="auto" w:fill="F6FA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adoinput01">
    <w:name w:val="estado_input01"/>
    <w:basedOn w:val="Normal"/>
    <w:rsid w:val="00401DFF"/>
    <w:pPr>
      <w:pBdr>
        <w:top w:val="single" w:sz="6" w:space="0" w:color="D6D6D6"/>
        <w:left w:val="single" w:sz="6" w:space="0" w:color="D6D6D6"/>
        <w:bottom w:val="single" w:sz="6" w:space="0" w:color="D6D6D6"/>
        <w:right w:val="single" w:sz="6" w:space="0" w:color="D6D6D6"/>
      </w:pBdr>
      <w:spacing w:after="75" w:line="240" w:lineRule="auto"/>
    </w:pPr>
    <w:rPr>
      <w:rFonts w:ascii="Times New Roman" w:eastAsia="Times New Roman" w:hAnsi="Times New Roman" w:cs="Times New Roman"/>
      <w:sz w:val="24"/>
      <w:szCs w:val="24"/>
      <w:lang w:eastAsia="es-CO"/>
    </w:rPr>
  </w:style>
  <w:style w:type="paragraph" w:customStyle="1" w:styleId="cntrlinksuser08">
    <w:name w:val="cntr_links_user08"/>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lnk012n">
    <w:name w:val="lnk012_n"/>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lnk03acor1">
    <w:name w:val="lnk03_acor_1"/>
    <w:basedOn w:val="Normal"/>
    <w:rsid w:val="00401DFF"/>
    <w:pPr>
      <w:spacing w:before="100" w:beforeAutospacing="1" w:after="100" w:afterAutospacing="1" w:line="255" w:lineRule="atLeast"/>
    </w:pPr>
    <w:rPr>
      <w:rFonts w:ascii="Arial" w:eastAsia="Times New Roman" w:hAnsi="Arial" w:cs="Arial"/>
      <w:color w:val="949494"/>
      <w:sz w:val="17"/>
      <w:szCs w:val="17"/>
      <w:lang w:eastAsia="es-CO"/>
    </w:rPr>
  </w:style>
  <w:style w:type="paragraph" w:customStyle="1" w:styleId="fechaacor1">
    <w:name w:val="fecha_acor_1"/>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cntrinfo1">
    <w:name w:val="cntr_info_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form">
    <w:name w:val="cntr_autent_for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info">
    <w:name w:val="cntr_autent_info"/>
    <w:basedOn w:val="Normal"/>
    <w:rsid w:val="00401DFF"/>
    <w:pPr>
      <w:spacing w:after="150" w:line="240" w:lineRule="auto"/>
    </w:pPr>
    <w:rPr>
      <w:rFonts w:ascii="Times New Roman" w:eastAsia="Times New Roman" w:hAnsi="Times New Roman" w:cs="Times New Roman"/>
      <w:sz w:val="24"/>
      <w:szCs w:val="24"/>
      <w:lang w:eastAsia="es-CO"/>
    </w:rPr>
  </w:style>
  <w:style w:type="paragraph" w:customStyle="1" w:styleId="icoautent">
    <w:name w:val="ico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autent">
    <w:name w:val="info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
    <w:name w:val="ttl_autent"/>
    <w:basedOn w:val="Normal"/>
    <w:rsid w:val="00401DFF"/>
    <w:pPr>
      <w:spacing w:before="100" w:beforeAutospacing="1" w:after="100" w:afterAutospacing="1" w:line="300" w:lineRule="atLeast"/>
    </w:pPr>
    <w:rPr>
      <w:rFonts w:ascii="Arial" w:eastAsia="Times New Roman" w:hAnsi="Arial" w:cs="Arial"/>
      <w:b/>
      <w:bCs/>
      <w:color w:val="255D83"/>
      <w:sz w:val="26"/>
      <w:szCs w:val="26"/>
      <w:lang w:eastAsia="es-CO"/>
    </w:rPr>
  </w:style>
  <w:style w:type="paragraph" w:customStyle="1" w:styleId="txtautent">
    <w:name w:val="txt_autent"/>
    <w:basedOn w:val="Normal"/>
    <w:rsid w:val="00401DFF"/>
    <w:pPr>
      <w:spacing w:before="100" w:beforeAutospacing="1" w:after="100" w:afterAutospacing="1" w:line="270" w:lineRule="atLeast"/>
    </w:pPr>
    <w:rPr>
      <w:rFonts w:ascii="Arial" w:eastAsia="Times New Roman" w:hAnsi="Arial" w:cs="Arial"/>
      <w:color w:val="666666"/>
      <w:sz w:val="21"/>
      <w:szCs w:val="21"/>
      <w:lang w:eastAsia="es-CO"/>
    </w:rPr>
  </w:style>
  <w:style w:type="paragraph" w:customStyle="1" w:styleId="boxautent">
    <w:name w:val="box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top">
    <w:name w:val="box_auten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mid">
    <w:name w:val="box_autent_mi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bottom">
    <w:name w:val="box_auten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ingreso">
    <w:name w:val="cntr_autent_ingreso"/>
    <w:basedOn w:val="Normal"/>
    <w:rsid w:val="00401DFF"/>
    <w:pPr>
      <w:pBdr>
        <w:left w:val="dotted" w:sz="6" w:space="8" w:color="C7DEEF"/>
      </w:pBdr>
      <w:spacing w:after="150" w:line="240" w:lineRule="auto"/>
      <w:ind w:left="150"/>
    </w:pPr>
    <w:rPr>
      <w:rFonts w:ascii="Times New Roman" w:eastAsia="Times New Roman" w:hAnsi="Times New Roman" w:cs="Times New Roman"/>
      <w:sz w:val="24"/>
      <w:szCs w:val="24"/>
      <w:lang w:eastAsia="es-CO"/>
    </w:rPr>
  </w:style>
  <w:style w:type="paragraph" w:customStyle="1" w:styleId="cntrautentregistro">
    <w:name w:val="cntr_autent_registr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form">
    <w:name w:val="ttl_autent_form"/>
    <w:basedOn w:val="Normal"/>
    <w:rsid w:val="00401DFF"/>
    <w:pPr>
      <w:spacing w:before="100" w:beforeAutospacing="1" w:after="100" w:afterAutospacing="1" w:line="300" w:lineRule="atLeast"/>
    </w:pPr>
    <w:rPr>
      <w:rFonts w:ascii="Arial" w:eastAsia="Times New Roman" w:hAnsi="Arial" w:cs="Arial"/>
      <w:b/>
      <w:bCs/>
      <w:color w:val="444444"/>
      <w:sz w:val="21"/>
      <w:szCs w:val="21"/>
      <w:lang w:eastAsia="es-CO"/>
    </w:rPr>
  </w:style>
  <w:style w:type="paragraph" w:customStyle="1" w:styleId="txtautent01">
    <w:name w:val="txt_autent01"/>
    <w:basedOn w:val="Normal"/>
    <w:rsid w:val="00401DFF"/>
    <w:pPr>
      <w:spacing w:before="100" w:beforeAutospacing="1" w:after="100" w:afterAutospacing="1" w:line="270" w:lineRule="atLeast"/>
    </w:pPr>
    <w:rPr>
      <w:rFonts w:ascii="Arial" w:eastAsia="Times New Roman" w:hAnsi="Arial" w:cs="Arial"/>
      <w:color w:val="666666"/>
      <w:sz w:val="18"/>
      <w:szCs w:val="18"/>
      <w:lang w:eastAsia="es-CO"/>
    </w:rPr>
  </w:style>
  <w:style w:type="paragraph" w:customStyle="1" w:styleId="txtautent02">
    <w:name w:val="txt_autent02"/>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boxautentinput">
    <w:name w:val="box_autent_inp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input">
    <w:name w:val="txt_autent_input"/>
    <w:basedOn w:val="Normal"/>
    <w:rsid w:val="00401DFF"/>
    <w:pPr>
      <w:spacing w:before="100" w:beforeAutospacing="1" w:after="100" w:afterAutospacing="1" w:line="240" w:lineRule="auto"/>
    </w:pPr>
    <w:rPr>
      <w:rFonts w:ascii="Arial" w:eastAsia="Times New Roman" w:hAnsi="Arial" w:cs="Arial"/>
      <w:color w:val="255C82"/>
      <w:sz w:val="20"/>
      <w:szCs w:val="20"/>
      <w:lang w:eastAsia="es-CO"/>
    </w:rPr>
  </w:style>
  <w:style w:type="paragraph" w:customStyle="1" w:styleId="cntrautentinput">
    <w:name w:val="cntr_autent_inp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utentinput01">
    <w:name w:val="autent_input01"/>
    <w:basedOn w:val="Normal"/>
    <w:rsid w:val="00401DFF"/>
    <w:pPr>
      <w:pBdr>
        <w:top w:val="single" w:sz="6" w:space="0" w:color="D7D7D7"/>
        <w:left w:val="single" w:sz="6" w:space="0" w:color="D7D7D7"/>
        <w:bottom w:val="single" w:sz="6" w:space="0" w:color="D7D7D7"/>
        <w:right w:val="single" w:sz="6" w:space="0" w:color="D7D7D7"/>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3">
    <w:name w:val="txt_autent03"/>
    <w:basedOn w:val="Normal"/>
    <w:rsid w:val="00401DFF"/>
    <w:pPr>
      <w:spacing w:before="100" w:beforeAutospacing="1" w:after="100" w:afterAutospacing="1" w:line="240" w:lineRule="auto"/>
    </w:pPr>
    <w:rPr>
      <w:rFonts w:ascii="Arial" w:eastAsia="Times New Roman" w:hAnsi="Arial" w:cs="Arial"/>
      <w:color w:val="255C82"/>
      <w:sz w:val="17"/>
      <w:szCs w:val="17"/>
      <w:lang w:eastAsia="es-CO"/>
    </w:rPr>
  </w:style>
  <w:style w:type="paragraph" w:customStyle="1" w:styleId="lineautent">
    <w:name w:val="line_autent"/>
    <w:basedOn w:val="Normal"/>
    <w:rsid w:val="00401DFF"/>
    <w:pPr>
      <w:pBdr>
        <w:bottom w:val="dotted" w:sz="6" w:space="0" w:color="CCCCCC"/>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btn">
    <w:name w:val="cntr_autent_bt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autent">
    <w:name w:val="sep_autent"/>
    <w:basedOn w:val="Normal"/>
    <w:rsid w:val="00401DFF"/>
    <w:pPr>
      <w:pBdr>
        <w:left w:val="single" w:sz="6" w:space="0" w:color="CCCCCC"/>
      </w:pBdr>
      <w:spacing w:before="120" w:after="0" w:line="240" w:lineRule="auto"/>
      <w:ind w:left="150"/>
    </w:pPr>
    <w:rPr>
      <w:rFonts w:ascii="Times New Roman" w:eastAsia="Times New Roman" w:hAnsi="Times New Roman" w:cs="Times New Roman"/>
      <w:sz w:val="24"/>
      <w:szCs w:val="24"/>
      <w:lang w:eastAsia="es-CO"/>
    </w:rPr>
  </w:style>
  <w:style w:type="paragraph" w:customStyle="1" w:styleId="lnkautent">
    <w:name w:val="lnk_autent"/>
    <w:basedOn w:val="Normal"/>
    <w:rsid w:val="00401DFF"/>
    <w:pPr>
      <w:spacing w:before="100" w:beforeAutospacing="1" w:after="100" w:afterAutospacing="1" w:line="240" w:lineRule="auto"/>
    </w:pPr>
    <w:rPr>
      <w:rFonts w:ascii="Arial" w:eastAsia="Times New Roman" w:hAnsi="Arial" w:cs="Arial"/>
      <w:color w:val="255C82"/>
      <w:sz w:val="18"/>
      <w:szCs w:val="18"/>
      <w:lang w:eastAsia="es-CO"/>
    </w:rPr>
  </w:style>
  <w:style w:type="paragraph" w:customStyle="1" w:styleId="hidden">
    <w:name w:val="hidden"/>
    <w:basedOn w:val="Normal"/>
    <w:rsid w:val="00401DFF"/>
    <w:pPr>
      <w:spacing w:before="100" w:beforeAutospacing="1" w:after="100" w:afterAutospacing="1" w:line="240" w:lineRule="auto"/>
    </w:pPr>
    <w:rPr>
      <w:rFonts w:ascii="Times New Roman" w:eastAsia="Times New Roman" w:hAnsi="Times New Roman" w:cs="Times New Roman"/>
      <w:vanish/>
      <w:sz w:val="24"/>
      <w:szCs w:val="24"/>
      <w:lang w:eastAsia="es-CO"/>
    </w:rPr>
  </w:style>
  <w:style w:type="paragraph" w:customStyle="1" w:styleId="cntrautentbtn02">
    <w:name w:val="cntr_autent_btn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reg01">
    <w:name w:val="cntr_autent_reg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4">
    <w:name w:val="txt_autent04"/>
    <w:basedOn w:val="Normal"/>
    <w:rsid w:val="00401DFF"/>
    <w:pPr>
      <w:spacing w:before="100" w:beforeAutospacing="1" w:after="100" w:afterAutospacing="1" w:line="240" w:lineRule="auto"/>
    </w:pPr>
    <w:rPr>
      <w:rFonts w:ascii="Arial" w:eastAsia="Times New Roman" w:hAnsi="Arial" w:cs="Arial"/>
      <w:b/>
      <w:bCs/>
      <w:color w:val="666666"/>
      <w:sz w:val="20"/>
      <w:szCs w:val="20"/>
      <w:lang w:eastAsia="es-CO"/>
    </w:rPr>
  </w:style>
  <w:style w:type="paragraph" w:customStyle="1" w:styleId="boxautentinput01">
    <w:name w:val="box_autent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autentinput02">
    <w:name w:val="autent_input02"/>
    <w:basedOn w:val="Normal"/>
    <w:rsid w:val="00401DFF"/>
    <w:pPr>
      <w:pBdr>
        <w:top w:val="single" w:sz="6" w:space="0" w:color="D7D7D7"/>
        <w:left w:val="single" w:sz="6" w:space="0" w:color="D7D7D7"/>
        <w:bottom w:val="single" w:sz="6" w:space="0" w:color="D7D7D7"/>
        <w:right w:val="single" w:sz="6" w:space="0" w:color="D7D7D7"/>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jautent">
    <w:name w:val="msj_autent"/>
    <w:basedOn w:val="Normal"/>
    <w:rsid w:val="00401DFF"/>
    <w:pPr>
      <w:spacing w:before="100" w:beforeAutospacing="1" w:after="100" w:afterAutospacing="1" w:line="255" w:lineRule="atLeast"/>
    </w:pPr>
    <w:rPr>
      <w:rFonts w:ascii="Arial" w:eastAsia="Times New Roman" w:hAnsi="Arial" w:cs="Arial"/>
      <w:color w:val="296A93"/>
      <w:sz w:val="20"/>
      <w:szCs w:val="20"/>
      <w:lang w:eastAsia="es-CO"/>
    </w:rPr>
  </w:style>
  <w:style w:type="paragraph" w:customStyle="1" w:styleId="msjautent01">
    <w:name w:val="msj_autent01"/>
    <w:basedOn w:val="Normal"/>
    <w:rsid w:val="00401DFF"/>
    <w:pPr>
      <w:spacing w:before="100" w:beforeAutospacing="1" w:after="100" w:afterAutospacing="1" w:line="270" w:lineRule="atLeast"/>
    </w:pPr>
    <w:rPr>
      <w:rFonts w:ascii="Arial" w:eastAsia="Times New Roman" w:hAnsi="Arial" w:cs="Arial"/>
      <w:b/>
      <w:bCs/>
      <w:color w:val="255D83"/>
      <w:sz w:val="26"/>
      <w:szCs w:val="26"/>
      <w:lang w:eastAsia="es-CO"/>
    </w:rPr>
  </w:style>
  <w:style w:type="paragraph" w:customStyle="1" w:styleId="msjautent02">
    <w:name w:val="msj_autent02"/>
    <w:basedOn w:val="Normal"/>
    <w:rsid w:val="00401DFF"/>
    <w:pPr>
      <w:spacing w:before="100" w:beforeAutospacing="1" w:after="100" w:afterAutospacing="1" w:line="270" w:lineRule="atLeast"/>
    </w:pPr>
    <w:rPr>
      <w:rFonts w:ascii="Arial" w:eastAsia="Times New Roman" w:hAnsi="Arial" w:cs="Arial"/>
      <w:b/>
      <w:bCs/>
      <w:color w:val="255D83"/>
      <w:sz w:val="21"/>
      <w:szCs w:val="21"/>
      <w:lang w:eastAsia="es-CO"/>
    </w:rPr>
  </w:style>
  <w:style w:type="paragraph" w:customStyle="1" w:styleId="cntrautentreg02">
    <w:name w:val="cntr_autent_reg02"/>
    <w:basedOn w:val="Normal"/>
    <w:rsid w:val="00401DFF"/>
    <w:pPr>
      <w:shd w:val="clear" w:color="auto" w:fill="F2F8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autent05">
    <w:name w:val="txt_autent05"/>
    <w:basedOn w:val="Normal"/>
    <w:rsid w:val="00401DFF"/>
    <w:pPr>
      <w:spacing w:before="100" w:beforeAutospacing="1" w:after="100" w:afterAutospacing="1" w:line="270" w:lineRule="atLeast"/>
    </w:pPr>
    <w:rPr>
      <w:rFonts w:ascii="Arial" w:eastAsia="Times New Roman" w:hAnsi="Arial" w:cs="Arial"/>
      <w:color w:val="666666"/>
      <w:sz w:val="18"/>
      <w:szCs w:val="18"/>
      <w:lang w:eastAsia="es-CO"/>
    </w:rPr>
  </w:style>
  <w:style w:type="paragraph" w:customStyle="1" w:styleId="cntrautentcaract">
    <w:name w:val="cntr_autent_caract"/>
    <w:basedOn w:val="Normal"/>
    <w:rsid w:val="00401DFF"/>
    <w:pPr>
      <w:spacing w:before="450" w:after="450" w:line="240" w:lineRule="auto"/>
    </w:pPr>
    <w:rPr>
      <w:rFonts w:ascii="Times New Roman" w:eastAsia="Times New Roman" w:hAnsi="Times New Roman" w:cs="Times New Roman"/>
      <w:sz w:val="24"/>
      <w:szCs w:val="24"/>
      <w:lang w:eastAsia="es-CO"/>
    </w:rPr>
  </w:style>
  <w:style w:type="paragraph" w:customStyle="1" w:styleId="col01autent">
    <w:name w:val="col01_autent"/>
    <w:basedOn w:val="Normal"/>
    <w:rsid w:val="00401DFF"/>
    <w:pPr>
      <w:spacing w:before="100" w:beforeAutospacing="1" w:after="100" w:afterAutospacing="1" w:line="255" w:lineRule="atLeast"/>
    </w:pPr>
    <w:rPr>
      <w:rFonts w:ascii="Arial" w:eastAsia="Times New Roman" w:hAnsi="Arial" w:cs="Arial"/>
      <w:color w:val="255D83"/>
      <w:sz w:val="23"/>
      <w:szCs w:val="23"/>
      <w:lang w:eastAsia="es-CO"/>
    </w:rPr>
  </w:style>
  <w:style w:type="paragraph" w:customStyle="1" w:styleId="col02autent">
    <w:name w:val="col02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3autent">
    <w:name w:val="col03_auten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
    <w:name w:val="box_auten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top">
    <w:name w:val="box_autent02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mid">
    <w:name w:val="box_autent02_mid"/>
    <w:basedOn w:val="Normal"/>
    <w:rsid w:val="00401DFF"/>
    <w:pPr>
      <w:pBdr>
        <w:top w:val="single" w:sz="2" w:space="8" w:color="C7E4FA"/>
        <w:left w:val="single" w:sz="6" w:space="20" w:color="C7E4FA"/>
        <w:bottom w:val="single" w:sz="2" w:space="8" w:color="C7E4FA"/>
        <w:right w:val="single" w:sz="6" w:space="20" w:color="C7E4F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02bottom">
    <w:name w:val="box_autent02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stacaract">
    <w:name w:val="lista_cara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1">
    <w:name w:val="item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2">
    <w:name w:val="item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3">
    <w:name w:val="item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tem04">
    <w:name w:val="item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pacio">
    <w:name w:val="espacio"/>
    <w:basedOn w:val="Normal"/>
    <w:rsid w:val="00401DFF"/>
    <w:pPr>
      <w:pBdr>
        <w:top w:val="single" w:sz="6" w:space="3" w:color="000033"/>
        <w:left w:val="single" w:sz="6" w:space="0" w:color="000033"/>
        <w:bottom w:val="single" w:sz="6" w:space="0" w:color="000033"/>
        <w:right w:val="single" w:sz="6" w:space="0" w:color="000033"/>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btn01">
    <w:name w:val="cntr_autent_bt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autent1">
    <w:name w:val="line_autent1"/>
    <w:basedOn w:val="Normal"/>
    <w:rsid w:val="00401DFF"/>
    <w:pPr>
      <w:pBdr>
        <w:top w:val="dotted" w:sz="6" w:space="0" w:color="E2E2E2"/>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olvidoclave">
    <w:name w:val="cntr_olvido_clav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autentregistro02">
    <w:name w:val="cntr_autent_registro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oto">
    <w:name w:val="cntr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ghtaut">
    <w:name w:val="cntr_light_a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r01">
    <w:name w:val="box_subr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l01">
    <w:name w:val="box_sub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lightboxnxt">
    <w:name w:val="ttl_lightbox_nxt"/>
    <w:basedOn w:val="Normal"/>
    <w:rsid w:val="00401DFF"/>
    <w:pPr>
      <w:spacing w:before="100" w:beforeAutospacing="1" w:after="100" w:afterAutospacing="1" w:line="240" w:lineRule="auto"/>
    </w:pPr>
    <w:rPr>
      <w:rFonts w:ascii="Tahoma" w:eastAsia="Times New Roman" w:hAnsi="Tahoma" w:cs="Tahoma"/>
      <w:b/>
      <w:bCs/>
      <w:color w:val="FFFFFF"/>
      <w:sz w:val="17"/>
      <w:szCs w:val="17"/>
      <w:lang w:eastAsia="es-CO"/>
    </w:rPr>
  </w:style>
  <w:style w:type="paragraph" w:customStyle="1" w:styleId="boxsubr02">
    <w:name w:val="box_subr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l02">
    <w:name w:val="box_subl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ppluser">
    <w:name w:val="name_ppl_user"/>
    <w:basedOn w:val="Normal"/>
    <w:rsid w:val="00401DFF"/>
    <w:pPr>
      <w:spacing w:before="100" w:beforeAutospacing="1" w:after="100" w:afterAutospacing="1" w:line="240" w:lineRule="auto"/>
    </w:pPr>
    <w:rPr>
      <w:rFonts w:ascii="Arial" w:eastAsia="Times New Roman" w:hAnsi="Arial" w:cs="Arial"/>
      <w:b/>
      <w:bCs/>
      <w:color w:val="006699"/>
      <w:sz w:val="26"/>
      <w:szCs w:val="26"/>
      <w:lang w:eastAsia="es-CO"/>
    </w:rPr>
  </w:style>
  <w:style w:type="paragraph" w:customStyle="1" w:styleId="cntrregaut">
    <w:name w:val="cntr_reg_au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subr03">
    <w:name w:val="box_subr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topligthbox">
    <w:name w:val="box_autent_top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midligthbox">
    <w:name w:val="box_autent_mid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autentbottomligthbox">
    <w:name w:val="box_autent_bottom_ligth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lose">
    <w:name w:val="close"/>
    <w:basedOn w:val="Normal"/>
    <w:rsid w:val="00401DFF"/>
    <w:pPr>
      <w:spacing w:before="100" w:beforeAutospacing="1" w:after="100" w:afterAutospacing="1" w:line="240" w:lineRule="auto"/>
    </w:pPr>
    <w:rPr>
      <w:rFonts w:ascii="Arial" w:eastAsia="Times New Roman" w:hAnsi="Arial" w:cs="Arial"/>
      <w:color w:val="255C82"/>
      <w:sz w:val="17"/>
      <w:szCs w:val="17"/>
      <w:lang w:eastAsia="es-CO"/>
    </w:rPr>
  </w:style>
  <w:style w:type="paragraph" w:customStyle="1" w:styleId="cntrgral1">
    <w:name w:val="cntr_gral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gralleft">
    <w:name w:val="col_gral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gralright">
    <w:name w:val="col_gral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mid01">
    <w:name w:val="col_mid_01"/>
    <w:basedOn w:val="Normal"/>
    <w:rsid w:val="00401DFF"/>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ntentlstmultiple">
    <w:name w:val="contentlstmultiple"/>
    <w:basedOn w:val="Normal"/>
    <w:rsid w:val="00401DFF"/>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stmultiple">
    <w:name w:val="lstmultiple"/>
    <w:basedOn w:val="Normal"/>
    <w:rsid w:val="00401DFF"/>
    <w:pPr>
      <w:spacing w:before="100" w:beforeAutospacing="1" w:after="100" w:afterAutospacing="1" w:line="240" w:lineRule="auto"/>
    </w:pPr>
    <w:rPr>
      <w:rFonts w:ascii="Arial" w:eastAsia="Times New Roman" w:hAnsi="Arial" w:cs="Arial"/>
      <w:sz w:val="17"/>
      <w:szCs w:val="17"/>
      <w:lang w:eastAsia="es-CO"/>
    </w:rPr>
  </w:style>
  <w:style w:type="paragraph" w:customStyle="1" w:styleId="cntrbghmmid03">
    <w:name w:val="cntr_bg_hm_mi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ghmmid04">
    <w:name w:val="cntr_bg_hm_mi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central">
    <w:name w:val="col_centr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izq">
    <w:name w:val="col_perfil_izq"/>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der">
    <w:name w:val="col_perfil_d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perfil">
    <w:name w:val="cntr_perfi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perfil">
    <w:name w:val="foto_perfil"/>
    <w:basedOn w:val="Normal"/>
    <w:rsid w:val="00401DFF"/>
    <w:pPr>
      <w:pBdr>
        <w:top w:val="single" w:sz="6" w:space="2" w:color="DFDFDF"/>
        <w:left w:val="single" w:sz="6" w:space="2" w:color="DFDFDF"/>
        <w:bottom w:val="single" w:sz="6" w:space="2" w:color="DFDFDF"/>
        <w:right w:val="single" w:sz="6" w:space="2" w:color="DFDFDF"/>
      </w:pBdr>
      <w:spacing w:before="225" w:after="0" w:line="240" w:lineRule="auto"/>
      <w:ind w:left="150"/>
    </w:pPr>
    <w:rPr>
      <w:rFonts w:ascii="Times New Roman" w:eastAsia="Times New Roman" w:hAnsi="Times New Roman" w:cs="Times New Roman"/>
      <w:sz w:val="24"/>
      <w:szCs w:val="24"/>
      <w:lang w:eastAsia="es-CO"/>
    </w:rPr>
  </w:style>
  <w:style w:type="paragraph" w:customStyle="1" w:styleId="ttlpplcom">
    <w:name w:val="ttl_ppl_com"/>
    <w:basedOn w:val="Normal"/>
    <w:rsid w:val="00401DFF"/>
    <w:pPr>
      <w:spacing w:before="100" w:beforeAutospacing="1" w:after="100" w:afterAutospacing="1" w:line="240" w:lineRule="auto"/>
    </w:pPr>
    <w:rPr>
      <w:rFonts w:ascii="Arial" w:eastAsia="Times New Roman" w:hAnsi="Arial" w:cs="Arial"/>
      <w:b/>
      <w:bCs/>
      <w:color w:val="333333"/>
      <w:sz w:val="27"/>
      <w:szCs w:val="27"/>
      <w:lang w:eastAsia="es-CO"/>
    </w:rPr>
  </w:style>
  <w:style w:type="paragraph" w:customStyle="1" w:styleId="linecom01">
    <w:name w:val="line_com01"/>
    <w:basedOn w:val="Normal"/>
    <w:rsid w:val="00401DFF"/>
    <w:pPr>
      <w:shd w:val="clear" w:color="auto" w:fill="F2F2F2"/>
      <w:spacing w:before="75" w:after="75" w:line="240" w:lineRule="auto"/>
    </w:pPr>
    <w:rPr>
      <w:rFonts w:ascii="Times New Roman" w:eastAsia="Times New Roman" w:hAnsi="Times New Roman" w:cs="Times New Roman"/>
      <w:sz w:val="24"/>
      <w:szCs w:val="24"/>
      <w:lang w:eastAsia="es-CO"/>
    </w:rPr>
  </w:style>
  <w:style w:type="paragraph" w:customStyle="1" w:styleId="pfcntrinput01">
    <w:name w:val="pf_cntr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boxinput01">
    <w:name w:val="pf_box_inpu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boxinput02">
    <w:name w:val="pf_box_inpu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nameinput01">
    <w:name w:val="pf_name_input01"/>
    <w:basedOn w:val="Normal"/>
    <w:rsid w:val="00401DFF"/>
    <w:pPr>
      <w:spacing w:before="100" w:beforeAutospacing="1" w:after="100" w:afterAutospacing="1" w:line="240" w:lineRule="auto"/>
    </w:pPr>
    <w:rPr>
      <w:rFonts w:ascii="Arial" w:eastAsia="Times New Roman" w:hAnsi="Arial" w:cs="Arial"/>
      <w:color w:val="333333"/>
      <w:sz w:val="18"/>
      <w:szCs w:val="18"/>
      <w:lang w:eastAsia="es-CO"/>
    </w:rPr>
  </w:style>
  <w:style w:type="paragraph" w:customStyle="1" w:styleId="pfinput01">
    <w:name w:val="pf_input01"/>
    <w:basedOn w:val="Normal"/>
    <w:rsid w:val="00401DFF"/>
    <w:pPr>
      <w:pBdr>
        <w:top w:val="single" w:sz="6" w:space="0" w:color="DFDFDF"/>
        <w:left w:val="single" w:sz="6" w:space="0" w:color="DFDFDF"/>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select01">
    <w:name w:val="pf_selec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finput02">
    <w:name w:val="pf_inpu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fig">
    <w:name w:val="cntr_config"/>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config">
    <w:name w:val="sttl_config"/>
    <w:basedOn w:val="Normal"/>
    <w:rsid w:val="00401DFF"/>
    <w:pPr>
      <w:spacing w:before="100" w:beforeAutospacing="1" w:after="100" w:afterAutospacing="1" w:line="240" w:lineRule="auto"/>
    </w:pPr>
    <w:rPr>
      <w:rFonts w:ascii="Arial" w:eastAsia="Times New Roman" w:hAnsi="Arial" w:cs="Arial"/>
      <w:b/>
      <w:bCs/>
      <w:color w:val="204C6D"/>
      <w:sz w:val="23"/>
      <w:szCs w:val="23"/>
      <w:lang w:eastAsia="es-CO"/>
    </w:rPr>
  </w:style>
  <w:style w:type="paragraph" w:customStyle="1" w:styleId="cfgcntropc01">
    <w:name w:val="cfg_cntr_opc01"/>
    <w:basedOn w:val="Normal"/>
    <w:rsid w:val="00401DFF"/>
    <w:pPr>
      <w:pBdr>
        <w:bottom w:val="single" w:sz="6" w:space="2"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opc01a">
    <w:name w:val="cfg_cntr_opc01_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conf01">
    <w:name w:val="sep_conf01"/>
    <w:basedOn w:val="Normal"/>
    <w:rsid w:val="00401DFF"/>
    <w:pPr>
      <w:pBdr>
        <w:lef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radio">
    <w:name w:val="cfg_cntr_radi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
    <w:name w:val="cntr_radi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01">
    <w:name w:val="cntr_radio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adio03">
    <w:name w:val="cntr_radio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radio">
    <w:name w:val="txt_radio"/>
    <w:basedOn w:val="Normal"/>
    <w:rsid w:val="00401DFF"/>
    <w:pPr>
      <w:spacing w:before="100" w:beforeAutospacing="1" w:after="100" w:afterAutospacing="1" w:line="240" w:lineRule="auto"/>
    </w:pPr>
    <w:rPr>
      <w:rFonts w:ascii="Arial" w:eastAsia="Times New Roman" w:hAnsi="Arial" w:cs="Arial"/>
      <w:color w:val="666666"/>
      <w:sz w:val="20"/>
      <w:szCs w:val="20"/>
      <w:lang w:eastAsia="es-CO"/>
    </w:rPr>
  </w:style>
  <w:style w:type="paragraph" w:customStyle="1" w:styleId="txtradio2">
    <w:name w:val="txt_radio2"/>
    <w:basedOn w:val="Normal"/>
    <w:rsid w:val="00401DFF"/>
    <w:pPr>
      <w:spacing w:after="0" w:line="240" w:lineRule="auto"/>
    </w:pPr>
    <w:rPr>
      <w:rFonts w:ascii="Arial" w:eastAsia="Times New Roman" w:hAnsi="Arial" w:cs="Arial"/>
      <w:color w:val="666666"/>
      <w:sz w:val="20"/>
      <w:szCs w:val="20"/>
      <w:lang w:eastAsia="es-CO"/>
    </w:rPr>
  </w:style>
  <w:style w:type="paragraph" w:customStyle="1" w:styleId="radiobtn01">
    <w:name w:val="radiobtn01"/>
    <w:basedOn w:val="Normal"/>
    <w:rsid w:val="00401DFF"/>
    <w:pPr>
      <w:spacing w:after="0" w:line="240" w:lineRule="auto"/>
    </w:pPr>
    <w:rPr>
      <w:rFonts w:ascii="Arial" w:eastAsia="Times New Roman" w:hAnsi="Arial" w:cs="Arial"/>
      <w:color w:val="666666"/>
      <w:sz w:val="20"/>
      <w:szCs w:val="20"/>
      <w:lang w:eastAsia="es-CO"/>
    </w:rPr>
  </w:style>
  <w:style w:type="paragraph" w:customStyle="1" w:styleId="pftxt">
    <w:name w:val="pf_txt"/>
    <w:basedOn w:val="Normal"/>
    <w:rsid w:val="00401DFF"/>
    <w:pPr>
      <w:spacing w:before="100" w:beforeAutospacing="1" w:after="100" w:afterAutospacing="1" w:line="240" w:lineRule="auto"/>
    </w:pPr>
    <w:rPr>
      <w:rFonts w:ascii="Arial" w:eastAsia="Times New Roman" w:hAnsi="Arial" w:cs="Arial"/>
      <w:color w:val="666666"/>
      <w:sz w:val="20"/>
      <w:szCs w:val="20"/>
      <w:lang w:eastAsia="es-CO"/>
    </w:rPr>
  </w:style>
  <w:style w:type="paragraph" w:customStyle="1" w:styleId="pftxt01">
    <w:name w:val="pf_txt01"/>
    <w:basedOn w:val="Normal"/>
    <w:rsid w:val="00401DFF"/>
    <w:pPr>
      <w:spacing w:before="100" w:beforeAutospacing="1" w:after="100" w:afterAutospacing="1" w:line="240" w:lineRule="auto"/>
    </w:pPr>
    <w:rPr>
      <w:rFonts w:ascii="Arial" w:eastAsia="Times New Roman" w:hAnsi="Arial" w:cs="Arial"/>
      <w:color w:val="33739B"/>
      <w:sz w:val="17"/>
      <w:szCs w:val="17"/>
      <w:lang w:eastAsia="es-CO"/>
    </w:rPr>
  </w:style>
  <w:style w:type="paragraph" w:customStyle="1" w:styleId="pfselect02">
    <w:name w:val="pf_select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cntropc04">
    <w:name w:val="cfg_cntr_opc04"/>
    <w:basedOn w:val="Normal"/>
    <w:rsid w:val="00401DFF"/>
    <w:pPr>
      <w:pBdr>
        <w:bottom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fgtxt">
    <w:name w:val="cfg_txt"/>
    <w:basedOn w:val="Normal"/>
    <w:rsid w:val="00401DFF"/>
    <w:pPr>
      <w:spacing w:before="100" w:beforeAutospacing="1" w:after="100" w:afterAutospacing="1" w:line="240" w:lineRule="auto"/>
    </w:pPr>
    <w:rPr>
      <w:rFonts w:ascii="Arial" w:eastAsia="Times New Roman" w:hAnsi="Arial" w:cs="Arial"/>
      <w:color w:val="33739B"/>
      <w:sz w:val="17"/>
      <w:szCs w:val="17"/>
      <w:lang w:eastAsia="es-CO"/>
    </w:rPr>
  </w:style>
  <w:style w:type="paragraph" w:customStyle="1" w:styleId="cntrbtngrl">
    <w:name w:val="cntr_btn_gr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left">
    <w:name w:val="btn_grl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
    <w:name w:val="btn_grl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
    <w:name w:val="btn_grl_mid"/>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linesep">
    <w:name w:val="line_sep"/>
    <w:basedOn w:val="Normal"/>
    <w:rsid w:val="00401DFF"/>
    <w:pPr>
      <w:pBdr>
        <w:right w:val="single" w:sz="6" w:space="0" w:color="D8D8D8"/>
      </w:pBdr>
      <w:spacing w:before="75" w:after="0" w:line="240" w:lineRule="auto"/>
      <w:ind w:left="75" w:right="45"/>
    </w:pPr>
    <w:rPr>
      <w:rFonts w:ascii="Times New Roman" w:eastAsia="Times New Roman" w:hAnsi="Times New Roman" w:cs="Times New Roman"/>
      <w:sz w:val="24"/>
      <w:szCs w:val="24"/>
      <w:lang w:eastAsia="es-CO"/>
    </w:rPr>
  </w:style>
  <w:style w:type="paragraph" w:customStyle="1" w:styleId="lnkgrl01">
    <w:name w:val="lnk_grl01"/>
    <w:basedOn w:val="Normal"/>
    <w:rsid w:val="00401DFF"/>
    <w:pPr>
      <w:spacing w:before="100" w:beforeAutospacing="1" w:after="100" w:afterAutospacing="1" w:line="240" w:lineRule="auto"/>
    </w:pPr>
    <w:rPr>
      <w:rFonts w:ascii="Arial" w:eastAsia="Times New Roman" w:hAnsi="Arial" w:cs="Arial"/>
      <w:color w:val="2478BE"/>
      <w:sz w:val="18"/>
      <w:szCs w:val="18"/>
      <w:lang w:eastAsia="es-CO"/>
    </w:rPr>
  </w:style>
  <w:style w:type="paragraph" w:customStyle="1" w:styleId="icomenuacorsug">
    <w:name w:val="ico_menu_acor_sug"/>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menuacorsug">
    <w:name w:val="ttl_menu_acor_sug"/>
    <w:basedOn w:val="Normal"/>
    <w:rsid w:val="00401DFF"/>
    <w:pPr>
      <w:spacing w:before="100" w:beforeAutospacing="1" w:after="100" w:afterAutospacing="1" w:line="240" w:lineRule="auto"/>
    </w:pPr>
    <w:rPr>
      <w:rFonts w:ascii="Arial" w:eastAsia="Times New Roman" w:hAnsi="Arial" w:cs="Arial"/>
      <w:b/>
      <w:bCs/>
      <w:color w:val="006699"/>
      <w:sz w:val="26"/>
      <w:szCs w:val="26"/>
      <w:lang w:eastAsia="es-CO"/>
    </w:rPr>
  </w:style>
  <w:style w:type="paragraph" w:customStyle="1" w:styleId="colsubleft">
    <w:name w:val="col_sub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infocomunidad">
    <w:name w:val="col_info_comunida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infocomunidad02">
    <w:name w:val="col_info_comunida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uscarcom">
    <w:name w:val="cntr_buscar_com"/>
    <w:basedOn w:val="Normal"/>
    <w:rsid w:val="00401DFF"/>
    <w:pPr>
      <w:pBdr>
        <w:top w:val="single" w:sz="6" w:space="0" w:color="EEEEEE"/>
        <w:left w:val="single" w:sz="2" w:space="15" w:color="EEEEEE"/>
        <w:bottom w:val="single" w:sz="6" w:space="0" w:color="EEEEEE"/>
        <w:right w:val="single" w:sz="2" w:space="0" w:color="EEEEEE"/>
      </w:pBdr>
      <w:spacing w:after="0" w:line="240" w:lineRule="auto"/>
      <w:ind w:left="15"/>
    </w:pPr>
    <w:rPr>
      <w:rFonts w:ascii="Times New Roman" w:eastAsia="Times New Roman" w:hAnsi="Times New Roman" w:cs="Times New Roman"/>
      <w:sz w:val="24"/>
      <w:szCs w:val="24"/>
      <w:lang w:eastAsia="es-CO"/>
    </w:rPr>
  </w:style>
  <w:style w:type="paragraph" w:customStyle="1" w:styleId="bordercol">
    <w:name w:val="border_col"/>
    <w:basedOn w:val="Normal"/>
    <w:rsid w:val="00401DFF"/>
    <w:pPr>
      <w:pBdr>
        <w:top w:val="dotted" w:sz="6" w:space="0" w:color="AEAEA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pplcom01">
    <w:name w:val="ttl_ppl_com01"/>
    <w:basedOn w:val="Normal"/>
    <w:rsid w:val="00401DFF"/>
    <w:pPr>
      <w:spacing w:before="100" w:beforeAutospacing="1" w:after="100" w:afterAutospacing="1" w:line="240" w:lineRule="auto"/>
    </w:pPr>
    <w:rPr>
      <w:rFonts w:ascii="Arial" w:eastAsia="Times New Roman" w:hAnsi="Arial" w:cs="Arial"/>
      <w:b/>
      <w:bCs/>
      <w:color w:val="333333"/>
      <w:sz w:val="29"/>
      <w:szCs w:val="29"/>
      <w:lang w:eastAsia="es-CO"/>
    </w:rPr>
  </w:style>
  <w:style w:type="paragraph" w:customStyle="1" w:styleId="outer">
    <w:name w:val="outer"/>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groupcolegas">
    <w:name w:val="cntr_group_colegas"/>
    <w:basedOn w:val="Normal"/>
    <w:rsid w:val="00401DFF"/>
    <w:pPr>
      <w:pBdr>
        <w:top w:val="single" w:sz="6" w:space="8"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01colegas">
    <w:name w:val="colum01_colegas"/>
    <w:basedOn w:val="Normal"/>
    <w:rsid w:val="00401DFF"/>
    <w:pPr>
      <w:pBdr>
        <w:bottom w:val="single" w:sz="6" w:space="0" w:color="EAEAEA"/>
      </w:pBdr>
      <w:spacing w:after="0" w:line="240" w:lineRule="auto"/>
      <w:ind w:left="75"/>
    </w:pPr>
    <w:rPr>
      <w:rFonts w:ascii="Times New Roman" w:eastAsia="Times New Roman" w:hAnsi="Times New Roman" w:cs="Times New Roman"/>
      <w:sz w:val="24"/>
      <w:szCs w:val="24"/>
      <w:lang w:eastAsia="es-CO"/>
    </w:rPr>
  </w:style>
  <w:style w:type="paragraph" w:customStyle="1" w:styleId="colum02colegas">
    <w:name w:val="colum02_colegas"/>
    <w:basedOn w:val="Normal"/>
    <w:rsid w:val="00401DFF"/>
    <w:pPr>
      <w:pBdr>
        <w:bottom w:val="single" w:sz="6" w:space="0" w:color="EAEAEA"/>
      </w:pBdr>
      <w:spacing w:after="0" w:line="240" w:lineRule="auto"/>
      <w:ind w:left="300"/>
    </w:pPr>
    <w:rPr>
      <w:rFonts w:ascii="Times New Roman" w:eastAsia="Times New Roman" w:hAnsi="Times New Roman" w:cs="Times New Roman"/>
      <w:sz w:val="24"/>
      <w:szCs w:val="24"/>
      <w:lang w:eastAsia="es-CO"/>
    </w:rPr>
  </w:style>
  <w:style w:type="paragraph" w:customStyle="1" w:styleId="cntrinfouser">
    <w:name w:val="cntr_info_user"/>
    <w:basedOn w:val="Normal"/>
    <w:rsid w:val="00401DFF"/>
    <w:pPr>
      <w:pBdr>
        <w:top w:val="single" w:sz="6" w:space="4" w:color="FFFFFF"/>
        <w:left w:val="single" w:sz="6" w:space="8" w:color="FFFFFF"/>
        <w:bottom w:val="single" w:sz="6" w:space="4" w:color="FFFFFF"/>
        <w:right w:val="single" w:sz="6" w:space="2" w:color="FFFFFF"/>
      </w:pBdr>
      <w:spacing w:before="75" w:after="225" w:line="240" w:lineRule="auto"/>
      <w:ind w:right="75"/>
    </w:pPr>
    <w:rPr>
      <w:rFonts w:ascii="Times New Roman" w:eastAsia="Times New Roman" w:hAnsi="Times New Roman" w:cs="Times New Roman"/>
      <w:sz w:val="24"/>
      <w:szCs w:val="24"/>
      <w:lang w:eastAsia="es-CO"/>
    </w:rPr>
  </w:style>
  <w:style w:type="paragraph" w:customStyle="1" w:styleId="cntrinfouseractive">
    <w:name w:val="cntr_info_user_activ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225" w:line="240" w:lineRule="auto"/>
      <w:ind w:right="75"/>
    </w:pPr>
    <w:rPr>
      <w:rFonts w:ascii="Times New Roman" w:eastAsia="Times New Roman" w:hAnsi="Times New Roman" w:cs="Times New Roman"/>
      <w:sz w:val="24"/>
      <w:szCs w:val="24"/>
      <w:lang w:eastAsia="es-CO"/>
    </w:rPr>
  </w:style>
  <w:style w:type="paragraph" w:customStyle="1" w:styleId="fotocolegas">
    <w:name w:val="foto_colegas"/>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
    <w:name w:val="cntr_links_us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user">
    <w:name w:val="name_user"/>
    <w:basedOn w:val="Normal"/>
    <w:rsid w:val="00401DFF"/>
    <w:pPr>
      <w:spacing w:before="100" w:beforeAutospacing="1" w:after="100" w:afterAutospacing="1" w:line="255" w:lineRule="atLeast"/>
    </w:pPr>
    <w:rPr>
      <w:rFonts w:ascii="Arial" w:eastAsia="Times New Roman" w:hAnsi="Arial" w:cs="Arial"/>
      <w:color w:val="006699"/>
      <w:sz w:val="17"/>
      <w:szCs w:val="17"/>
      <w:lang w:eastAsia="es-CO"/>
    </w:rPr>
  </w:style>
  <w:style w:type="paragraph" w:customStyle="1" w:styleId="lnk04n1">
    <w:name w:val="lnk04_n1"/>
    <w:basedOn w:val="Normal"/>
    <w:rsid w:val="00401DFF"/>
    <w:pPr>
      <w:spacing w:after="0" w:line="240" w:lineRule="auto"/>
      <w:ind w:left="1050"/>
    </w:pPr>
    <w:rPr>
      <w:rFonts w:ascii="Arial" w:eastAsia="Times New Roman" w:hAnsi="Arial" w:cs="Arial"/>
      <w:color w:val="2276BB"/>
      <w:sz w:val="17"/>
      <w:szCs w:val="17"/>
      <w:lang w:eastAsia="es-CO"/>
    </w:rPr>
  </w:style>
  <w:style w:type="paragraph" w:customStyle="1" w:styleId="lnk04n1disable">
    <w:name w:val="lnk04_n1_disable"/>
    <w:basedOn w:val="Normal"/>
    <w:rsid w:val="00401DFF"/>
    <w:pPr>
      <w:spacing w:after="0" w:line="240" w:lineRule="auto"/>
      <w:ind w:left="1050"/>
    </w:pPr>
    <w:rPr>
      <w:rFonts w:ascii="Arial" w:eastAsia="Times New Roman" w:hAnsi="Arial" w:cs="Arial"/>
      <w:color w:val="999999"/>
      <w:sz w:val="17"/>
      <w:szCs w:val="17"/>
      <w:lang w:eastAsia="es-CO"/>
    </w:rPr>
  </w:style>
  <w:style w:type="paragraph" w:customStyle="1" w:styleId="lnk04n">
    <w:name w:val="lnk04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lnk04ndisable">
    <w:name w:val="lnk04_n_disable"/>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lnk20n">
    <w:name w:val="lnk20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opcasignargrupo">
    <w:name w:val="opc_asignar_grup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opcasignar">
    <w:name w:val="ttl_opc_asignar"/>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ttlopcasignar01">
    <w:name w:val="ttl_opc_asignar01"/>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cntrgroupcoleg01">
    <w:name w:val="cntr_group_coleg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
    <w:name w:val="crear"/>
    <w:basedOn w:val="Normal"/>
    <w:rsid w:val="00401DFF"/>
    <w:pPr>
      <w:shd w:val="clear" w:color="auto" w:fill="E3F1FF"/>
      <w:spacing w:before="105" w:after="0" w:line="240" w:lineRule="auto"/>
    </w:pPr>
    <w:rPr>
      <w:rFonts w:ascii="Times New Roman" w:eastAsia="Times New Roman" w:hAnsi="Times New Roman" w:cs="Times New Roman"/>
      <w:sz w:val="24"/>
      <w:szCs w:val="24"/>
      <w:lang w:eastAsia="es-CO"/>
    </w:rPr>
  </w:style>
  <w:style w:type="paragraph" w:customStyle="1" w:styleId="cntrbtngrl01">
    <w:name w:val="cntr_btn_gr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sep02">
    <w:name w:val="line_sep02"/>
    <w:basedOn w:val="Normal"/>
    <w:rsid w:val="00401DFF"/>
    <w:pPr>
      <w:pBdr>
        <w:top w:val="dotted" w:sz="6" w:space="0"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sep02a">
    <w:name w:val="line_sep02_a"/>
    <w:basedOn w:val="Normal"/>
    <w:rsid w:val="00401DFF"/>
    <w:pPr>
      <w:pBdr>
        <w:bottom w:val="single" w:sz="12" w:space="0" w:color="EAEAEA"/>
      </w:pBdr>
      <w:spacing w:after="150" w:line="240" w:lineRule="auto"/>
    </w:pPr>
    <w:rPr>
      <w:rFonts w:ascii="Times New Roman" w:eastAsia="Times New Roman" w:hAnsi="Times New Roman" w:cs="Times New Roman"/>
      <w:sz w:val="24"/>
      <w:szCs w:val="24"/>
      <w:lang w:eastAsia="es-CO"/>
    </w:rPr>
  </w:style>
  <w:style w:type="paragraph" w:customStyle="1" w:styleId="cntrnamesgroups">
    <w:name w:val="cntr_names_groups"/>
    <w:basedOn w:val="Normal"/>
    <w:rsid w:val="00401DFF"/>
    <w:pPr>
      <w:spacing w:after="0" w:line="240" w:lineRule="auto"/>
      <w:ind w:left="15"/>
    </w:pPr>
    <w:rPr>
      <w:rFonts w:ascii="Times New Roman" w:eastAsia="Times New Roman" w:hAnsi="Times New Roman" w:cs="Times New Roman"/>
      <w:sz w:val="24"/>
      <w:szCs w:val="24"/>
      <w:lang w:eastAsia="es-CO"/>
    </w:rPr>
  </w:style>
  <w:style w:type="paragraph" w:customStyle="1" w:styleId="cntrnamesgroupsactive">
    <w:name w:val="cntr_names_groups_active"/>
    <w:basedOn w:val="Normal"/>
    <w:rsid w:val="00401DFF"/>
    <w:pPr>
      <w:pBdr>
        <w:left w:val="single" w:sz="6" w:space="9" w:color="DBEAF2"/>
        <w:bottom w:val="single" w:sz="6" w:space="5" w:color="F3F3F3"/>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active01">
    <w:name w:val="cntr_names_groups_active01"/>
    <w:basedOn w:val="Normal"/>
    <w:rsid w:val="00401DFF"/>
    <w:pPr>
      <w:pBdr>
        <w:top w:val="single" w:sz="6" w:space="5" w:color="F9F9F9"/>
        <w:left w:val="single" w:sz="6" w:space="9" w:color="F9F9F9"/>
        <w:bottom w:val="single" w:sz="6" w:space="5" w:color="F9F9F9"/>
        <w:right w:val="single" w:sz="6" w:space="0" w:color="F9F9F9"/>
      </w:pBdr>
      <w:shd w:val="clear" w:color="auto" w:fill="FCFCFC"/>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5n">
    <w:name w:val="lnk05_n"/>
    <w:basedOn w:val="Normal"/>
    <w:rsid w:val="00401DFF"/>
    <w:pPr>
      <w:pBdr>
        <w:left w:val="single" w:sz="6" w:space="6" w:color="C9C9C9"/>
      </w:pBdr>
      <w:spacing w:before="60" w:after="0" w:line="240" w:lineRule="auto"/>
      <w:ind w:left="60" w:right="45"/>
    </w:pPr>
    <w:rPr>
      <w:rFonts w:ascii="Arial" w:eastAsia="Times New Roman" w:hAnsi="Arial" w:cs="Arial"/>
      <w:color w:val="2276BB"/>
      <w:sz w:val="17"/>
      <w:szCs w:val="17"/>
      <w:lang w:eastAsia="es-CO"/>
    </w:rPr>
  </w:style>
  <w:style w:type="paragraph" w:customStyle="1" w:styleId="namespplgroups">
    <w:name w:val="names_ppl_groups"/>
    <w:basedOn w:val="Normal"/>
    <w:rsid w:val="00401DFF"/>
    <w:pPr>
      <w:spacing w:before="100" w:beforeAutospacing="1" w:after="100" w:afterAutospacing="1" w:line="240" w:lineRule="auto"/>
    </w:pPr>
    <w:rPr>
      <w:rFonts w:ascii="Arial" w:eastAsia="Times New Roman" w:hAnsi="Arial" w:cs="Arial"/>
      <w:b/>
      <w:bCs/>
      <w:color w:val="006699"/>
      <w:sz w:val="23"/>
      <w:szCs w:val="23"/>
      <w:lang w:eastAsia="es-CO"/>
    </w:rPr>
  </w:style>
  <w:style w:type="paragraph" w:customStyle="1" w:styleId="namespplgroupsactive">
    <w:name w:val="names_ppl_groups_active"/>
    <w:basedOn w:val="Normal"/>
    <w:rsid w:val="00401DFF"/>
    <w:pPr>
      <w:spacing w:before="100" w:beforeAutospacing="1" w:after="100" w:afterAutospacing="1" w:line="240" w:lineRule="auto"/>
    </w:pPr>
    <w:rPr>
      <w:rFonts w:ascii="Arial" w:eastAsia="Times New Roman" w:hAnsi="Arial" w:cs="Arial"/>
      <w:b/>
      <w:bCs/>
      <w:color w:val="006699"/>
      <w:sz w:val="21"/>
      <w:szCs w:val="21"/>
      <w:lang w:eastAsia="es-CO"/>
    </w:rPr>
  </w:style>
  <w:style w:type="paragraph" w:customStyle="1" w:styleId="cntrngroup">
    <w:name w:val="cntr_ngrou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amigoscomun">
    <w:name w:val="lnk_amigos_comun"/>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enviarmsj">
    <w:name w:val="lnk_amigos_enviar_msj"/>
    <w:basedOn w:val="Normal"/>
    <w:rsid w:val="00401DFF"/>
    <w:pPr>
      <w:pBdr>
        <w:left w:val="single" w:sz="6" w:space="4" w:color="CCCCCC"/>
      </w:pBd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agregar">
    <w:name w:val="lnk_amigos_agregar"/>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eliminar">
    <w:name w:val="lnk_amigos_eliminar"/>
    <w:basedOn w:val="Normal"/>
    <w:rsid w:val="00401DFF"/>
    <w:pPr>
      <w:spacing w:after="0" w:line="240" w:lineRule="auto"/>
      <w:ind w:left="135"/>
    </w:pPr>
    <w:rPr>
      <w:rFonts w:ascii="Arial" w:eastAsia="Times New Roman" w:hAnsi="Arial" w:cs="Arial"/>
      <w:color w:val="666666"/>
      <w:sz w:val="17"/>
      <w:szCs w:val="17"/>
      <w:lang w:eastAsia="es-CO"/>
    </w:rPr>
  </w:style>
  <w:style w:type="paragraph" w:customStyle="1" w:styleId="cntrsearchuser">
    <w:name w:val="cntr_search_user"/>
    <w:basedOn w:val="Normal"/>
    <w:rsid w:val="00401DFF"/>
    <w:pPr>
      <w:spacing w:before="75" w:after="0" w:line="240" w:lineRule="auto"/>
    </w:pPr>
    <w:rPr>
      <w:rFonts w:ascii="Times New Roman" w:eastAsia="Times New Roman" w:hAnsi="Times New Roman" w:cs="Times New Roman"/>
      <w:sz w:val="24"/>
      <w:szCs w:val="24"/>
      <w:lang w:eastAsia="es-CO"/>
    </w:rPr>
  </w:style>
  <w:style w:type="paragraph" w:customStyle="1" w:styleId="ttlsearchempty">
    <w:name w:val="ttl_search_empty"/>
    <w:basedOn w:val="Normal"/>
    <w:rsid w:val="00401DFF"/>
    <w:pPr>
      <w:spacing w:before="100" w:beforeAutospacing="1" w:after="100" w:afterAutospacing="1" w:line="270" w:lineRule="atLeast"/>
    </w:pPr>
    <w:rPr>
      <w:rFonts w:ascii="Arial" w:eastAsia="Times New Roman" w:hAnsi="Arial" w:cs="Arial"/>
      <w:b/>
      <w:bCs/>
      <w:color w:val="575757"/>
      <w:sz w:val="20"/>
      <w:szCs w:val="20"/>
      <w:lang w:eastAsia="es-CO"/>
    </w:rPr>
  </w:style>
  <w:style w:type="paragraph" w:customStyle="1" w:styleId="modulocrear">
    <w:name w:val="modulo_crear"/>
    <w:basedOn w:val="Normal"/>
    <w:rsid w:val="00401DFF"/>
    <w:pPr>
      <w:pBdr>
        <w:top w:val="single" w:sz="6" w:space="0" w:color="DBF0FB"/>
        <w:left w:val="single" w:sz="6" w:space="9" w:color="DBF0FB"/>
        <w:bottom w:val="single" w:sz="6" w:space="8" w:color="DBF0FB"/>
        <w:right w:val="single" w:sz="6" w:space="0" w:color="DBF0FB"/>
      </w:pBdr>
      <w:shd w:val="clear" w:color="auto" w:fill="F2F9FF"/>
      <w:spacing w:after="150" w:line="240" w:lineRule="auto"/>
    </w:pPr>
    <w:rPr>
      <w:rFonts w:ascii="Times New Roman" w:eastAsia="Times New Roman" w:hAnsi="Times New Roman" w:cs="Times New Roman"/>
      <w:sz w:val="24"/>
      <w:szCs w:val="24"/>
      <w:lang w:eastAsia="es-CO"/>
    </w:rPr>
  </w:style>
  <w:style w:type="paragraph" w:customStyle="1" w:styleId="crear01">
    <w:name w:val="crear01"/>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rear01input01">
    <w:name w:val="crear01_input_01"/>
    <w:basedOn w:val="Normal"/>
    <w:rsid w:val="00401DFF"/>
    <w:pPr>
      <w:pBdr>
        <w:top w:val="single" w:sz="6" w:space="2" w:color="A2D2F0"/>
        <w:left w:val="single" w:sz="6" w:space="2" w:color="A2D2F0"/>
        <w:bottom w:val="single" w:sz="6" w:space="0" w:color="A2D2F0"/>
        <w:right w:val="single" w:sz="6" w:space="0" w:color="A2D2F0"/>
      </w:pBdr>
      <w:shd w:val="clear" w:color="auto" w:fill="FFFFFF"/>
      <w:spacing w:before="60" w:after="75" w:line="240" w:lineRule="auto"/>
      <w:ind w:left="60" w:right="30"/>
    </w:pPr>
    <w:rPr>
      <w:rFonts w:ascii="Arial" w:eastAsia="Times New Roman" w:hAnsi="Arial" w:cs="Arial"/>
      <w:color w:val="333333"/>
      <w:sz w:val="20"/>
      <w:szCs w:val="20"/>
      <w:lang w:eastAsia="es-CO"/>
    </w:rPr>
  </w:style>
  <w:style w:type="paragraph" w:customStyle="1" w:styleId="crear01input02">
    <w:name w:val="crear01_input_02"/>
    <w:basedOn w:val="Normal"/>
    <w:rsid w:val="00401DFF"/>
    <w:pPr>
      <w:pBdr>
        <w:top w:val="single" w:sz="6" w:space="2" w:color="A2D2F0"/>
        <w:left w:val="single" w:sz="6" w:space="2" w:color="A2D2F0"/>
        <w:bottom w:val="single" w:sz="6" w:space="0" w:color="A2D2F0"/>
        <w:right w:val="single" w:sz="6" w:space="0" w:color="A2D2F0"/>
      </w:pBdr>
      <w:shd w:val="clear" w:color="auto" w:fill="FFFFFF"/>
      <w:spacing w:before="60" w:after="75" w:line="240" w:lineRule="auto"/>
      <w:ind w:left="60" w:right="30"/>
    </w:pPr>
    <w:rPr>
      <w:rFonts w:ascii="Arial" w:eastAsia="Times New Roman" w:hAnsi="Arial" w:cs="Arial"/>
      <w:color w:val="999999"/>
      <w:sz w:val="20"/>
      <w:szCs w:val="20"/>
      <w:lang w:eastAsia="es-CO"/>
    </w:rPr>
  </w:style>
  <w:style w:type="paragraph" w:customStyle="1" w:styleId="cntrgroupcolegas01">
    <w:name w:val="cntr_group_coleg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roupcolegasadd">
    <w:name w:val="cntr_group_colegas_ad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user01">
    <w:name w:val="cntr_info_user01"/>
    <w:basedOn w:val="Normal"/>
    <w:rsid w:val="00401DFF"/>
    <w:pPr>
      <w:spacing w:before="75" w:after="75" w:line="240" w:lineRule="auto"/>
    </w:pPr>
    <w:rPr>
      <w:rFonts w:ascii="Times New Roman" w:eastAsia="Times New Roman" w:hAnsi="Times New Roman" w:cs="Times New Roman"/>
      <w:sz w:val="24"/>
      <w:szCs w:val="24"/>
      <w:lang w:eastAsia="es-CO"/>
    </w:rPr>
  </w:style>
  <w:style w:type="paragraph" w:customStyle="1" w:styleId="colum03colegas">
    <w:name w:val="colum03_colegas"/>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olum04colegas">
    <w:name w:val="colum04_colegas"/>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fotocolegastam02">
    <w:name w:val="foto_colegas_tam02"/>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colegastam10">
    <w:name w:val="foto_colegas_tam10"/>
    <w:basedOn w:val="Normal"/>
    <w:rsid w:val="00401DFF"/>
    <w:pPr>
      <w:pBdr>
        <w:top w:val="single" w:sz="6" w:space="2" w:color="DFDFDF"/>
        <w:left w:val="single" w:sz="6" w:space="2" w:color="DFDFDF"/>
        <w:bottom w:val="single" w:sz="6" w:space="2" w:color="DFDFDF"/>
        <w:right w:val="single" w:sz="6" w:space="2" w:color="DFDFD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sultsearchuser">
    <w:name w:val="result_search_user"/>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lnk06n">
    <w:name w:val="lnk06_n"/>
    <w:basedOn w:val="Normal"/>
    <w:rsid w:val="00401DFF"/>
    <w:pPr>
      <w:spacing w:before="100" w:beforeAutospacing="1" w:after="100" w:afterAutospacing="1" w:line="240" w:lineRule="auto"/>
    </w:pPr>
    <w:rPr>
      <w:rFonts w:ascii="Arial" w:eastAsia="Times New Roman" w:hAnsi="Arial" w:cs="Arial"/>
      <w:color w:val="999999"/>
      <w:sz w:val="17"/>
      <w:szCs w:val="17"/>
      <w:lang w:eastAsia="es-CO"/>
    </w:rPr>
  </w:style>
  <w:style w:type="paragraph" w:customStyle="1" w:styleId="cntrinfouser02">
    <w:name w:val="cntr_info_user02"/>
    <w:basedOn w:val="Normal"/>
    <w:rsid w:val="00401DFF"/>
    <w:pPr>
      <w:pBdr>
        <w:top w:val="single" w:sz="6" w:space="8" w:color="FFFFFF"/>
        <w:left w:val="single" w:sz="6" w:space="8" w:color="FFFFFF"/>
        <w:bottom w:val="dotted" w:sz="6" w:space="8"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2active">
    <w:name w:val="cntr_info_user02_active"/>
    <w:basedOn w:val="Normal"/>
    <w:rsid w:val="00401DFF"/>
    <w:pPr>
      <w:pBdr>
        <w:top w:val="single" w:sz="2" w:space="8" w:color="DBF0FB"/>
        <w:left w:val="single" w:sz="6" w:space="8" w:color="DBF0FB"/>
        <w:bottom w:val="single" w:sz="6" w:space="8" w:color="DBF0FB"/>
        <w:right w:val="single" w:sz="6" w:space="2" w:color="DBF0FB"/>
      </w:pBdr>
      <w:shd w:val="clear" w:color="auto" w:fill="F2F9FF"/>
      <w:spacing w:after="0" w:line="240" w:lineRule="auto"/>
      <w:ind w:right="75"/>
    </w:pPr>
    <w:rPr>
      <w:rFonts w:ascii="Times New Roman" w:eastAsia="Times New Roman" w:hAnsi="Times New Roman" w:cs="Times New Roman"/>
      <w:sz w:val="24"/>
      <w:szCs w:val="24"/>
      <w:lang w:eastAsia="es-CO"/>
    </w:rPr>
  </w:style>
  <w:style w:type="paragraph" w:customStyle="1" w:styleId="moduloenviarmsj">
    <w:name w:val="modulo_enviar_msj"/>
    <w:basedOn w:val="Normal"/>
    <w:rsid w:val="00401DFF"/>
    <w:pPr>
      <w:shd w:val="clear" w:color="auto" w:fill="F2F9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03">
    <w:name w:val="crear03"/>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ntrlnksgroup01">
    <w:name w:val="cntr_lnks_group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grouppriv">
    <w:name w:val="ico_group_priv"/>
    <w:basedOn w:val="Normal"/>
    <w:rsid w:val="00401DFF"/>
    <w:pPr>
      <w:spacing w:after="0" w:line="240" w:lineRule="auto"/>
      <w:ind w:right="150"/>
    </w:pPr>
    <w:rPr>
      <w:rFonts w:ascii="Times New Roman" w:eastAsia="Times New Roman" w:hAnsi="Times New Roman" w:cs="Times New Roman"/>
      <w:sz w:val="24"/>
      <w:szCs w:val="24"/>
      <w:lang w:eastAsia="es-CO"/>
    </w:rPr>
  </w:style>
  <w:style w:type="paragraph" w:customStyle="1" w:styleId="sepautent01">
    <w:name w:val="sep_autent01"/>
    <w:basedOn w:val="Normal"/>
    <w:rsid w:val="00401DFF"/>
    <w:pPr>
      <w:pBdr>
        <w:left w:val="single" w:sz="6" w:space="0" w:color="CCCCCC"/>
      </w:pBdr>
      <w:spacing w:before="30" w:after="0" w:line="240" w:lineRule="auto"/>
      <w:ind w:left="120" w:right="30"/>
    </w:pPr>
    <w:rPr>
      <w:rFonts w:ascii="Times New Roman" w:eastAsia="Times New Roman" w:hAnsi="Times New Roman" w:cs="Times New Roman"/>
      <w:sz w:val="24"/>
      <w:szCs w:val="24"/>
      <w:lang w:eastAsia="es-CO"/>
    </w:rPr>
  </w:style>
  <w:style w:type="paragraph" w:customStyle="1" w:styleId="crear02">
    <w:name w:val="crear02"/>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cntrsttlgroup">
    <w:name w:val="cntr_sttl_grou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group">
    <w:name w:val="sttl_group"/>
    <w:basedOn w:val="Normal"/>
    <w:rsid w:val="00401DFF"/>
    <w:pPr>
      <w:spacing w:before="100" w:beforeAutospacing="1" w:after="100" w:afterAutospacing="1" w:line="240" w:lineRule="auto"/>
    </w:pPr>
    <w:rPr>
      <w:rFonts w:ascii="Arial" w:eastAsia="Times New Roman" w:hAnsi="Arial" w:cs="Arial"/>
      <w:b/>
      <w:bCs/>
      <w:color w:val="333333"/>
      <w:sz w:val="26"/>
      <w:szCs w:val="26"/>
      <w:lang w:eastAsia="es-CO"/>
    </w:rPr>
  </w:style>
  <w:style w:type="paragraph" w:customStyle="1" w:styleId="sttl01group">
    <w:name w:val="sttl01_group"/>
    <w:basedOn w:val="Normal"/>
    <w:rsid w:val="00401DFF"/>
    <w:pPr>
      <w:spacing w:before="100" w:beforeAutospacing="1" w:after="100" w:afterAutospacing="1" w:line="240" w:lineRule="auto"/>
    </w:pPr>
    <w:rPr>
      <w:rFonts w:ascii="Arial" w:eastAsia="Times New Roman" w:hAnsi="Arial" w:cs="Arial"/>
      <w:b/>
      <w:bCs/>
      <w:color w:val="333333"/>
      <w:sz w:val="20"/>
      <w:szCs w:val="20"/>
      <w:lang w:eastAsia="es-CO"/>
    </w:rPr>
  </w:style>
  <w:style w:type="paragraph" w:customStyle="1" w:styleId="linesep03">
    <w:name w:val="line_sep03"/>
    <w:basedOn w:val="Normal"/>
    <w:rsid w:val="00401DFF"/>
    <w:pPr>
      <w:pBdr>
        <w:top w:val="dotted" w:sz="6" w:space="0" w:color="AAD2FF"/>
      </w:pBdr>
      <w:spacing w:before="75" w:after="240" w:line="240" w:lineRule="auto"/>
      <w:ind w:right="120"/>
    </w:pPr>
    <w:rPr>
      <w:rFonts w:ascii="Times New Roman" w:eastAsia="Times New Roman" w:hAnsi="Times New Roman" w:cs="Times New Roman"/>
      <w:sz w:val="24"/>
      <w:szCs w:val="24"/>
      <w:lang w:eastAsia="es-CO"/>
    </w:rPr>
  </w:style>
  <w:style w:type="paragraph" w:customStyle="1" w:styleId="linesep03grupos">
    <w:name w:val="line_sep03grupos"/>
    <w:basedOn w:val="Normal"/>
    <w:rsid w:val="00401DFF"/>
    <w:pPr>
      <w:pBdr>
        <w:top w:val="dotted" w:sz="6" w:space="0" w:color="AAD2FF"/>
      </w:pBdr>
      <w:spacing w:before="120" w:after="105" w:line="240" w:lineRule="auto"/>
      <w:ind w:right="120"/>
    </w:pPr>
    <w:rPr>
      <w:rFonts w:ascii="Times New Roman" w:eastAsia="Times New Roman" w:hAnsi="Times New Roman" w:cs="Times New Roman"/>
      <w:sz w:val="24"/>
      <w:szCs w:val="24"/>
      <w:lang w:eastAsia="es-CO"/>
    </w:rPr>
  </w:style>
  <w:style w:type="paragraph" w:customStyle="1" w:styleId="linesep05">
    <w:name w:val="line_sep05"/>
    <w:basedOn w:val="Normal"/>
    <w:rsid w:val="00401DFF"/>
    <w:pPr>
      <w:pBdr>
        <w:top w:val="dotted" w:sz="6" w:space="0" w:color="AAD2FF"/>
      </w:pBdr>
      <w:spacing w:after="90" w:line="240" w:lineRule="auto"/>
      <w:ind w:right="120"/>
    </w:pPr>
    <w:rPr>
      <w:rFonts w:ascii="Times New Roman" w:eastAsia="Times New Roman" w:hAnsi="Times New Roman" w:cs="Times New Roman"/>
      <w:sz w:val="24"/>
      <w:szCs w:val="24"/>
      <w:lang w:eastAsia="es-CO"/>
    </w:rPr>
  </w:style>
  <w:style w:type="paragraph" w:customStyle="1" w:styleId="ttlpplcom02">
    <w:name w:val="ttl_ppl_com02"/>
    <w:basedOn w:val="Normal"/>
    <w:rsid w:val="00401DFF"/>
    <w:pPr>
      <w:spacing w:before="100" w:beforeAutospacing="1" w:after="100" w:afterAutospacing="1" w:line="240" w:lineRule="auto"/>
    </w:pPr>
    <w:rPr>
      <w:rFonts w:ascii="Arial" w:eastAsia="Times New Roman" w:hAnsi="Arial" w:cs="Arial"/>
      <w:b/>
      <w:bCs/>
      <w:color w:val="333333"/>
      <w:sz w:val="24"/>
      <w:szCs w:val="24"/>
      <w:lang w:eastAsia="es-CO"/>
    </w:rPr>
  </w:style>
  <w:style w:type="paragraph" w:customStyle="1" w:styleId="cntrlightagregar">
    <w:name w:val="cntr_light_agreg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05colegas">
    <w:name w:val="colum05_colegas"/>
    <w:basedOn w:val="Normal"/>
    <w:rsid w:val="00401DFF"/>
    <w:pPr>
      <w:spacing w:after="0" w:line="240" w:lineRule="auto"/>
      <w:ind w:left="150" w:right="150"/>
    </w:pPr>
    <w:rPr>
      <w:rFonts w:ascii="Times New Roman" w:eastAsia="Times New Roman" w:hAnsi="Times New Roman" w:cs="Times New Roman"/>
      <w:sz w:val="24"/>
      <w:szCs w:val="24"/>
      <w:lang w:eastAsia="es-CO"/>
    </w:rPr>
  </w:style>
  <w:style w:type="paragraph" w:customStyle="1" w:styleId="colum06colegas">
    <w:name w:val="colum06_colegas"/>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cntrlinksuser01">
    <w:name w:val="cntr_links_user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3">
    <w:name w:val="cntr_links_user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uscarcom01">
    <w:name w:val="cntr_buscar_com01"/>
    <w:basedOn w:val="Normal"/>
    <w:rsid w:val="00401DFF"/>
    <w:pPr>
      <w:pBdr>
        <w:top w:val="single" w:sz="6" w:space="0" w:color="EEEEEE"/>
        <w:left w:val="single" w:sz="2" w:space="11" w:color="EEEEEE"/>
        <w:bottom w:val="single" w:sz="6" w:space="0" w:color="EEEEEE"/>
        <w:right w:val="single" w:sz="2"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groupcolegas02">
    <w:name w:val="cntr_group_colega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lumnas">
    <w:name w:val="cntr_column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jsolicitudes">
    <w:name w:val="msj_solicitudes"/>
    <w:basedOn w:val="Normal"/>
    <w:rsid w:val="00401DFF"/>
    <w:pPr>
      <w:spacing w:before="75" w:after="0" w:line="240" w:lineRule="auto"/>
      <w:ind w:left="345"/>
    </w:pPr>
    <w:rPr>
      <w:rFonts w:ascii="Arial" w:eastAsia="Times New Roman" w:hAnsi="Arial" w:cs="Arial"/>
      <w:b/>
      <w:bCs/>
      <w:color w:val="333333"/>
      <w:sz w:val="18"/>
      <w:szCs w:val="18"/>
      <w:lang w:eastAsia="es-CO"/>
    </w:rPr>
  </w:style>
  <w:style w:type="paragraph" w:customStyle="1" w:styleId="cntrlinksuser02">
    <w:name w:val="cntr_links_user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inksuser02n">
    <w:name w:val="cntr_links_user02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informacion">
    <w:name w:val="txt_informacion"/>
    <w:basedOn w:val="Normal"/>
    <w:rsid w:val="00401DFF"/>
    <w:pPr>
      <w:spacing w:before="100" w:beforeAutospacing="1" w:after="100" w:afterAutospacing="1" w:line="255" w:lineRule="atLeast"/>
    </w:pPr>
    <w:rPr>
      <w:rFonts w:ascii="Arial" w:eastAsia="Times New Roman" w:hAnsi="Arial" w:cs="Arial"/>
      <w:color w:val="575757"/>
      <w:sz w:val="20"/>
      <w:szCs w:val="20"/>
      <w:lang w:eastAsia="es-CO"/>
    </w:rPr>
  </w:style>
  <w:style w:type="paragraph" w:customStyle="1" w:styleId="nameuser01">
    <w:name w:val="name_user01"/>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infouser01">
    <w:name w:val="info_user01"/>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btngrl">
    <w:name w:val="btn_grl"/>
    <w:basedOn w:val="Normal"/>
    <w:rsid w:val="00401DFF"/>
    <w:pPr>
      <w:spacing w:before="30" w:after="75" w:line="240" w:lineRule="auto"/>
    </w:pPr>
    <w:rPr>
      <w:rFonts w:ascii="Times New Roman" w:eastAsia="Times New Roman" w:hAnsi="Times New Roman" w:cs="Times New Roman"/>
      <w:sz w:val="24"/>
      <w:szCs w:val="24"/>
      <w:lang w:eastAsia="es-CO"/>
    </w:rPr>
  </w:style>
  <w:style w:type="paragraph" w:customStyle="1" w:styleId="btngrl01">
    <w:name w:val="btn_grl01"/>
    <w:basedOn w:val="Normal"/>
    <w:rsid w:val="00401DFF"/>
    <w:pPr>
      <w:spacing w:before="105" w:after="0" w:line="240" w:lineRule="auto"/>
    </w:pPr>
    <w:rPr>
      <w:rFonts w:ascii="Times New Roman" w:eastAsia="Times New Roman" w:hAnsi="Times New Roman" w:cs="Times New Roman"/>
      <w:sz w:val="24"/>
      <w:szCs w:val="24"/>
      <w:lang w:eastAsia="es-CO"/>
    </w:rPr>
  </w:style>
  <w:style w:type="paragraph" w:customStyle="1" w:styleId="cntrinfouser03">
    <w:name w:val="cntr_info_user03"/>
    <w:basedOn w:val="Normal"/>
    <w:rsid w:val="00401DFF"/>
    <w:pPr>
      <w:pBdr>
        <w:top w:val="single" w:sz="6" w:space="11" w:color="FFFFFF"/>
        <w:left w:val="single" w:sz="6" w:space="8" w:color="FFFFFF"/>
        <w:bottom w:val="dotted" w:sz="6"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3a">
    <w:name w:val="cntr_info_user03_a"/>
    <w:basedOn w:val="Normal"/>
    <w:rsid w:val="00401DFF"/>
    <w:pPr>
      <w:pBdr>
        <w:top w:val="single" w:sz="6" w:space="11" w:color="FFFFFF"/>
        <w:left w:val="single" w:sz="6" w:space="8" w:color="FFFFFF"/>
        <w:bottom w:val="dotted" w:sz="2"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infouser03active">
    <w:name w:val="cntr_info_user03_active"/>
    <w:basedOn w:val="Normal"/>
    <w:rsid w:val="00401DFF"/>
    <w:pPr>
      <w:pBdr>
        <w:top w:val="single" w:sz="6" w:space="11" w:color="FFFFFF"/>
        <w:left w:val="single" w:sz="6" w:space="8" w:color="FFFFFF"/>
        <w:bottom w:val="dotted" w:sz="6" w:space="11"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cntrmsgsolic">
    <w:name w:val="cntr_msg_solic"/>
    <w:basedOn w:val="Normal"/>
    <w:rsid w:val="00401DFF"/>
    <w:pPr>
      <w:spacing w:before="225" w:after="75" w:line="240" w:lineRule="auto"/>
      <w:ind w:right="75"/>
    </w:pPr>
    <w:rPr>
      <w:rFonts w:ascii="Times New Roman" w:eastAsia="Times New Roman" w:hAnsi="Times New Roman" w:cs="Times New Roman"/>
      <w:sz w:val="24"/>
      <w:szCs w:val="24"/>
      <w:lang w:eastAsia="es-CO"/>
    </w:rPr>
  </w:style>
  <w:style w:type="paragraph" w:customStyle="1" w:styleId="leftmsgsolic">
    <w:name w:val="left_msg_sol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idmsgsolic">
    <w:name w:val="mid_msg_solic"/>
    <w:basedOn w:val="Normal"/>
    <w:rsid w:val="00401DFF"/>
    <w:pPr>
      <w:pBdr>
        <w:top w:val="single" w:sz="12" w:space="2" w:color="F2E0AA"/>
        <w:bottom w:val="single" w:sz="12" w:space="0" w:color="F2E0AA"/>
      </w:pBdr>
      <w:shd w:val="clear" w:color="auto" w:fill="FFFFE1"/>
      <w:spacing w:before="100" w:beforeAutospacing="1" w:after="100" w:afterAutospacing="1" w:line="240" w:lineRule="auto"/>
      <w:jc w:val="center"/>
    </w:pPr>
    <w:rPr>
      <w:rFonts w:ascii="Arial" w:eastAsia="Times New Roman" w:hAnsi="Arial" w:cs="Arial"/>
      <w:color w:val="666666"/>
      <w:sz w:val="20"/>
      <w:szCs w:val="20"/>
      <w:lang w:eastAsia="es-CO"/>
    </w:rPr>
  </w:style>
  <w:style w:type="paragraph" w:customStyle="1" w:styleId="rightmsgsolic">
    <w:name w:val="right_msg_sol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iltromsg">
    <w:name w:val="cntr_filtro_msg"/>
    <w:basedOn w:val="Normal"/>
    <w:rsid w:val="00401DFF"/>
    <w:pPr>
      <w:pBdr>
        <w:top w:val="single" w:sz="6" w:space="4" w:color="E4E4E4"/>
        <w:bottom w:val="single" w:sz="6" w:space="4" w:color="E4E4E4"/>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filtromsg01">
    <w:name w:val="txt_filtro_msg01"/>
    <w:basedOn w:val="Normal"/>
    <w:rsid w:val="00401DFF"/>
    <w:pPr>
      <w:spacing w:before="100" w:beforeAutospacing="1" w:after="100" w:afterAutospacing="1" w:line="240" w:lineRule="auto"/>
    </w:pPr>
    <w:rPr>
      <w:rFonts w:ascii="Arial" w:eastAsia="Times New Roman" w:hAnsi="Arial" w:cs="Arial"/>
      <w:color w:val="575757"/>
      <w:sz w:val="20"/>
      <w:szCs w:val="20"/>
      <w:lang w:eastAsia="es-CO"/>
    </w:rPr>
  </w:style>
  <w:style w:type="paragraph" w:customStyle="1" w:styleId="cntrinfouser04">
    <w:name w:val="cntr_info_user04"/>
    <w:basedOn w:val="Normal"/>
    <w:rsid w:val="00401DFF"/>
    <w:pPr>
      <w:pBdr>
        <w:top w:val="single" w:sz="6" w:space="8" w:color="FFFFFF"/>
        <w:left w:val="single" w:sz="6" w:space="8" w:color="FFFFFF"/>
        <w:bottom w:val="dotted" w:sz="6" w:space="4" w:color="D4D4D4"/>
        <w:right w:val="single" w:sz="6" w:space="2" w:color="FFFFFF"/>
      </w:pBdr>
      <w:spacing w:after="0" w:line="240" w:lineRule="auto"/>
      <w:ind w:right="75"/>
    </w:pPr>
    <w:rPr>
      <w:rFonts w:ascii="Times New Roman" w:eastAsia="Times New Roman" w:hAnsi="Times New Roman" w:cs="Times New Roman"/>
      <w:sz w:val="24"/>
      <w:szCs w:val="24"/>
      <w:lang w:eastAsia="es-CO"/>
    </w:rPr>
  </w:style>
  <w:style w:type="paragraph" w:customStyle="1" w:styleId="lnkfecha">
    <w:name w:val="lnkfecha"/>
    <w:basedOn w:val="Normal"/>
    <w:rsid w:val="00401DFF"/>
    <w:pPr>
      <w:spacing w:before="100" w:beforeAutospacing="1" w:after="100" w:afterAutospacing="1" w:line="240" w:lineRule="auto"/>
    </w:pPr>
    <w:rPr>
      <w:rFonts w:ascii="Arial" w:eastAsia="Times New Roman" w:hAnsi="Arial" w:cs="Arial"/>
      <w:color w:val="999999"/>
      <w:sz w:val="15"/>
      <w:szCs w:val="15"/>
      <w:lang w:eastAsia="es-CO"/>
    </w:rPr>
  </w:style>
  <w:style w:type="paragraph" w:customStyle="1" w:styleId="lnktitlemsg">
    <w:name w:val="lnk_title_msg"/>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timehistorial">
    <w:name w:val="time_historial"/>
    <w:basedOn w:val="Normal"/>
    <w:rsid w:val="00401DFF"/>
    <w:pPr>
      <w:spacing w:before="100" w:beforeAutospacing="1" w:after="100" w:afterAutospacing="1" w:line="255" w:lineRule="atLeast"/>
    </w:pPr>
    <w:rPr>
      <w:rFonts w:ascii="Arial" w:eastAsia="Times New Roman" w:hAnsi="Arial" w:cs="Arial"/>
      <w:color w:val="666666"/>
      <w:sz w:val="17"/>
      <w:szCs w:val="17"/>
      <w:lang w:eastAsia="es-CO"/>
    </w:rPr>
  </w:style>
  <w:style w:type="paragraph" w:customStyle="1" w:styleId="lnk07n">
    <w:name w:val="lnk07_n"/>
    <w:basedOn w:val="Normal"/>
    <w:rsid w:val="00401DFF"/>
    <w:pPr>
      <w:spacing w:before="100" w:beforeAutospacing="1" w:after="100" w:afterAutospacing="1" w:line="240" w:lineRule="auto"/>
    </w:pPr>
    <w:rPr>
      <w:rFonts w:ascii="Arial" w:eastAsia="Times New Roman" w:hAnsi="Arial" w:cs="Arial"/>
      <w:color w:val="575757"/>
      <w:sz w:val="18"/>
      <w:szCs w:val="18"/>
      <w:lang w:eastAsia="es-CO"/>
    </w:rPr>
  </w:style>
  <w:style w:type="paragraph" w:customStyle="1" w:styleId="boxcomentario">
    <w:name w:val="box_comentario"/>
    <w:basedOn w:val="Normal"/>
    <w:rsid w:val="00401DFF"/>
    <w:pPr>
      <w:pBdr>
        <w:top w:val="single" w:sz="6" w:space="4" w:color="F8D181"/>
        <w:left w:val="single" w:sz="6" w:space="8" w:color="F8D181"/>
        <w:bottom w:val="single" w:sz="6" w:space="8" w:color="F8D181"/>
        <w:right w:val="single" w:sz="6" w:space="8" w:color="F8D181"/>
      </w:pBdr>
      <w:shd w:val="clear" w:color="auto" w:fill="FEF9D9"/>
      <w:spacing w:before="150" w:after="150" w:line="255" w:lineRule="atLeast"/>
      <w:ind w:left="150"/>
    </w:pPr>
    <w:rPr>
      <w:rFonts w:ascii="Arial" w:eastAsia="Times New Roman" w:hAnsi="Arial" w:cs="Arial"/>
      <w:color w:val="575757"/>
      <w:sz w:val="20"/>
      <w:szCs w:val="20"/>
      <w:lang w:eastAsia="es-CO"/>
    </w:rPr>
  </w:style>
  <w:style w:type="paragraph" w:customStyle="1" w:styleId="cntrbtncomment">
    <w:name w:val="cntr_btn_comment"/>
    <w:basedOn w:val="Normal"/>
    <w:rsid w:val="00401DFF"/>
    <w:pPr>
      <w:spacing w:before="30" w:after="30" w:line="240" w:lineRule="auto"/>
    </w:pPr>
    <w:rPr>
      <w:rFonts w:ascii="Times New Roman" w:eastAsia="Times New Roman" w:hAnsi="Times New Roman" w:cs="Times New Roman"/>
      <w:sz w:val="24"/>
      <w:szCs w:val="24"/>
      <w:lang w:eastAsia="es-CO"/>
    </w:rPr>
  </w:style>
  <w:style w:type="paragraph" w:customStyle="1" w:styleId="cntrpublicmensajes">
    <w:name w:val="cntr_public_mensajes"/>
    <w:basedOn w:val="Normal"/>
    <w:rsid w:val="00401DFF"/>
    <w:pPr>
      <w:pBdr>
        <w:top w:val="single" w:sz="6" w:space="0"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fotoenviados">
    <w:name w:val="cntr_foto_enviados"/>
    <w:basedOn w:val="Normal"/>
    <w:rsid w:val="00401DFF"/>
    <w:pPr>
      <w:spacing w:after="120" w:line="240" w:lineRule="auto"/>
    </w:pPr>
    <w:rPr>
      <w:rFonts w:ascii="Times New Roman" w:eastAsia="Times New Roman" w:hAnsi="Times New Roman" w:cs="Times New Roman"/>
      <w:sz w:val="24"/>
      <w:szCs w:val="24"/>
      <w:lang w:eastAsia="es-CO"/>
    </w:rPr>
  </w:style>
  <w:style w:type="paragraph" w:customStyle="1" w:styleId="fotocolegastam03">
    <w:name w:val="foto_colegas_tam03"/>
    <w:basedOn w:val="Normal"/>
    <w:rsid w:val="00401DFF"/>
    <w:pPr>
      <w:pBdr>
        <w:top w:val="single" w:sz="6" w:space="2" w:color="DFDFDF"/>
        <w:left w:val="single" w:sz="6" w:space="2" w:color="DFDFDF"/>
        <w:bottom w:val="single" w:sz="6" w:space="2" w:color="DFDFDF"/>
        <w:right w:val="single" w:sz="6" w:space="2" w:color="DFDFDF"/>
      </w:pBdr>
      <w:spacing w:after="0" w:line="240" w:lineRule="auto"/>
      <w:ind w:right="150"/>
    </w:pPr>
    <w:rPr>
      <w:rFonts w:ascii="Times New Roman" w:eastAsia="Times New Roman" w:hAnsi="Times New Roman" w:cs="Times New Roman"/>
      <w:sz w:val="24"/>
      <w:szCs w:val="24"/>
      <w:lang w:eastAsia="es-CO"/>
    </w:rPr>
  </w:style>
  <w:style w:type="paragraph" w:customStyle="1" w:styleId="cntrlnk01">
    <w:name w:val="cntr_lnk01"/>
    <w:basedOn w:val="Normal"/>
    <w:rsid w:val="00401DFF"/>
    <w:pPr>
      <w:spacing w:before="375" w:after="0" w:line="240" w:lineRule="auto"/>
    </w:pPr>
    <w:rPr>
      <w:rFonts w:ascii="Times New Roman" w:eastAsia="Times New Roman" w:hAnsi="Times New Roman" w:cs="Times New Roman"/>
      <w:sz w:val="24"/>
      <w:szCs w:val="24"/>
      <w:lang w:eastAsia="es-CO"/>
    </w:rPr>
  </w:style>
  <w:style w:type="paragraph" w:customStyle="1" w:styleId="namespplgroups01">
    <w:name w:val="names_ppl_groups01"/>
    <w:basedOn w:val="Normal"/>
    <w:rsid w:val="00401DFF"/>
    <w:pPr>
      <w:spacing w:before="180" w:after="120" w:line="240" w:lineRule="auto"/>
    </w:pPr>
    <w:rPr>
      <w:rFonts w:ascii="Arial" w:eastAsia="Times New Roman" w:hAnsi="Arial" w:cs="Arial"/>
      <w:b/>
      <w:bCs/>
      <w:color w:val="333333"/>
      <w:sz w:val="23"/>
      <w:szCs w:val="23"/>
      <w:lang w:eastAsia="es-CO"/>
    </w:rPr>
  </w:style>
  <w:style w:type="paragraph" w:customStyle="1" w:styleId="cntrnotasnew">
    <w:name w:val="cntr_notas_new"/>
    <w:basedOn w:val="Normal"/>
    <w:rsid w:val="00401DFF"/>
    <w:pPr>
      <w:spacing w:before="75" w:after="75" w:line="240" w:lineRule="auto"/>
    </w:pPr>
    <w:rPr>
      <w:rFonts w:ascii="Times New Roman" w:eastAsia="Times New Roman" w:hAnsi="Times New Roman" w:cs="Times New Roman"/>
      <w:sz w:val="24"/>
      <w:szCs w:val="24"/>
      <w:lang w:eastAsia="es-CO"/>
    </w:rPr>
  </w:style>
  <w:style w:type="paragraph" w:customStyle="1" w:styleId="cntrnotascomm">
    <w:name w:val="cntr_notas_comm"/>
    <w:basedOn w:val="Normal"/>
    <w:rsid w:val="00401DFF"/>
    <w:pPr>
      <w:spacing w:before="150" w:after="150" w:line="240" w:lineRule="auto"/>
    </w:pPr>
    <w:rPr>
      <w:rFonts w:ascii="Times New Roman" w:eastAsia="Times New Roman" w:hAnsi="Times New Roman" w:cs="Times New Roman"/>
      <w:sz w:val="24"/>
      <w:szCs w:val="24"/>
      <w:lang w:eastAsia="es-CO"/>
    </w:rPr>
  </w:style>
  <w:style w:type="paragraph" w:customStyle="1" w:styleId="boxcomm01lefttop">
    <w:name w:val="box_comm01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righttop">
    <w:name w:val="box_comm01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leftbottom">
    <w:name w:val="box_comm01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rightbottom">
    <w:name w:val="box_comm01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mid">
    <w:name w:val="box_comm01_mid"/>
    <w:basedOn w:val="Normal"/>
    <w:rsid w:val="00401DFF"/>
    <w:pPr>
      <w:pBdr>
        <w:top w:val="single" w:sz="2" w:space="0" w:color="F7E4C4"/>
        <w:left w:val="single" w:sz="6" w:space="4" w:color="F7E4C4"/>
        <w:bottom w:val="single" w:sz="2" w:space="0" w:color="F7E4C4"/>
        <w:right w:val="single" w:sz="6" w:space="4" w:color="F7E4C4"/>
      </w:pBdr>
      <w:shd w:val="clear" w:color="auto" w:fill="FEF9D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midopen">
    <w:name w:val="box_comm01_mid_open"/>
    <w:basedOn w:val="Normal"/>
    <w:rsid w:val="00401DFF"/>
    <w:pPr>
      <w:pBdr>
        <w:top w:val="single" w:sz="2" w:space="0" w:color="F7E4C4"/>
        <w:left w:val="single" w:sz="6" w:space="4" w:color="F7E4C4"/>
        <w:bottom w:val="single" w:sz="2" w:space="0" w:color="F7E4C4"/>
        <w:right w:val="single" w:sz="6" w:space="4" w:color="F7E4C4"/>
      </w:pBdr>
      <w:shd w:val="clear" w:color="auto" w:fill="FEF9D9"/>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mid">
    <w:name w:val="box_comm05_mid"/>
    <w:basedOn w:val="Normal"/>
    <w:rsid w:val="00401DFF"/>
    <w:pPr>
      <w:pBdr>
        <w:top w:val="single" w:sz="2" w:space="0" w:color="C4DFF7"/>
        <w:left w:val="single" w:sz="6" w:space="4" w:color="C4DFF7"/>
        <w:bottom w:val="single" w:sz="2" w:space="0" w:color="C4DFF7"/>
        <w:right w:val="single" w:sz="6" w:space="4" w:color="C4DFF7"/>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lefttop">
    <w:name w:val="box_comm02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righttop">
    <w:name w:val="box_comm02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leftbottom">
    <w:name w:val="box_comm02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rightbottom">
    <w:name w:val="box_comm02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mid">
    <w:name w:val="box_comm02_mid"/>
    <w:basedOn w:val="Normal"/>
    <w:rsid w:val="00401DFF"/>
    <w:pPr>
      <w:pBdr>
        <w:top w:val="single" w:sz="2" w:space="0" w:color="D0E8F2"/>
        <w:left w:val="single" w:sz="6" w:space="4" w:color="D0E8F2"/>
        <w:bottom w:val="single" w:sz="2" w:space="0" w:color="D0E8F2"/>
        <w:right w:val="single" w:sz="6" w:space="4" w:color="D0E8F2"/>
      </w:pBdr>
      <w:shd w:val="clear" w:color="auto" w:fill="F3F8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bordes">
    <w:name w:val="box_borde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n">
    <w:name w:val="cntr_notasn"/>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boxcomm02nmid">
    <w:name w:val="box_comm02n_mid"/>
    <w:basedOn w:val="Normal"/>
    <w:rsid w:val="00401DFF"/>
    <w:pPr>
      <w:pBdr>
        <w:top w:val="single" w:sz="2" w:space="0" w:color="D0E8F2"/>
        <w:left w:val="single" w:sz="6" w:space="4" w:color="D0E8F2"/>
        <w:bottom w:val="single" w:sz="2" w:space="0" w:color="D0E8F2"/>
        <w:right w:val="single" w:sz="6" w:space="4" w:color="D0E8F2"/>
      </w:pBdr>
      <w:shd w:val="clear" w:color="auto" w:fill="F3F8FD"/>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top">
    <w:name w:val="box_comm02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lefttop">
    <w:name w:val="box_comm02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righttop">
    <w:name w:val="box_comm02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leftbottom">
    <w:name w:val="box_comm02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rightbottom">
    <w:name w:val="box_comm02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2nbottom">
    <w:name w:val="box_comm02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lefttop">
    <w:name w:val="box_comm05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righttop">
    <w:name w:val="box_comm05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top">
    <w:name w:val="box_comm05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leftbottom">
    <w:name w:val="box_comm05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rightbottom">
    <w:name w:val="box_comm05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bottom">
    <w:name w:val="box_comm05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nmid">
    <w:name w:val="box_comm05n_mid"/>
    <w:basedOn w:val="Normal"/>
    <w:rsid w:val="00401DFF"/>
    <w:pPr>
      <w:pBdr>
        <w:top w:val="single" w:sz="2" w:space="0" w:color="C4DFF7"/>
        <w:left w:val="single" w:sz="6" w:space="4" w:color="C4DFF7"/>
        <w:bottom w:val="single" w:sz="2" w:space="0" w:color="C4DFF7"/>
        <w:right w:val="single" w:sz="6" w:space="4" w:color="C4DFF7"/>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top">
    <w:name w:val="box_comm03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lefttop">
    <w:name w:val="box_comm03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righttop">
    <w:name w:val="box_comm03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leftbottom">
    <w:name w:val="box_comm03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rightbottom">
    <w:name w:val="box_comm03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mid">
    <w:name w:val="box_comm03n_mid"/>
    <w:basedOn w:val="Normal"/>
    <w:rsid w:val="00401DFF"/>
    <w:pPr>
      <w:pBdr>
        <w:top w:val="single" w:sz="2" w:space="0" w:color="E8E8E8"/>
        <w:left w:val="single" w:sz="6" w:space="4" w:color="E8E8E8"/>
        <w:bottom w:val="single" w:sz="2" w:space="0" w:color="E8E8E8"/>
        <w:right w:val="single" w:sz="6" w:space="4" w:color="E8E8E8"/>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nbottom">
    <w:name w:val="box_comm03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mid">
    <w:name w:val="box_comm01n_mid"/>
    <w:basedOn w:val="Normal"/>
    <w:rsid w:val="00401DFF"/>
    <w:pPr>
      <w:pBdr>
        <w:top w:val="single" w:sz="2" w:space="0" w:color="F7E4C4"/>
        <w:left w:val="single" w:sz="6" w:space="4" w:color="F7E4C4"/>
        <w:bottom w:val="single" w:sz="2" w:space="0" w:color="F7E4C4"/>
        <w:right w:val="single" w:sz="6" w:space="4" w:color="F7E4C4"/>
      </w:pBdr>
      <w:shd w:val="clear" w:color="auto" w:fill="FDF7D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lefttop">
    <w:name w:val="box_comm01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righttop">
    <w:name w:val="box_comm01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leftbottom">
    <w:name w:val="box_comm01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rightbottom">
    <w:name w:val="box_comm01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top">
    <w:name w:val="box_comm01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1nbottom">
    <w:name w:val="box_comm01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lefttop">
    <w:name w:val="box_comm04n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righttop">
    <w:name w:val="box_comm04n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top">
    <w:name w:val="box_comm04n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leftbottom">
    <w:name w:val="box_comm04n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rightbottom">
    <w:name w:val="box_comm04n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bottom">
    <w:name w:val="box_comm04n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nmid">
    <w:name w:val="box_comm04n_mid"/>
    <w:basedOn w:val="Normal"/>
    <w:rsid w:val="00401DFF"/>
    <w:pPr>
      <w:pBdr>
        <w:top w:val="single" w:sz="2" w:space="0" w:color="F0D197"/>
        <w:left w:val="single" w:sz="6" w:space="4" w:color="F0D197"/>
        <w:bottom w:val="single" w:sz="2" w:space="0" w:color="F0D197"/>
        <w:right w:val="single" w:sz="6" w:space="4" w:color="F0D197"/>
      </w:pBdr>
      <w:shd w:val="clear" w:color="auto" w:fill="FEFBE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lefttop">
    <w:name w:val="box_comm03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righttop">
    <w:name w:val="box_comm03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leftbottom">
    <w:name w:val="box_comm03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rightbottom">
    <w:name w:val="box_comm03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3mid">
    <w:name w:val="box_comm03_mid"/>
    <w:basedOn w:val="Normal"/>
    <w:rsid w:val="00401DFF"/>
    <w:pPr>
      <w:pBdr>
        <w:top w:val="single" w:sz="2" w:space="0" w:color="E8E8E8"/>
        <w:left w:val="single" w:sz="6" w:space="4" w:color="E8E8E8"/>
        <w:bottom w:val="single" w:sz="2" w:space="0" w:color="E8E8E8"/>
        <w:right w:val="single" w:sz="6" w:space="4" w:color="E8E8E8"/>
      </w:pBdr>
      <w:shd w:val="clear" w:color="auto" w:fill="F8F8F8"/>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lefttop">
    <w:name w:val="box_comm04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righttop">
    <w:name w:val="box_comm04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leftbottom">
    <w:name w:val="box_comm04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rightbottom">
    <w:name w:val="box_comm04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4mid">
    <w:name w:val="box_comm04_mid"/>
    <w:basedOn w:val="Normal"/>
    <w:rsid w:val="00401DFF"/>
    <w:pPr>
      <w:pBdr>
        <w:top w:val="single" w:sz="2" w:space="0" w:color="F0D198"/>
        <w:left w:val="single" w:sz="6" w:space="4" w:color="F0D198"/>
        <w:bottom w:val="single" w:sz="2" w:space="0" w:color="F0D198"/>
        <w:right w:val="single" w:sz="6" w:space="4" w:color="F0D198"/>
      </w:pBdr>
      <w:shd w:val="clear" w:color="auto" w:fill="FEFAEB"/>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misnotasnew">
    <w:name w:val="ico_mis_notas_new"/>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epnotas01">
    <w:name w:val="sep_notas01"/>
    <w:basedOn w:val="Normal"/>
    <w:rsid w:val="00401DFF"/>
    <w:pPr>
      <w:pBdr>
        <w:right w:val="single" w:sz="6" w:space="0" w:color="F0CF97"/>
      </w:pBdr>
      <w:spacing w:after="0" w:line="240" w:lineRule="auto"/>
      <w:ind w:left="75" w:right="30"/>
    </w:pPr>
    <w:rPr>
      <w:rFonts w:ascii="Times New Roman" w:eastAsia="Times New Roman" w:hAnsi="Times New Roman" w:cs="Times New Roman"/>
      <w:sz w:val="24"/>
      <w:szCs w:val="24"/>
      <w:lang w:eastAsia="es-CO"/>
    </w:rPr>
  </w:style>
  <w:style w:type="paragraph" w:customStyle="1" w:styleId="sepnotas02">
    <w:name w:val="sep_notas02"/>
    <w:basedOn w:val="Normal"/>
    <w:rsid w:val="00401DFF"/>
    <w:pPr>
      <w:pBdr>
        <w:right w:val="single" w:sz="6" w:space="0" w:color="CCCCCC"/>
      </w:pBdr>
      <w:spacing w:before="60" w:after="0" w:line="240" w:lineRule="auto"/>
      <w:ind w:right="75"/>
    </w:pPr>
    <w:rPr>
      <w:rFonts w:ascii="Times New Roman" w:eastAsia="Times New Roman" w:hAnsi="Times New Roman" w:cs="Times New Roman"/>
      <w:sz w:val="24"/>
      <w:szCs w:val="24"/>
      <w:lang w:eastAsia="es-CO"/>
    </w:rPr>
  </w:style>
  <w:style w:type="paragraph" w:customStyle="1" w:styleId="sepnotas03">
    <w:name w:val="sep_notas03"/>
    <w:basedOn w:val="Normal"/>
    <w:rsid w:val="00401DFF"/>
    <w:pPr>
      <w:pBdr>
        <w:right w:val="single" w:sz="6" w:space="0" w:color="D7EAF4"/>
      </w:pBdr>
      <w:spacing w:after="0" w:line="240" w:lineRule="auto"/>
      <w:ind w:left="75" w:right="45"/>
    </w:pPr>
    <w:rPr>
      <w:rFonts w:ascii="Times New Roman" w:eastAsia="Times New Roman" w:hAnsi="Times New Roman" w:cs="Times New Roman"/>
      <w:sz w:val="24"/>
      <w:szCs w:val="24"/>
      <w:lang w:eastAsia="es-CO"/>
    </w:rPr>
  </w:style>
  <w:style w:type="paragraph" w:customStyle="1" w:styleId="sepnotas04">
    <w:name w:val="sep_notas04"/>
    <w:basedOn w:val="Normal"/>
    <w:rsid w:val="00401DFF"/>
    <w:pPr>
      <w:pBdr>
        <w:right w:val="single" w:sz="6" w:space="0" w:color="CCCCCC"/>
      </w:pBdr>
      <w:spacing w:before="75" w:after="0" w:line="240" w:lineRule="auto"/>
      <w:ind w:right="75"/>
    </w:pPr>
    <w:rPr>
      <w:rFonts w:ascii="Times New Roman" w:eastAsia="Times New Roman" w:hAnsi="Times New Roman" w:cs="Times New Roman"/>
      <w:sz w:val="24"/>
      <w:szCs w:val="24"/>
      <w:lang w:eastAsia="es-CO"/>
    </w:rPr>
  </w:style>
  <w:style w:type="paragraph" w:customStyle="1" w:styleId="cntrinfonotas01">
    <w:name w:val="cntr_info_not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notas02">
    <w:name w:val="cntr_info_notas02"/>
    <w:basedOn w:val="Normal"/>
    <w:rsid w:val="00401DFF"/>
    <w:pPr>
      <w:spacing w:before="45" w:after="0" w:line="240" w:lineRule="auto"/>
    </w:pPr>
    <w:rPr>
      <w:rFonts w:ascii="Times New Roman" w:eastAsia="Times New Roman" w:hAnsi="Times New Roman" w:cs="Times New Roman"/>
      <w:sz w:val="24"/>
      <w:szCs w:val="24"/>
      <w:lang w:eastAsia="es-CO"/>
    </w:rPr>
  </w:style>
  <w:style w:type="paragraph" w:customStyle="1" w:styleId="cntrinfonotas03">
    <w:name w:val="cntr_info_notas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xtnotas01">
    <w:name w:val="txt_notas01"/>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txtnotas02">
    <w:name w:val="txt_notas02"/>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txtnotas03">
    <w:name w:val="txt_notas03"/>
    <w:basedOn w:val="Normal"/>
    <w:rsid w:val="00401DFF"/>
    <w:pPr>
      <w:spacing w:before="45" w:after="0" w:line="240" w:lineRule="auto"/>
    </w:pPr>
    <w:rPr>
      <w:rFonts w:ascii="Arial" w:eastAsia="Times New Roman" w:hAnsi="Arial" w:cs="Arial"/>
      <w:color w:val="939393"/>
      <w:sz w:val="15"/>
      <w:szCs w:val="15"/>
      <w:lang w:eastAsia="es-CO"/>
    </w:rPr>
  </w:style>
  <w:style w:type="paragraph" w:customStyle="1" w:styleId="txtnotas04">
    <w:name w:val="txt_notas04"/>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fotocolegastam04">
    <w:name w:val="foto_colegas_tam04"/>
    <w:basedOn w:val="Normal"/>
    <w:rsid w:val="00401DFF"/>
    <w:pPr>
      <w:pBdr>
        <w:top w:val="single" w:sz="6" w:space="1" w:color="DFDFDF"/>
        <w:left w:val="single" w:sz="6" w:space="1" w:color="DFDFDF"/>
        <w:bottom w:val="single" w:sz="6" w:space="1" w:color="DFDFDF"/>
        <w:right w:val="single" w:sz="6" w:space="1" w:color="DFDFDF"/>
      </w:pBdr>
      <w:shd w:val="clear" w:color="auto" w:fill="FFFFFF"/>
      <w:spacing w:after="0" w:line="240" w:lineRule="auto"/>
      <w:ind w:right="45"/>
    </w:pPr>
    <w:rPr>
      <w:rFonts w:ascii="Times New Roman" w:eastAsia="Times New Roman" w:hAnsi="Times New Roman" w:cs="Times New Roman"/>
      <w:sz w:val="24"/>
      <w:szCs w:val="24"/>
      <w:lang w:eastAsia="es-CO"/>
    </w:rPr>
  </w:style>
  <w:style w:type="paragraph" w:customStyle="1" w:styleId="cntrlnk02">
    <w:name w:val="cntr_lnk02"/>
    <w:basedOn w:val="Normal"/>
    <w:rsid w:val="00401DFF"/>
    <w:pPr>
      <w:spacing w:before="75" w:after="0" w:line="240" w:lineRule="auto"/>
      <w:ind w:left="75"/>
    </w:pPr>
    <w:rPr>
      <w:rFonts w:ascii="Times New Roman" w:eastAsia="Times New Roman" w:hAnsi="Times New Roman" w:cs="Times New Roman"/>
      <w:sz w:val="24"/>
      <w:szCs w:val="24"/>
      <w:lang w:eastAsia="es-CO"/>
    </w:rPr>
  </w:style>
  <w:style w:type="paragraph" w:customStyle="1" w:styleId="cntrnotasfotos">
    <w:name w:val="cntr_notas_fot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ent">
    <w:name w:val="cntr_comment"/>
    <w:basedOn w:val="Normal"/>
    <w:rsid w:val="00401DFF"/>
    <w:pPr>
      <w:shd w:val="clear" w:color="auto" w:fill="FCEEC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oxconversacion">
    <w:name w:val="cntr_box_conversacion"/>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colegasconvers">
    <w:name w:val="cntr_colegas_conver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ttl01comment">
    <w:name w:val="sttl01_comment"/>
    <w:basedOn w:val="Normal"/>
    <w:rsid w:val="00401DFF"/>
    <w:pPr>
      <w:spacing w:before="100" w:beforeAutospacing="1" w:after="100" w:afterAutospacing="1" w:line="240" w:lineRule="auto"/>
    </w:pPr>
    <w:rPr>
      <w:rFonts w:ascii="Arial" w:eastAsia="Times New Roman" w:hAnsi="Arial" w:cs="Arial"/>
      <w:b/>
      <w:bCs/>
      <w:color w:val="333333"/>
      <w:sz w:val="23"/>
      <w:szCs w:val="23"/>
      <w:lang w:eastAsia="es-CO"/>
    </w:rPr>
  </w:style>
  <w:style w:type="paragraph" w:customStyle="1" w:styleId="cntrcheck">
    <w:name w:val="cntr_check"/>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namescomm">
    <w:name w:val="cntr_names_com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commactive">
    <w:name w:val="cntr_names_comm_active"/>
    <w:basedOn w:val="Normal"/>
    <w:rsid w:val="00401DFF"/>
    <w:pPr>
      <w:pBdr>
        <w:top w:val="single" w:sz="6" w:space="1" w:color="D9B359"/>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spplgroups011">
    <w:name w:val="names_ppl_groups011"/>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namespplgroups011active">
    <w:name w:val="names_ppl_groups011_active"/>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cntrnamesgroups02">
    <w:name w:val="cntr_names_group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02a">
    <w:name w:val="cntr_names_groups02_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amesgroups02b">
    <w:name w:val="cntr_names_groups02_b"/>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02">
    <w:name w:val="btn_grl02"/>
    <w:basedOn w:val="Normal"/>
    <w:rsid w:val="00401DFF"/>
    <w:pPr>
      <w:spacing w:before="105" w:after="0" w:line="240" w:lineRule="auto"/>
      <w:ind w:right="150"/>
    </w:pPr>
    <w:rPr>
      <w:rFonts w:ascii="Times New Roman" w:eastAsia="Times New Roman" w:hAnsi="Times New Roman" w:cs="Times New Roman"/>
      <w:sz w:val="24"/>
      <w:szCs w:val="24"/>
      <w:lang w:eastAsia="es-CO"/>
    </w:rPr>
  </w:style>
  <w:style w:type="paragraph" w:customStyle="1" w:styleId="cntrusernotes">
    <w:name w:val="cntr_user_notes"/>
    <w:basedOn w:val="Normal"/>
    <w:rsid w:val="00401DFF"/>
    <w:pPr>
      <w:spacing w:after="0" w:line="240" w:lineRule="auto"/>
      <w:ind w:left="450"/>
    </w:pPr>
    <w:rPr>
      <w:rFonts w:ascii="Times New Roman" w:eastAsia="Times New Roman" w:hAnsi="Times New Roman" w:cs="Times New Roman"/>
      <w:sz w:val="24"/>
      <w:szCs w:val="24"/>
      <w:lang w:eastAsia="es-CO"/>
    </w:rPr>
  </w:style>
  <w:style w:type="paragraph" w:customStyle="1" w:styleId="cntrusuarios">
    <w:name w:val="cntr_usuarios"/>
    <w:basedOn w:val="Normal"/>
    <w:rsid w:val="00401DFF"/>
    <w:pPr>
      <w:spacing w:after="0" w:line="240" w:lineRule="auto"/>
      <w:ind w:right="300"/>
    </w:pPr>
    <w:rPr>
      <w:rFonts w:ascii="Times New Roman" w:eastAsia="Times New Roman" w:hAnsi="Times New Roman" w:cs="Times New Roman"/>
      <w:sz w:val="24"/>
      <w:szCs w:val="24"/>
      <w:lang w:eastAsia="es-CO"/>
    </w:rPr>
  </w:style>
  <w:style w:type="paragraph" w:customStyle="1" w:styleId="cntrinfo01colegas">
    <w:name w:val="cntr_info01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info02colegas">
    <w:name w:val="cntr_info02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fotos01">
    <w:name w:val="cntr_notas_foto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gral">
    <w:name w:val="cntr_comm_gr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fotocolegastam05">
    <w:name w:val="foto_colegas_tam05"/>
    <w:basedOn w:val="Normal"/>
    <w:rsid w:val="00401DFF"/>
    <w:pPr>
      <w:pBdr>
        <w:top w:val="single" w:sz="6" w:space="2" w:color="DFDFDF"/>
        <w:left w:val="single" w:sz="6" w:space="2" w:color="DFDFDF"/>
        <w:bottom w:val="single" w:sz="6" w:space="2" w:color="DFDFDF"/>
        <w:right w:val="single" w:sz="6" w:space="2" w:color="DFDFDF"/>
      </w:pBdr>
      <w:spacing w:before="45" w:after="0" w:line="240" w:lineRule="auto"/>
    </w:pPr>
    <w:rPr>
      <w:rFonts w:ascii="Times New Roman" w:eastAsia="Times New Roman" w:hAnsi="Times New Roman" w:cs="Times New Roman"/>
      <w:sz w:val="24"/>
      <w:szCs w:val="24"/>
      <w:lang w:eastAsia="es-CO"/>
    </w:rPr>
  </w:style>
  <w:style w:type="paragraph" w:customStyle="1" w:styleId="cntrcommcolegas">
    <w:name w:val="cntr_comm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colegas01">
    <w:name w:val="cntr_comm_colega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names">
    <w:name w:val="names"/>
    <w:basedOn w:val="Normal"/>
    <w:rsid w:val="00401DFF"/>
    <w:pPr>
      <w:spacing w:before="100" w:beforeAutospacing="1" w:after="100" w:afterAutospacing="1" w:line="240" w:lineRule="auto"/>
    </w:pPr>
    <w:rPr>
      <w:rFonts w:ascii="Arial" w:eastAsia="Times New Roman" w:hAnsi="Arial" w:cs="Arial"/>
      <w:b/>
      <w:bCs/>
      <w:color w:val="006699"/>
      <w:sz w:val="20"/>
      <w:szCs w:val="20"/>
      <w:lang w:eastAsia="es-CO"/>
    </w:rPr>
  </w:style>
  <w:style w:type="paragraph" w:customStyle="1" w:styleId="cntrlines">
    <w:name w:val="cntr_line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1">
    <w:name w:val="line01"/>
    <w:basedOn w:val="Normal"/>
    <w:rsid w:val="00401DFF"/>
    <w:pPr>
      <w:pBdr>
        <w:top w:val="single" w:sz="6" w:space="0" w:color="E6F0FB"/>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2">
    <w:name w:val="line02"/>
    <w:basedOn w:val="Normal"/>
    <w:rsid w:val="00401DFF"/>
    <w:pPr>
      <w:pBdr>
        <w:top w:val="single" w:sz="6" w:space="0" w:color="FBFDF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3">
    <w:name w:val="line03"/>
    <w:basedOn w:val="Normal"/>
    <w:rsid w:val="00401DFF"/>
    <w:pPr>
      <w:pBdr>
        <w:top w:val="single" w:sz="6" w:space="0" w:color="FEFCE9"/>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4">
    <w:name w:val="line04"/>
    <w:basedOn w:val="Normal"/>
    <w:rsid w:val="00401DFF"/>
    <w:pPr>
      <w:pBdr>
        <w:top w:val="single" w:sz="6" w:space="0" w:color="E6F0FB"/>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e05">
    <w:name w:val="line05"/>
    <w:basedOn w:val="Normal"/>
    <w:rsid w:val="00401DFF"/>
    <w:pPr>
      <w:pBdr>
        <w:top w:val="single" w:sz="6" w:space="0" w:color="FAEED8"/>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mmentgral">
    <w:name w:val="comment_gral"/>
    <w:basedOn w:val="Normal"/>
    <w:rsid w:val="00401DFF"/>
    <w:pPr>
      <w:spacing w:before="100" w:beforeAutospacing="1" w:after="100" w:afterAutospacing="1" w:line="255" w:lineRule="atLeast"/>
    </w:pPr>
    <w:rPr>
      <w:rFonts w:ascii="Arial" w:eastAsia="Times New Roman" w:hAnsi="Arial" w:cs="Arial"/>
      <w:color w:val="575757"/>
      <w:sz w:val="20"/>
      <w:szCs w:val="20"/>
      <w:lang w:eastAsia="es-CO"/>
    </w:rPr>
  </w:style>
  <w:style w:type="paragraph" w:customStyle="1" w:styleId="btngrl03">
    <w:name w:val="btn_grl03"/>
    <w:basedOn w:val="Normal"/>
    <w:rsid w:val="00401DFF"/>
    <w:pPr>
      <w:spacing w:after="0" w:line="240" w:lineRule="auto"/>
      <w:ind w:right="45"/>
    </w:pPr>
    <w:rPr>
      <w:rFonts w:ascii="Times New Roman" w:eastAsia="Times New Roman" w:hAnsi="Times New Roman" w:cs="Times New Roman"/>
      <w:sz w:val="24"/>
      <w:szCs w:val="24"/>
      <w:lang w:eastAsia="es-CO"/>
    </w:rPr>
  </w:style>
  <w:style w:type="paragraph" w:customStyle="1" w:styleId="cntropc01">
    <w:name w:val="cntr_opc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ink08">
    <w:name w:val="link08"/>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comment01">
    <w:name w:val="cntr_comment01"/>
    <w:basedOn w:val="Normal"/>
    <w:rsid w:val="00401DFF"/>
    <w:pPr>
      <w:shd w:val="clear" w:color="auto" w:fill="E2EFFA"/>
      <w:spacing w:after="0" w:line="240" w:lineRule="auto"/>
    </w:pPr>
    <w:rPr>
      <w:rFonts w:ascii="Times New Roman" w:eastAsia="Times New Roman" w:hAnsi="Times New Roman" w:cs="Times New Roman"/>
      <w:sz w:val="24"/>
      <w:szCs w:val="24"/>
      <w:lang w:eastAsia="es-CO"/>
    </w:rPr>
  </w:style>
  <w:style w:type="paragraph" w:customStyle="1" w:styleId="cntrcomment02">
    <w:name w:val="cntr_comment02"/>
    <w:basedOn w:val="Normal"/>
    <w:rsid w:val="00401DFF"/>
    <w:pPr>
      <w:shd w:val="clear" w:color="auto" w:fill="E9E9E9"/>
      <w:spacing w:after="0" w:line="240" w:lineRule="auto"/>
    </w:pPr>
    <w:rPr>
      <w:rFonts w:ascii="Times New Roman" w:eastAsia="Times New Roman" w:hAnsi="Times New Roman" w:cs="Times New Roman"/>
      <w:sz w:val="24"/>
      <w:szCs w:val="24"/>
      <w:lang w:eastAsia="es-CO"/>
    </w:rPr>
  </w:style>
  <w:style w:type="paragraph" w:customStyle="1" w:styleId="boxcomm05lefttop">
    <w:name w:val="box_comm05_lef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righttop">
    <w:name w:val="box_comm05_right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leftbottom">
    <w:name w:val="box_comm05_lef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comm05rightbottom">
    <w:name w:val="box_comm05_right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usernotes01">
    <w:name w:val="cntr_user_notes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
    <w:name w:val="cntr_conversacio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01">
    <w:name w:val="cntr_conversacio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nversacion02">
    <w:name w:val="cntr_conversacion02"/>
    <w:basedOn w:val="Normal"/>
    <w:rsid w:val="00401DFF"/>
    <w:pPr>
      <w:spacing w:after="0" w:line="240" w:lineRule="auto"/>
      <w:ind w:left="75" w:right="75"/>
    </w:pPr>
    <w:rPr>
      <w:rFonts w:ascii="Times New Roman" w:eastAsia="Times New Roman" w:hAnsi="Times New Roman" w:cs="Times New Roman"/>
      <w:sz w:val="24"/>
      <w:szCs w:val="24"/>
      <w:lang w:eastAsia="es-CO"/>
    </w:rPr>
  </w:style>
  <w:style w:type="paragraph" w:customStyle="1" w:styleId="notificacion">
    <w:name w:val="notificacion"/>
    <w:basedOn w:val="Normal"/>
    <w:rsid w:val="00401DFF"/>
    <w:pPr>
      <w:pBdr>
        <w:top w:val="single" w:sz="6" w:space="2" w:color="F5D894"/>
        <w:left w:val="single" w:sz="6" w:space="20" w:color="F5D894"/>
        <w:bottom w:val="single" w:sz="6" w:space="0" w:color="F5D894"/>
        <w:right w:val="single" w:sz="6" w:space="0" w:color="F5D894"/>
      </w:pBdr>
      <w:shd w:val="clear" w:color="auto" w:fill="FEFBF3"/>
      <w:spacing w:after="120" w:line="240" w:lineRule="auto"/>
    </w:pPr>
    <w:rPr>
      <w:rFonts w:ascii="Arial" w:eastAsia="Times New Roman" w:hAnsi="Arial" w:cs="Arial"/>
      <w:color w:val="C14E00"/>
      <w:sz w:val="17"/>
      <w:szCs w:val="17"/>
      <w:lang w:eastAsia="es-CO"/>
    </w:rPr>
  </w:style>
  <w:style w:type="paragraph" w:customStyle="1" w:styleId="cntropc02">
    <w:name w:val="cntr_opc02"/>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commcolegas02">
    <w:name w:val="cntr_comm_colegas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cogrouppriv01">
    <w:name w:val="ico_group_priv01"/>
    <w:basedOn w:val="Normal"/>
    <w:rsid w:val="00401DFF"/>
    <w:pPr>
      <w:spacing w:after="0" w:line="240" w:lineRule="auto"/>
      <w:ind w:right="30"/>
    </w:pPr>
    <w:rPr>
      <w:rFonts w:ascii="Times New Roman" w:eastAsia="Times New Roman" w:hAnsi="Times New Roman" w:cs="Times New Roman"/>
      <w:sz w:val="24"/>
      <w:szCs w:val="24"/>
      <w:lang w:eastAsia="es-CO"/>
    </w:rPr>
  </w:style>
  <w:style w:type="paragraph" w:customStyle="1" w:styleId="cntrlnk03">
    <w:name w:val="cntr_lnk03"/>
    <w:basedOn w:val="Normal"/>
    <w:rsid w:val="00401DFF"/>
    <w:pPr>
      <w:spacing w:before="30" w:after="75" w:line="240" w:lineRule="auto"/>
      <w:ind w:left="45" w:right="75"/>
    </w:pPr>
    <w:rPr>
      <w:rFonts w:ascii="Times New Roman" w:eastAsia="Times New Roman" w:hAnsi="Times New Roman" w:cs="Times New Roman"/>
      <w:sz w:val="24"/>
      <w:szCs w:val="24"/>
      <w:lang w:eastAsia="es-CO"/>
    </w:rPr>
  </w:style>
  <w:style w:type="paragraph" w:customStyle="1" w:styleId="lnk08n">
    <w:name w:val="lnk08_n"/>
    <w:basedOn w:val="Normal"/>
    <w:rsid w:val="00401DFF"/>
    <w:pPr>
      <w:spacing w:before="100" w:beforeAutospacing="1" w:after="100" w:afterAutospacing="1" w:line="240" w:lineRule="auto"/>
    </w:pPr>
    <w:rPr>
      <w:rFonts w:ascii="Arial" w:eastAsia="Times New Roman" w:hAnsi="Arial" w:cs="Arial"/>
      <w:color w:val="2276BB"/>
      <w:sz w:val="17"/>
      <w:szCs w:val="17"/>
      <w:lang w:eastAsia="es-CO"/>
    </w:rPr>
  </w:style>
  <w:style w:type="paragraph" w:customStyle="1" w:styleId="cntrinfonotas04">
    <w:name w:val="cntr_info_notas04"/>
    <w:basedOn w:val="Normal"/>
    <w:rsid w:val="00401DFF"/>
    <w:pPr>
      <w:pBdr>
        <w:top w:val="single" w:sz="6" w:space="0" w:color="F3F8FD"/>
        <w:left w:val="single" w:sz="6" w:space="0" w:color="F3F8FD"/>
        <w:bottom w:val="single" w:sz="6" w:space="0" w:color="F3F8FD"/>
        <w:right w:val="single" w:sz="6" w:space="0" w:color="F3F8FD"/>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mment04">
    <w:name w:val="cntr_comment04"/>
    <w:basedOn w:val="Normal"/>
    <w:rsid w:val="00401DFF"/>
    <w:pPr>
      <w:shd w:val="clear" w:color="auto" w:fill="FCEEC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trltextarea">
    <w:name w:val="ctrl_text_area"/>
    <w:basedOn w:val="Normal"/>
    <w:rsid w:val="00401DFF"/>
    <w:pPr>
      <w:pBdr>
        <w:top w:val="single" w:sz="6" w:space="0" w:color="DFDFDF"/>
        <w:left w:val="single" w:sz="6" w:space="0" w:color="DFDFDF"/>
        <w:bottom w:val="single" w:sz="6" w:space="0" w:color="DFDFDF"/>
        <w:right w:val="single" w:sz="6" w:space="0" w:color="DFDFDF"/>
      </w:pBdr>
      <w:spacing w:before="100" w:beforeAutospacing="1" w:after="100" w:afterAutospacing="1" w:line="270" w:lineRule="atLeast"/>
    </w:pPr>
    <w:rPr>
      <w:rFonts w:ascii="Arial" w:eastAsia="Times New Roman" w:hAnsi="Arial" w:cs="Arial"/>
      <w:color w:val="575757"/>
      <w:sz w:val="20"/>
      <w:szCs w:val="20"/>
      <w:lang w:eastAsia="es-CO"/>
    </w:rPr>
  </w:style>
  <w:style w:type="paragraph" w:customStyle="1" w:styleId="cntrperfil01">
    <w:name w:val="cntr_perfil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izq01">
    <w:name w:val="col_perfil_izq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perfilder01">
    <w:name w:val="col_perfil_der01"/>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nameppluser01">
    <w:name w:val="name_ppl_user01"/>
    <w:basedOn w:val="Normal"/>
    <w:rsid w:val="00401DFF"/>
    <w:pPr>
      <w:spacing w:before="100" w:beforeAutospacing="1" w:after="100" w:afterAutospacing="1" w:line="240" w:lineRule="auto"/>
    </w:pPr>
    <w:rPr>
      <w:rFonts w:ascii="Arial" w:eastAsia="Times New Roman" w:hAnsi="Arial" w:cs="Arial"/>
      <w:b/>
      <w:bCs/>
      <w:color w:val="333333"/>
      <w:sz w:val="23"/>
      <w:szCs w:val="23"/>
      <w:lang w:eastAsia="es-CO"/>
    </w:rPr>
  </w:style>
  <w:style w:type="paragraph" w:customStyle="1" w:styleId="lnkgrl02">
    <w:name w:val="lnk_grl02"/>
    <w:basedOn w:val="Normal"/>
    <w:rsid w:val="00401DFF"/>
    <w:pPr>
      <w:spacing w:before="100" w:beforeAutospacing="1" w:after="100" w:afterAutospacing="1" w:line="240" w:lineRule="auto"/>
    </w:pPr>
    <w:rPr>
      <w:rFonts w:ascii="Arial" w:eastAsia="Times New Roman" w:hAnsi="Arial" w:cs="Arial"/>
      <w:color w:val="2478BE"/>
      <w:sz w:val="18"/>
      <w:szCs w:val="18"/>
      <w:lang w:eastAsia="es-CO"/>
    </w:rPr>
  </w:style>
  <w:style w:type="paragraph" w:customStyle="1" w:styleId="infoperfil">
    <w:name w:val="info_perfil"/>
    <w:basedOn w:val="Normal"/>
    <w:rsid w:val="00401DFF"/>
    <w:pPr>
      <w:spacing w:before="100" w:beforeAutospacing="1" w:after="100" w:afterAutospacing="1" w:line="240" w:lineRule="auto"/>
    </w:pPr>
    <w:rPr>
      <w:rFonts w:ascii="Arial" w:eastAsia="Times New Roman" w:hAnsi="Arial" w:cs="Arial"/>
      <w:color w:val="575757"/>
      <w:sz w:val="18"/>
      <w:szCs w:val="18"/>
      <w:lang w:eastAsia="es-CO"/>
    </w:rPr>
  </w:style>
  <w:style w:type="paragraph" w:customStyle="1" w:styleId="cntrbtngrl02">
    <w:name w:val="cntr_btn_grl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04">
    <w:name w:val="btn_grl04"/>
    <w:basedOn w:val="Normal"/>
    <w:rsid w:val="00401DFF"/>
    <w:pPr>
      <w:spacing w:before="30" w:after="75" w:line="240" w:lineRule="auto"/>
    </w:pPr>
    <w:rPr>
      <w:rFonts w:ascii="Times New Roman" w:eastAsia="Times New Roman" w:hAnsi="Times New Roman" w:cs="Times New Roman"/>
      <w:sz w:val="24"/>
      <w:szCs w:val="24"/>
      <w:lang w:eastAsia="es-CO"/>
    </w:rPr>
  </w:style>
  <w:style w:type="paragraph" w:customStyle="1" w:styleId="cntrmsgaceptarsolicitud">
    <w:name w:val="cntr_msg_aceptarsolicitud"/>
    <w:basedOn w:val="Normal"/>
    <w:rsid w:val="00401DFF"/>
    <w:pPr>
      <w:spacing w:before="100" w:beforeAutospacing="1" w:after="100" w:afterAutospacing="1" w:line="240" w:lineRule="auto"/>
    </w:pPr>
    <w:rPr>
      <w:rFonts w:ascii="Arial" w:eastAsia="Times New Roman" w:hAnsi="Arial" w:cs="Arial"/>
      <w:color w:val="575757"/>
      <w:sz w:val="17"/>
      <w:szCs w:val="17"/>
      <w:lang w:eastAsia="es-CO"/>
    </w:rPr>
  </w:style>
  <w:style w:type="paragraph" w:customStyle="1" w:styleId="cntrboxbanner">
    <w:name w:val="cntr_box_banner"/>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Arial" w:eastAsia="Times New Roman" w:hAnsi="Arial" w:cs="Arial"/>
      <w:color w:val="666666"/>
      <w:sz w:val="20"/>
      <w:szCs w:val="20"/>
      <w:lang w:eastAsia="es-CO"/>
    </w:rPr>
  </w:style>
  <w:style w:type="paragraph" w:customStyle="1" w:styleId="cntrboxbanner01">
    <w:name w:val="cntr_box_banner01"/>
    <w:basedOn w:val="Normal"/>
    <w:rsid w:val="00401DFF"/>
    <w:pPr>
      <w:pBdr>
        <w:top w:val="single" w:sz="6" w:space="0" w:color="EFEFEF"/>
        <w:left w:val="single" w:sz="6" w:space="0" w:color="EFEFEF"/>
        <w:bottom w:val="single" w:sz="6" w:space="0" w:color="EFEFEF"/>
        <w:right w:val="single" w:sz="6" w:space="0" w:color="EFEFEF"/>
      </w:pBdr>
      <w:spacing w:after="150" w:line="240" w:lineRule="auto"/>
    </w:pPr>
    <w:rPr>
      <w:rFonts w:ascii="Arial" w:eastAsia="Times New Roman" w:hAnsi="Arial" w:cs="Arial"/>
      <w:color w:val="666666"/>
      <w:sz w:val="20"/>
      <w:szCs w:val="20"/>
      <w:lang w:eastAsia="es-CO"/>
    </w:rPr>
  </w:style>
  <w:style w:type="paragraph" w:customStyle="1" w:styleId="cntrautentreg03">
    <w:name w:val="cntr_autent_reg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tngrl03">
    <w:name w:val="cntr_btn_grl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rgarfoto">
    <w:name w:val="cargar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ampofoto">
    <w:name w:val="campo_fot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put01">
    <w:name w:val="input01"/>
    <w:basedOn w:val="Normal"/>
    <w:rsid w:val="00401DFF"/>
    <w:pPr>
      <w:pBdr>
        <w:top w:val="single" w:sz="6" w:space="0" w:color="EAEAEA"/>
        <w:left w:val="single" w:sz="6" w:space="0" w:color="EAEAEA"/>
        <w:bottom w:val="single" w:sz="6" w:space="0" w:color="EAEAEA"/>
        <w:right w:val="single" w:sz="6" w:space="0" w:color="EAEAE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examinar">
    <w:name w:val="btn_examina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lnk014n">
    <w:name w:val="lnk014_n"/>
    <w:basedOn w:val="Normal"/>
    <w:rsid w:val="00401DFF"/>
    <w:pPr>
      <w:spacing w:before="100" w:beforeAutospacing="1" w:after="100" w:afterAutospacing="1" w:line="240" w:lineRule="auto"/>
    </w:pPr>
    <w:rPr>
      <w:rFonts w:ascii="Arial" w:eastAsia="Times New Roman" w:hAnsi="Arial" w:cs="Arial"/>
      <w:color w:val="9E9E9E"/>
      <w:sz w:val="17"/>
      <w:szCs w:val="17"/>
      <w:lang w:eastAsia="es-CO"/>
    </w:rPr>
  </w:style>
  <w:style w:type="paragraph" w:customStyle="1" w:styleId="linesep07">
    <w:name w:val="line_sep07"/>
    <w:basedOn w:val="Normal"/>
    <w:rsid w:val="00401DFF"/>
    <w:pPr>
      <w:pBdr>
        <w:top w:val="dotted" w:sz="6" w:space="0" w:color="AAD2FF"/>
      </w:pBdr>
      <w:spacing w:before="180" w:after="45" w:line="240" w:lineRule="auto"/>
      <w:ind w:right="120"/>
    </w:pPr>
    <w:rPr>
      <w:rFonts w:ascii="Times New Roman" w:eastAsia="Times New Roman" w:hAnsi="Times New Roman" w:cs="Times New Roman"/>
      <w:sz w:val="24"/>
      <w:szCs w:val="24"/>
      <w:lang w:eastAsia="es-CO"/>
    </w:rPr>
  </w:style>
  <w:style w:type="paragraph" w:customStyle="1" w:styleId="box01">
    <w:name w:val="box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01top">
    <w:name w:val="box01_to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ox01mid">
    <w:name w:val="box01_mid"/>
    <w:basedOn w:val="Normal"/>
    <w:rsid w:val="00401DFF"/>
    <w:pPr>
      <w:pBdr>
        <w:top w:val="single" w:sz="2" w:space="0" w:color="DAEEFA"/>
        <w:left w:val="single" w:sz="6" w:space="0" w:color="DAEEFA"/>
        <w:bottom w:val="single" w:sz="2" w:space="0" w:color="DAEEFA"/>
        <w:right w:val="single" w:sz="6" w:space="0" w:color="DAEEFA"/>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box01">
    <w:name w:val="info_box01"/>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box01bottom">
    <w:name w:val="box01_bottom"/>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autent01">
    <w:name w:val="info_auten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autent01">
    <w:name w:val="ttl_autent01"/>
    <w:basedOn w:val="Normal"/>
    <w:rsid w:val="00401DFF"/>
    <w:pPr>
      <w:pBdr>
        <w:bottom w:val="single" w:sz="6" w:space="8" w:color="E6E6E6"/>
      </w:pBdr>
      <w:spacing w:before="100" w:beforeAutospacing="1" w:after="100" w:afterAutospacing="1" w:line="300" w:lineRule="atLeast"/>
    </w:pPr>
    <w:rPr>
      <w:rFonts w:ascii="Arial" w:eastAsia="Times New Roman" w:hAnsi="Arial" w:cs="Arial"/>
      <w:color w:val="333333"/>
      <w:sz w:val="29"/>
      <w:szCs w:val="29"/>
      <w:lang w:eastAsia="es-CO"/>
    </w:rPr>
  </w:style>
  <w:style w:type="paragraph" w:customStyle="1" w:styleId="txtautent07">
    <w:name w:val="txt_autent07"/>
    <w:basedOn w:val="Normal"/>
    <w:rsid w:val="00401DFF"/>
    <w:pPr>
      <w:spacing w:before="75" w:after="225" w:line="270" w:lineRule="atLeast"/>
    </w:pPr>
    <w:rPr>
      <w:rFonts w:ascii="Arial" w:eastAsia="Times New Roman" w:hAnsi="Arial" w:cs="Arial"/>
      <w:color w:val="666666"/>
      <w:sz w:val="21"/>
      <w:szCs w:val="21"/>
      <w:lang w:eastAsia="es-CO"/>
    </w:rPr>
  </w:style>
  <w:style w:type="paragraph" w:customStyle="1" w:styleId="lnkcolegaerr">
    <w:name w:val="lnk_colegaerr"/>
    <w:basedOn w:val="Normal"/>
    <w:rsid w:val="00401DFF"/>
    <w:pPr>
      <w:pBdr>
        <w:top w:val="single" w:sz="6" w:space="0" w:color="A0191A"/>
        <w:left w:val="single" w:sz="6" w:space="2" w:color="A0191A"/>
        <w:bottom w:val="single" w:sz="6" w:space="0" w:color="A0191A"/>
        <w:right w:val="single" w:sz="6" w:space="2" w:color="A0191A"/>
      </w:pBdr>
      <w:shd w:val="clear" w:color="auto" w:fill="FDF5F5"/>
      <w:spacing w:before="45" w:after="45" w:line="240" w:lineRule="auto"/>
      <w:ind w:left="45" w:right="45"/>
    </w:pPr>
    <w:rPr>
      <w:rFonts w:ascii="Arial" w:eastAsia="Times New Roman" w:hAnsi="Arial" w:cs="Arial"/>
      <w:color w:val="666666"/>
      <w:sz w:val="17"/>
      <w:szCs w:val="17"/>
      <w:lang w:eastAsia="es-CO"/>
    </w:rPr>
  </w:style>
  <w:style w:type="paragraph" w:customStyle="1" w:styleId="lnkcolega">
    <w:name w:val="lnk_colega"/>
    <w:basedOn w:val="Normal"/>
    <w:rsid w:val="00401DFF"/>
    <w:pPr>
      <w:pBdr>
        <w:top w:val="single" w:sz="6" w:space="0" w:color="83C0ED"/>
        <w:left w:val="single" w:sz="6" w:space="2" w:color="83C0ED"/>
        <w:bottom w:val="single" w:sz="6" w:space="0" w:color="83C0ED"/>
        <w:right w:val="single" w:sz="6" w:space="2" w:color="83C0ED"/>
      </w:pBdr>
      <w:shd w:val="clear" w:color="auto" w:fill="F9FCFF"/>
      <w:spacing w:before="45" w:after="45" w:line="240" w:lineRule="auto"/>
      <w:ind w:left="45" w:right="45"/>
    </w:pPr>
    <w:rPr>
      <w:rFonts w:ascii="Arial" w:eastAsia="Times New Roman" w:hAnsi="Arial" w:cs="Arial"/>
      <w:color w:val="666666"/>
      <w:sz w:val="17"/>
      <w:szCs w:val="17"/>
      <w:lang w:eastAsia="es-CO"/>
    </w:rPr>
  </w:style>
  <w:style w:type="paragraph" w:customStyle="1" w:styleId="lnkcolegal">
    <w:name w:val="lnk_colega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lbox">
    <w:name w:val="cntr_lbox"/>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colbox">
    <w:name w:val="cntr_col_box"/>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ol01lbox">
    <w:name w:val="col01_lbox"/>
    <w:basedOn w:val="Normal"/>
    <w:rsid w:val="00401DFF"/>
    <w:pPr>
      <w:pBdr>
        <w:top w:val="single" w:sz="6" w:space="0" w:color="A2D2F0"/>
        <w:left w:val="single" w:sz="6" w:space="0" w:color="A2D2F0"/>
        <w:bottom w:val="single" w:sz="6" w:space="0" w:color="A2D2F0"/>
        <w:right w:val="single" w:sz="6" w:space="0" w:color="A2D2F0"/>
      </w:pBdr>
      <w:shd w:val="clear" w:color="auto" w:fill="FFFFFF"/>
      <w:spacing w:before="45" w:after="45" w:line="240" w:lineRule="auto"/>
      <w:ind w:left="45" w:right="30"/>
    </w:pPr>
    <w:rPr>
      <w:rFonts w:ascii="Times New Roman" w:eastAsia="Times New Roman" w:hAnsi="Times New Roman" w:cs="Times New Roman"/>
      <w:sz w:val="24"/>
      <w:szCs w:val="24"/>
      <w:lang w:eastAsia="es-CO"/>
    </w:rPr>
  </w:style>
  <w:style w:type="paragraph" w:customStyle="1" w:styleId="col01lboxb">
    <w:name w:val="col01_lboxb"/>
    <w:basedOn w:val="Normal"/>
    <w:rsid w:val="00401DF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1lboxppl">
    <w:name w:val="col01_lbox_ppl"/>
    <w:basedOn w:val="Normal"/>
    <w:rsid w:val="00401DFF"/>
    <w:pPr>
      <w:spacing w:after="0" w:line="240" w:lineRule="auto"/>
      <w:ind w:left="300"/>
    </w:pPr>
    <w:rPr>
      <w:rFonts w:ascii="Times New Roman" w:eastAsia="Times New Roman" w:hAnsi="Times New Roman" w:cs="Times New Roman"/>
      <w:sz w:val="24"/>
      <w:szCs w:val="24"/>
      <w:lang w:eastAsia="es-CO"/>
    </w:rPr>
  </w:style>
  <w:style w:type="paragraph" w:customStyle="1" w:styleId="col01lboxa">
    <w:name w:val="col01_lboxa"/>
    <w:basedOn w:val="Normal"/>
    <w:rsid w:val="00401DFF"/>
    <w:pPr>
      <w:shd w:val="clear" w:color="auto" w:fill="E3F1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2lbox">
    <w:name w:val="col02_lbox"/>
    <w:basedOn w:val="Normal"/>
    <w:rsid w:val="00401DFF"/>
    <w:pPr>
      <w:spacing w:after="0" w:line="240" w:lineRule="auto"/>
      <w:ind w:left="600"/>
    </w:pPr>
    <w:rPr>
      <w:rFonts w:ascii="Times New Roman" w:eastAsia="Times New Roman" w:hAnsi="Times New Roman" w:cs="Times New Roman"/>
      <w:sz w:val="24"/>
      <w:szCs w:val="24"/>
      <w:lang w:eastAsia="es-CO"/>
    </w:rPr>
  </w:style>
  <w:style w:type="paragraph" w:customStyle="1" w:styleId="cntrinfouser01a">
    <w:name w:val="cntr_info_user01a"/>
    <w:basedOn w:val="Normal"/>
    <w:rsid w:val="00401DFF"/>
    <w:pPr>
      <w:pBdr>
        <w:top w:val="single" w:sz="6" w:space="2" w:color="FFFFFF"/>
        <w:left w:val="single" w:sz="6" w:space="8" w:color="FFFFFF"/>
        <w:bottom w:val="single" w:sz="6" w:space="2" w:color="FFFFFF"/>
        <w:right w:val="single" w:sz="6" w:space="4" w:color="FFFFFF"/>
      </w:pBdr>
      <w:spacing w:before="45" w:after="45" w:line="240" w:lineRule="auto"/>
      <w:ind w:left="30"/>
    </w:pPr>
    <w:rPr>
      <w:rFonts w:ascii="Times New Roman" w:eastAsia="Times New Roman" w:hAnsi="Times New Roman" w:cs="Times New Roman"/>
      <w:sz w:val="24"/>
      <w:szCs w:val="24"/>
      <w:lang w:eastAsia="es-CO"/>
    </w:rPr>
  </w:style>
  <w:style w:type="paragraph" w:customStyle="1" w:styleId="cntrinfouser01aactive">
    <w:name w:val="cntr_info_user01a_active"/>
    <w:basedOn w:val="Normal"/>
    <w:rsid w:val="00401DFF"/>
    <w:pPr>
      <w:pBdr>
        <w:top w:val="single" w:sz="6" w:space="2" w:color="DBF0FB"/>
        <w:left w:val="single" w:sz="6" w:space="8" w:color="DBF0FB"/>
        <w:bottom w:val="single" w:sz="6" w:space="2" w:color="DBF0FB"/>
        <w:right w:val="single" w:sz="6" w:space="4" w:color="DBF0FB"/>
      </w:pBdr>
      <w:shd w:val="clear" w:color="auto" w:fill="F2F9FF"/>
      <w:spacing w:before="45" w:after="45" w:line="240" w:lineRule="auto"/>
      <w:ind w:left="30"/>
    </w:pPr>
    <w:rPr>
      <w:rFonts w:ascii="Times New Roman" w:eastAsia="Times New Roman" w:hAnsi="Times New Roman" w:cs="Times New Roman"/>
      <w:sz w:val="24"/>
      <w:szCs w:val="24"/>
      <w:lang w:eastAsia="es-CO"/>
    </w:rPr>
  </w:style>
  <w:style w:type="paragraph" w:customStyle="1" w:styleId="cntrinfouser01b">
    <w:name w:val="cntr_info_user01b"/>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selectall">
    <w:name w:val="cntr_selectall"/>
    <w:basedOn w:val="Normal"/>
    <w:rsid w:val="00401DFF"/>
    <w:pPr>
      <w:pBdr>
        <w:bottom w:val="single" w:sz="6" w:space="8" w:color="EEEEEE"/>
      </w:pBdr>
      <w:shd w:val="clear" w:color="auto" w:fill="F7F7F7"/>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remover">
    <w:name w:val="cntr_remover"/>
    <w:basedOn w:val="Normal"/>
    <w:rsid w:val="00401DFF"/>
    <w:pPr>
      <w:pBdr>
        <w:top w:val="single" w:sz="6" w:space="3" w:color="DBF0FB"/>
      </w:pBdr>
      <w:shd w:val="clear" w:color="auto" w:fill="F2F9FF"/>
      <w:spacing w:before="100" w:beforeAutospacing="1" w:after="100" w:afterAutospacing="1" w:line="240" w:lineRule="auto"/>
    </w:pPr>
    <w:rPr>
      <w:rFonts w:ascii="Arial" w:eastAsia="Times New Roman" w:hAnsi="Arial" w:cs="Arial"/>
      <w:color w:val="2B739E"/>
      <w:sz w:val="17"/>
      <w:szCs w:val="17"/>
      <w:lang w:eastAsia="es-CO"/>
    </w:rPr>
  </w:style>
  <w:style w:type="paragraph" w:customStyle="1" w:styleId="txtcol01">
    <w:name w:val="txt_col01"/>
    <w:basedOn w:val="Normal"/>
    <w:rsid w:val="00401DFF"/>
    <w:pPr>
      <w:spacing w:before="75" w:after="30" w:line="240" w:lineRule="auto"/>
    </w:pPr>
    <w:rPr>
      <w:rFonts w:ascii="Arial" w:eastAsia="Times New Roman" w:hAnsi="Arial" w:cs="Arial"/>
      <w:b/>
      <w:bCs/>
      <w:color w:val="333333"/>
      <w:sz w:val="18"/>
      <w:szCs w:val="18"/>
      <w:lang w:eastAsia="es-CO"/>
    </w:rPr>
  </w:style>
  <w:style w:type="paragraph" w:customStyle="1" w:styleId="col02lboxa">
    <w:name w:val="col02_lboxa"/>
    <w:basedOn w:val="Normal"/>
    <w:rsid w:val="00401DFF"/>
    <w:pPr>
      <w:shd w:val="clear" w:color="auto" w:fill="E3F1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2lboxinter">
    <w:name w:val="col02_lbox_inter"/>
    <w:basedOn w:val="Normal"/>
    <w:rsid w:val="00401DFF"/>
    <w:pPr>
      <w:pBdr>
        <w:top w:val="single" w:sz="6" w:space="0" w:color="A2D2F0"/>
        <w:left w:val="single" w:sz="6" w:space="0" w:color="A2D2F0"/>
        <w:bottom w:val="single" w:sz="6" w:space="0" w:color="A2D2F0"/>
        <w:right w:val="single" w:sz="6" w:space="0" w:color="A2D2F0"/>
      </w:pBdr>
      <w:shd w:val="clear" w:color="auto" w:fill="FFFFFF"/>
      <w:spacing w:before="45" w:after="45" w:line="240" w:lineRule="auto"/>
      <w:ind w:left="45" w:right="30"/>
    </w:pPr>
    <w:rPr>
      <w:rFonts w:ascii="Times New Roman" w:eastAsia="Times New Roman" w:hAnsi="Times New Roman" w:cs="Times New Roman"/>
      <w:sz w:val="24"/>
      <w:szCs w:val="24"/>
      <w:lang w:eastAsia="es-CO"/>
    </w:rPr>
  </w:style>
  <w:style w:type="paragraph" w:customStyle="1" w:styleId="cntrsearchn">
    <w:name w:val="cntr_search_n"/>
    <w:basedOn w:val="Normal"/>
    <w:rsid w:val="00401DFF"/>
    <w:pPr>
      <w:pBdr>
        <w:bottom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01lboxb2">
    <w:name w:val="col01_lboxb2"/>
    <w:basedOn w:val="Normal"/>
    <w:rsid w:val="00401DFF"/>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btnn">
    <w:name w:val="cntr_btn_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pacegrupos">
    <w:name w:val="spacegrup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lightboxgrupo">
    <w:name w:val="ttl_lightbox_grupo"/>
    <w:basedOn w:val="Normal"/>
    <w:rsid w:val="00401DFF"/>
    <w:pPr>
      <w:spacing w:before="100" w:beforeAutospacing="1" w:after="100" w:afterAutospacing="1" w:line="240" w:lineRule="auto"/>
    </w:pPr>
    <w:rPr>
      <w:rFonts w:ascii="Arial" w:eastAsia="Times New Roman" w:hAnsi="Arial" w:cs="Arial"/>
      <w:b/>
      <w:bCs/>
      <w:color w:val="000000"/>
      <w:sz w:val="23"/>
      <w:szCs w:val="23"/>
      <w:lang w:eastAsia="es-CO"/>
    </w:rPr>
  </w:style>
  <w:style w:type="paragraph" w:customStyle="1" w:styleId="ttllightboxcolegas">
    <w:name w:val="ttl_lightbox_colegas"/>
    <w:basedOn w:val="Normal"/>
    <w:rsid w:val="00401DFF"/>
    <w:pPr>
      <w:spacing w:before="100" w:beforeAutospacing="1" w:after="100" w:afterAutospacing="1" w:line="240" w:lineRule="auto"/>
    </w:pPr>
    <w:rPr>
      <w:rFonts w:ascii="Arial" w:eastAsia="Times New Roman" w:hAnsi="Arial" w:cs="Arial"/>
      <w:b/>
      <w:bCs/>
      <w:color w:val="000000"/>
      <w:sz w:val="23"/>
      <w:szCs w:val="23"/>
      <w:lang w:eastAsia="es-CO"/>
    </w:rPr>
  </w:style>
  <w:style w:type="paragraph" w:customStyle="1" w:styleId="btngrlleft01">
    <w:name w:val="btn_grl_lef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01">
    <w:name w:val="btn_grl_right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01">
    <w:name w:val="btn_grl_mid01"/>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imgred">
    <w:name w:val="img_re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2">
    <w:name w:val="img_re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3">
    <w:name w:val="img_re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4">
    <w:name w:val="img_re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05">
    <w:name w:val="img_red05"/>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nfo">
    <w:name w:val="info"/>
    <w:basedOn w:val="Normal"/>
    <w:rsid w:val="00401DFF"/>
    <w:pPr>
      <w:spacing w:before="100" w:beforeAutospacing="1" w:after="100" w:afterAutospacing="1" w:line="270" w:lineRule="atLeast"/>
    </w:pPr>
    <w:rPr>
      <w:rFonts w:ascii="Arial" w:eastAsia="Times New Roman" w:hAnsi="Arial" w:cs="Arial"/>
      <w:color w:val="666666"/>
      <w:sz w:val="21"/>
      <w:szCs w:val="21"/>
      <w:lang w:eastAsia="es-CO"/>
    </w:rPr>
  </w:style>
  <w:style w:type="paragraph" w:customStyle="1" w:styleId="bgtxtred">
    <w:name w:val="bg_txt_re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1">
    <w:name w:val="opcion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2">
    <w:name w:val="opcion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4">
    <w:name w:val="opcion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03">
    <w:name w:val="opcion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1">
    <w:name w:val="bg_txt_red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2">
    <w:name w:val="bg_txt_red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3">
    <w:name w:val="bg_txt_red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gtxtred04">
    <w:name w:val="bg_txt_red04"/>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mjs">
    <w:name w:val="img_red_mj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colegas">
    <w:name w:val="img_red_colega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docs">
    <w:name w:val="img_red_doc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vistos">
    <w:name w:val="img_red_vistos"/>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
    <w:name w:val="img_red_perfi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rivacidad">
    <w:name w:val="img_red_privacidad"/>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1">
    <w:name w:val="opcion_new_01"/>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2">
    <w:name w:val="opcion_new_02"/>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ver">
    <w:name w:val="img_red_perfil_ver"/>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act">
    <w:name w:val="img_red_perfil_a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det">
    <w:name w:val="img_red_perfil_de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perfilcol">
    <w:name w:val="img_red_perfil_col"/>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imgredini">
    <w:name w:val="img_red_ini"/>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opcionnew03">
    <w:name w:val="opcion_new_03"/>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pest">
    <w:name w:val="perfil_pest"/>
    <w:basedOn w:val="Normal"/>
    <w:rsid w:val="00401DFF"/>
    <w:pPr>
      <w:spacing w:after="0" w:line="240" w:lineRule="auto"/>
      <w:ind w:left="105"/>
    </w:pPr>
    <w:rPr>
      <w:rFonts w:ascii="Times New Roman" w:eastAsia="Times New Roman" w:hAnsi="Times New Roman" w:cs="Times New Roman"/>
      <w:sz w:val="24"/>
      <w:szCs w:val="24"/>
      <w:lang w:eastAsia="es-CO"/>
    </w:rPr>
  </w:style>
  <w:style w:type="paragraph" w:customStyle="1" w:styleId="perfilcntrbtnppalactive">
    <w:name w:val="perfil_cntr_btn_ppal_activ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btnleft">
    <w:name w:val="perfil_btn_lef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btnmid">
    <w:name w:val="perfil_btn_mid"/>
    <w:basedOn w:val="Normal"/>
    <w:rsid w:val="00401DFF"/>
    <w:pPr>
      <w:spacing w:before="100" w:beforeAutospacing="1" w:after="100" w:afterAutospacing="1" w:line="240" w:lineRule="auto"/>
    </w:pPr>
    <w:rPr>
      <w:rFonts w:ascii="Tahoma" w:eastAsia="Times New Roman" w:hAnsi="Tahoma" w:cs="Tahoma"/>
      <w:b/>
      <w:bCs/>
      <w:color w:val="BB0000"/>
      <w:sz w:val="18"/>
      <w:szCs w:val="18"/>
      <w:lang w:eastAsia="es-CO"/>
    </w:rPr>
  </w:style>
  <w:style w:type="paragraph" w:customStyle="1" w:styleId="perfilbtnright">
    <w:name w:val="perfil_btn_righ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erfilcntrbtnppalinactive">
    <w:name w:val="perfil_cntr_btn_ppal_inactive"/>
    <w:basedOn w:val="Normal"/>
    <w:rsid w:val="00401DFF"/>
    <w:pPr>
      <w:spacing w:before="100" w:beforeAutospacing="1" w:after="100" w:afterAutospacing="1" w:line="240" w:lineRule="auto"/>
    </w:pPr>
    <w:rPr>
      <w:rFonts w:ascii="Tahoma" w:eastAsia="Times New Roman" w:hAnsi="Tahoma" w:cs="Tahoma"/>
      <w:b/>
      <w:bCs/>
      <w:color w:val="FFFFFF"/>
      <w:sz w:val="18"/>
      <w:szCs w:val="18"/>
      <w:lang w:eastAsia="es-CO"/>
    </w:rPr>
  </w:style>
  <w:style w:type="paragraph" w:customStyle="1" w:styleId="perfilcntrbtnppalinactiveoff">
    <w:name w:val="perfil_cntr_btn_ppal_inactive_off"/>
    <w:basedOn w:val="Normal"/>
    <w:rsid w:val="00401DFF"/>
    <w:pPr>
      <w:spacing w:before="100" w:beforeAutospacing="1" w:after="100" w:afterAutospacing="1" w:line="240" w:lineRule="auto"/>
    </w:pPr>
    <w:rPr>
      <w:rFonts w:ascii="Tahoma" w:eastAsia="Times New Roman" w:hAnsi="Tahoma" w:cs="Tahoma"/>
      <w:b/>
      <w:bCs/>
      <w:color w:val="81AEC9"/>
      <w:sz w:val="18"/>
      <w:szCs w:val="18"/>
      <w:lang w:eastAsia="es-CO"/>
    </w:rPr>
  </w:style>
  <w:style w:type="paragraph" w:customStyle="1" w:styleId="cntrinfocomun">
    <w:name w:val="cntr_info_comun"/>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oduloenviarmsjsmall">
    <w:name w:val="modulo_enviar_msj_small"/>
    <w:basedOn w:val="Normal"/>
    <w:rsid w:val="00401DFF"/>
    <w:pPr>
      <w:shd w:val="clear" w:color="auto" w:fill="F2F9FF"/>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rear03small">
    <w:name w:val="crear03_small"/>
    <w:basedOn w:val="Normal"/>
    <w:rsid w:val="00401DFF"/>
    <w:pPr>
      <w:shd w:val="clear" w:color="auto" w:fill="E3F1FF"/>
      <w:spacing w:before="105" w:after="45" w:line="240" w:lineRule="auto"/>
    </w:pPr>
    <w:rPr>
      <w:rFonts w:ascii="Times New Roman" w:eastAsia="Times New Roman" w:hAnsi="Times New Roman" w:cs="Times New Roman"/>
      <w:sz w:val="24"/>
      <w:szCs w:val="24"/>
      <w:lang w:eastAsia="es-CO"/>
    </w:rPr>
  </w:style>
  <w:style w:type="paragraph" w:customStyle="1" w:styleId="ttlopcasignarsmall">
    <w:name w:val="ttl_opc_asignar_small"/>
    <w:basedOn w:val="Normal"/>
    <w:rsid w:val="00401DFF"/>
    <w:pPr>
      <w:spacing w:before="100" w:beforeAutospacing="1" w:after="100" w:afterAutospacing="1" w:line="270" w:lineRule="atLeast"/>
    </w:pPr>
    <w:rPr>
      <w:rFonts w:ascii="Arial" w:eastAsia="Times New Roman" w:hAnsi="Arial" w:cs="Arial"/>
      <w:b/>
      <w:bCs/>
      <w:color w:val="575757"/>
      <w:sz w:val="17"/>
      <w:szCs w:val="17"/>
      <w:lang w:eastAsia="es-CO"/>
    </w:rPr>
  </w:style>
  <w:style w:type="paragraph" w:customStyle="1" w:styleId="btngrl010">
    <w:name w:val="btn_grl_01"/>
    <w:basedOn w:val="Normal"/>
    <w:rsid w:val="00401DFF"/>
    <w:pPr>
      <w:spacing w:after="0" w:line="240" w:lineRule="auto"/>
      <w:ind w:right="105"/>
    </w:pPr>
    <w:rPr>
      <w:rFonts w:ascii="Arial" w:eastAsia="Times New Roman" w:hAnsi="Arial" w:cs="Arial"/>
      <w:sz w:val="18"/>
      <w:szCs w:val="18"/>
      <w:lang w:eastAsia="es-CO"/>
    </w:rPr>
  </w:style>
  <w:style w:type="paragraph" w:customStyle="1" w:styleId="btngrlleftwhite">
    <w:name w:val="btn_grl_left_whit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rightwhite">
    <w:name w:val="btn_grl_right_whit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tngrlmidwhite">
    <w:name w:val="btn_grl_mid_white"/>
    <w:basedOn w:val="Normal"/>
    <w:rsid w:val="00401DFF"/>
    <w:pPr>
      <w:spacing w:before="100" w:beforeAutospacing="1" w:after="100" w:afterAutospacing="1" w:line="240" w:lineRule="auto"/>
      <w:jc w:val="center"/>
    </w:pPr>
    <w:rPr>
      <w:rFonts w:ascii="Arial" w:eastAsia="Times New Roman" w:hAnsi="Arial" w:cs="Arial"/>
      <w:color w:val="FFFFFF"/>
      <w:sz w:val="18"/>
      <w:szCs w:val="18"/>
      <w:lang w:eastAsia="es-CO"/>
    </w:rPr>
  </w:style>
  <w:style w:type="paragraph" w:customStyle="1" w:styleId="btnboxselect">
    <w:name w:val="btn_box_select"/>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mensaje">
    <w:name w:val="tt_mensaje"/>
    <w:basedOn w:val="Normal"/>
    <w:rsid w:val="00401DFF"/>
    <w:pPr>
      <w:spacing w:before="100" w:beforeAutospacing="1" w:after="100" w:afterAutospacing="1" w:line="240" w:lineRule="auto"/>
    </w:pPr>
    <w:rPr>
      <w:rFonts w:ascii="Arial" w:eastAsia="Times New Roman" w:hAnsi="Arial" w:cs="Arial"/>
      <w:color w:val="006699"/>
      <w:sz w:val="24"/>
      <w:szCs w:val="24"/>
      <w:lang w:eastAsia="es-CO"/>
    </w:rPr>
  </w:style>
  <w:style w:type="paragraph" w:customStyle="1" w:styleId="boxpara">
    <w:name w:val="box_para"/>
    <w:basedOn w:val="Normal"/>
    <w:rsid w:val="00401DFF"/>
    <w:pPr>
      <w:spacing w:before="75" w:after="75" w:line="240" w:lineRule="auto"/>
      <w:ind w:left="75" w:right="75"/>
    </w:pPr>
    <w:rPr>
      <w:rFonts w:ascii="Arial" w:eastAsia="Times New Roman" w:hAnsi="Arial" w:cs="Arial"/>
      <w:color w:val="666666"/>
      <w:sz w:val="18"/>
      <w:szCs w:val="18"/>
      <w:lang w:eastAsia="es-CO"/>
    </w:rPr>
  </w:style>
  <w:style w:type="paragraph" w:customStyle="1" w:styleId="boxasunto">
    <w:name w:val="box_asunto"/>
    <w:basedOn w:val="Normal"/>
    <w:rsid w:val="00401DFF"/>
    <w:pPr>
      <w:spacing w:before="75" w:after="75" w:line="240" w:lineRule="auto"/>
      <w:ind w:left="75" w:right="75"/>
    </w:pPr>
    <w:rPr>
      <w:rFonts w:ascii="Arial" w:eastAsia="Times New Roman" w:hAnsi="Arial" w:cs="Arial"/>
      <w:color w:val="666666"/>
      <w:sz w:val="18"/>
      <w:szCs w:val="18"/>
      <w:lang w:eastAsia="es-CO"/>
    </w:rPr>
  </w:style>
  <w:style w:type="paragraph" w:customStyle="1" w:styleId="boxtexto">
    <w:name w:val="box_texto"/>
    <w:basedOn w:val="Normal"/>
    <w:rsid w:val="00401DFF"/>
    <w:pPr>
      <w:spacing w:before="75" w:after="150" w:line="240" w:lineRule="auto"/>
      <w:ind w:left="75" w:right="75"/>
    </w:pPr>
    <w:rPr>
      <w:rFonts w:ascii="Arial" w:eastAsia="Times New Roman" w:hAnsi="Arial" w:cs="Arial"/>
      <w:color w:val="666666"/>
      <w:sz w:val="18"/>
      <w:szCs w:val="18"/>
      <w:lang w:eastAsia="es-CO"/>
    </w:rPr>
  </w:style>
  <w:style w:type="paragraph" w:customStyle="1" w:styleId="lnkmensajes">
    <w:name w:val="lnk_mensajes"/>
    <w:basedOn w:val="Normal"/>
    <w:rsid w:val="00401DFF"/>
    <w:pPr>
      <w:spacing w:before="100" w:beforeAutospacing="1" w:after="100" w:afterAutospacing="1" w:line="240" w:lineRule="auto"/>
    </w:pPr>
    <w:rPr>
      <w:rFonts w:ascii="Arial" w:eastAsia="Times New Roman" w:hAnsi="Arial" w:cs="Arial"/>
      <w:color w:val="255C82"/>
      <w:sz w:val="18"/>
      <w:szCs w:val="18"/>
      <w:lang w:eastAsia="es-CO"/>
    </w:rPr>
  </w:style>
  <w:style w:type="paragraph" w:customStyle="1" w:styleId="sepautentmensajes">
    <w:name w:val="sep_autent_mensajes"/>
    <w:basedOn w:val="Normal"/>
    <w:rsid w:val="00401DFF"/>
    <w:pPr>
      <w:pBdr>
        <w:left w:val="single" w:sz="6" w:space="0" w:color="CCCCCC"/>
      </w:pBdr>
      <w:spacing w:before="75" w:after="0" w:line="240" w:lineRule="auto"/>
      <w:ind w:left="150"/>
    </w:pPr>
    <w:rPr>
      <w:rFonts w:ascii="Times New Roman" w:eastAsia="Times New Roman" w:hAnsi="Times New Roman" w:cs="Times New Roman"/>
      <w:sz w:val="24"/>
      <w:szCs w:val="24"/>
      <w:lang w:eastAsia="es-CO"/>
    </w:rPr>
  </w:style>
  <w:style w:type="paragraph" w:customStyle="1" w:styleId="cntrinputborder">
    <w:name w:val="cntr_input_border"/>
    <w:basedOn w:val="Normal"/>
    <w:rsid w:val="00401DFF"/>
    <w:pPr>
      <w:pBdr>
        <w:top w:val="single" w:sz="6" w:space="0" w:color="BDC7D8"/>
        <w:left w:val="single" w:sz="6" w:space="2" w:color="BDC7D8"/>
        <w:bottom w:val="single" w:sz="6" w:space="0" w:color="BDC7D8"/>
        <w:right w:val="single" w:sz="6" w:space="0" w:color="BDC7D8"/>
      </w:pBdr>
      <w:spacing w:after="0" w:line="240" w:lineRule="auto"/>
      <w:ind w:left="795"/>
    </w:pPr>
    <w:rPr>
      <w:rFonts w:ascii="Times New Roman" w:eastAsia="Times New Roman" w:hAnsi="Times New Roman" w:cs="Times New Roman"/>
      <w:sz w:val="24"/>
      <w:szCs w:val="24"/>
      <w:lang w:eastAsia="es-CO"/>
    </w:rPr>
  </w:style>
  <w:style w:type="paragraph" w:customStyle="1" w:styleId="ttlsugerencias">
    <w:name w:val="ttl_sugerencias"/>
    <w:basedOn w:val="Normal"/>
    <w:rsid w:val="00401DFF"/>
    <w:pPr>
      <w:spacing w:before="150" w:after="0" w:line="240" w:lineRule="auto"/>
    </w:pPr>
    <w:rPr>
      <w:rFonts w:ascii="Arial" w:eastAsia="Times New Roman" w:hAnsi="Arial" w:cs="Arial"/>
      <w:b/>
      <w:bCs/>
      <w:color w:val="666666"/>
      <w:sz w:val="23"/>
      <w:szCs w:val="23"/>
      <w:lang w:eastAsia="es-CO"/>
    </w:rPr>
  </w:style>
  <w:style w:type="paragraph" w:customStyle="1" w:styleId="columsugerencias">
    <w:name w:val="colum_sugerencias"/>
    <w:basedOn w:val="Normal"/>
    <w:rsid w:val="00401DFF"/>
    <w:pPr>
      <w:pBdr>
        <w:right w:val="single" w:sz="6" w:space="8" w:color="F2F2F2"/>
      </w:pBdr>
      <w:spacing w:after="0" w:line="240" w:lineRule="auto"/>
    </w:pPr>
    <w:rPr>
      <w:rFonts w:ascii="Times New Roman" w:eastAsia="Times New Roman" w:hAnsi="Times New Roman" w:cs="Times New Roman"/>
      <w:sz w:val="24"/>
      <w:szCs w:val="24"/>
      <w:lang w:eastAsia="es-CO"/>
    </w:rPr>
  </w:style>
  <w:style w:type="paragraph" w:customStyle="1" w:styleId="cntrinfousersug">
    <w:name w:val="cntr_info_user_sug"/>
    <w:basedOn w:val="Normal"/>
    <w:rsid w:val="00401DFF"/>
    <w:pPr>
      <w:pBdr>
        <w:top w:val="single" w:sz="6" w:space="4" w:color="FFFFFF"/>
        <w:left w:val="single" w:sz="6" w:space="8" w:color="FFFFFF"/>
        <w:bottom w:val="single" w:sz="6" w:space="4" w:color="FFFFFF"/>
        <w:right w:val="single" w:sz="6" w:space="2" w:color="FFFFFF"/>
      </w:pBdr>
      <w:spacing w:before="75" w:after="225" w:line="240" w:lineRule="auto"/>
      <w:ind w:right="75"/>
    </w:pPr>
    <w:rPr>
      <w:rFonts w:ascii="Times New Roman" w:eastAsia="Times New Roman" w:hAnsi="Times New Roman" w:cs="Times New Roman"/>
      <w:sz w:val="24"/>
      <w:szCs w:val="24"/>
      <w:lang w:eastAsia="es-CO"/>
    </w:rPr>
  </w:style>
  <w:style w:type="paragraph" w:customStyle="1" w:styleId="cntrinfousersugactive">
    <w:name w:val="cntr_info_user_sug_activ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225" w:line="240" w:lineRule="auto"/>
      <w:ind w:right="75"/>
    </w:pPr>
    <w:rPr>
      <w:rFonts w:ascii="Times New Roman" w:eastAsia="Times New Roman" w:hAnsi="Times New Roman" w:cs="Times New Roman"/>
      <w:sz w:val="24"/>
      <w:szCs w:val="24"/>
      <w:lang w:eastAsia="es-CO"/>
    </w:rPr>
  </w:style>
  <w:style w:type="paragraph" w:customStyle="1" w:styleId="nameusersuge">
    <w:name w:val="name_user_suge"/>
    <w:basedOn w:val="Normal"/>
    <w:rsid w:val="00401DFF"/>
    <w:pPr>
      <w:spacing w:before="100" w:beforeAutospacing="1" w:after="100" w:afterAutospacing="1" w:line="255" w:lineRule="atLeast"/>
    </w:pPr>
    <w:rPr>
      <w:rFonts w:ascii="Arial" w:eastAsia="Times New Roman" w:hAnsi="Arial" w:cs="Arial"/>
      <w:color w:val="006699"/>
      <w:sz w:val="18"/>
      <w:szCs w:val="18"/>
      <w:lang w:eastAsia="es-CO"/>
    </w:rPr>
  </w:style>
  <w:style w:type="paragraph" w:customStyle="1" w:styleId="cerrarsuge">
    <w:name w:val="cerrar_suge"/>
    <w:basedOn w:val="Normal"/>
    <w:rsid w:val="00401DFF"/>
    <w:pPr>
      <w:spacing w:before="100" w:beforeAutospacing="1" w:after="100" w:afterAutospacing="1" w:line="240" w:lineRule="auto"/>
    </w:pPr>
    <w:rPr>
      <w:rFonts w:ascii="Arial" w:eastAsia="Times New Roman" w:hAnsi="Arial" w:cs="Arial"/>
      <w:sz w:val="15"/>
      <w:szCs w:val="15"/>
      <w:lang w:eastAsia="es-CO"/>
    </w:rPr>
  </w:style>
  <w:style w:type="paragraph" w:customStyle="1" w:styleId="lnkamigoscomunsuge">
    <w:name w:val="lnk_amigos_comun_suge"/>
    <w:basedOn w:val="Normal"/>
    <w:rsid w:val="00401DFF"/>
    <w:pPr>
      <w:spacing w:before="100" w:beforeAutospacing="1" w:after="100" w:afterAutospacing="1" w:line="240" w:lineRule="auto"/>
    </w:pPr>
    <w:rPr>
      <w:rFonts w:ascii="Arial" w:eastAsia="Times New Roman" w:hAnsi="Arial" w:cs="Arial"/>
      <w:color w:val="666666"/>
      <w:sz w:val="18"/>
      <w:szCs w:val="18"/>
      <w:lang w:eastAsia="es-CO"/>
    </w:rPr>
  </w:style>
  <w:style w:type="paragraph" w:customStyle="1" w:styleId="lnkamigosagregarsuge">
    <w:name w:val="lnk_amigos_agregar_suge"/>
    <w:basedOn w:val="Normal"/>
    <w:rsid w:val="00401DFF"/>
    <w:pPr>
      <w:spacing w:before="100" w:beforeAutospacing="1" w:after="100" w:afterAutospacing="1" w:line="240" w:lineRule="auto"/>
    </w:pPr>
    <w:rPr>
      <w:rFonts w:ascii="Arial" w:eastAsia="Times New Roman" w:hAnsi="Arial" w:cs="Arial"/>
      <w:color w:val="666666"/>
      <w:sz w:val="18"/>
      <w:szCs w:val="18"/>
      <w:lang w:eastAsia="es-CO"/>
    </w:rPr>
  </w:style>
  <w:style w:type="paragraph" w:customStyle="1" w:styleId="opcasignargruposuge">
    <w:name w:val="opc_asignar_grupo_sug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tlopcasignarsug">
    <w:name w:val="ttl_opc_asignar_sug"/>
    <w:basedOn w:val="Normal"/>
    <w:rsid w:val="00401DFF"/>
    <w:pPr>
      <w:spacing w:before="100" w:beforeAutospacing="1" w:after="100" w:afterAutospacing="1" w:line="270" w:lineRule="atLeast"/>
    </w:pPr>
    <w:rPr>
      <w:rFonts w:ascii="Arial" w:eastAsia="Times New Roman" w:hAnsi="Arial" w:cs="Arial"/>
      <w:b/>
      <w:bCs/>
      <w:color w:val="575757"/>
      <w:sz w:val="18"/>
      <w:szCs w:val="18"/>
      <w:lang w:eastAsia="es-CO"/>
    </w:rPr>
  </w:style>
  <w:style w:type="paragraph" w:customStyle="1" w:styleId="mensajeagregar">
    <w:name w:val="mensaje_agregar"/>
    <w:basedOn w:val="Normal"/>
    <w:rsid w:val="00401DFF"/>
    <w:pPr>
      <w:shd w:val="clear" w:color="auto" w:fill="E3F1FF"/>
      <w:spacing w:before="105" w:after="0" w:line="240" w:lineRule="auto"/>
    </w:pPr>
    <w:rPr>
      <w:rFonts w:ascii="Times New Roman" w:eastAsia="Times New Roman" w:hAnsi="Times New Roman" w:cs="Times New Roman"/>
      <w:sz w:val="24"/>
      <w:szCs w:val="24"/>
      <w:lang w:eastAsia="es-CO"/>
    </w:rPr>
  </w:style>
  <w:style w:type="paragraph" w:customStyle="1" w:styleId="cntrbtngrlsuge">
    <w:name w:val="cntr_btn_grl_suge"/>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olumsugerenciashome">
    <w:name w:val="colum_sugerencias_home"/>
    <w:basedOn w:val="Normal"/>
    <w:rsid w:val="00401DFF"/>
    <w:pPr>
      <w:spacing w:after="0" w:line="240" w:lineRule="auto"/>
    </w:pPr>
    <w:rPr>
      <w:rFonts w:ascii="Times New Roman" w:eastAsia="Times New Roman" w:hAnsi="Times New Roman" w:cs="Times New Roman"/>
      <w:sz w:val="24"/>
      <w:szCs w:val="24"/>
      <w:lang w:eastAsia="es-CO"/>
    </w:rPr>
  </w:style>
  <w:style w:type="paragraph" w:customStyle="1" w:styleId="cntrboxhome">
    <w:name w:val="cntr_box_home"/>
    <w:basedOn w:val="Normal"/>
    <w:rsid w:val="00401DFF"/>
    <w:pPr>
      <w:pBdr>
        <w:top w:val="single" w:sz="6" w:space="0" w:color="EFEFEF"/>
        <w:left w:val="single" w:sz="6" w:space="0" w:color="EFEFEF"/>
        <w:bottom w:val="single" w:sz="6" w:space="0" w:color="EFEFEF"/>
        <w:right w:val="single" w:sz="6" w:space="0" w:color="EFEFEF"/>
      </w:pBdr>
      <w:spacing w:after="150" w:line="240" w:lineRule="auto"/>
      <w:ind w:right="750"/>
    </w:pPr>
    <w:rPr>
      <w:rFonts w:ascii="Times New Roman" w:eastAsia="Times New Roman" w:hAnsi="Times New Roman" w:cs="Times New Roman"/>
      <w:sz w:val="24"/>
      <w:szCs w:val="24"/>
      <w:lang w:eastAsia="es-CO"/>
    </w:rPr>
  </w:style>
  <w:style w:type="paragraph" w:customStyle="1" w:styleId="cntrinfousersughome">
    <w:name w:val="cntr_info_user_sug_home"/>
    <w:basedOn w:val="Normal"/>
    <w:rsid w:val="00401DFF"/>
    <w:pPr>
      <w:pBdr>
        <w:top w:val="single" w:sz="6" w:space="4" w:color="DBF0FB"/>
        <w:left w:val="single" w:sz="6" w:space="8" w:color="DBF0FB"/>
        <w:bottom w:val="single" w:sz="6" w:space="4" w:color="DBF0FB"/>
        <w:right w:val="single" w:sz="6" w:space="2" w:color="DBF0FB"/>
      </w:pBdr>
      <w:shd w:val="clear" w:color="auto" w:fill="F2F9FF"/>
      <w:spacing w:before="75" w:after="75" w:line="240" w:lineRule="auto"/>
      <w:ind w:right="75"/>
    </w:pPr>
    <w:rPr>
      <w:rFonts w:ascii="Times New Roman" w:eastAsia="Times New Roman" w:hAnsi="Times New Roman" w:cs="Times New Roman"/>
      <w:sz w:val="24"/>
      <w:szCs w:val="24"/>
      <w:lang w:eastAsia="es-CO"/>
    </w:rPr>
  </w:style>
  <w:style w:type="paragraph" w:customStyle="1" w:styleId="nameusersuge2">
    <w:name w:val="name_user_suge2"/>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lnkamigoscomunsugehome">
    <w:name w:val="lnk_amigos_comun_suge_home"/>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lnkamigosagregarsugehome">
    <w:name w:val="lnk_amigos_agregar_suge_home"/>
    <w:basedOn w:val="Normal"/>
    <w:rsid w:val="00401DFF"/>
    <w:pPr>
      <w:spacing w:before="100" w:beforeAutospacing="1" w:after="100" w:afterAutospacing="1" w:line="240" w:lineRule="auto"/>
    </w:pPr>
    <w:rPr>
      <w:rFonts w:ascii="Arial" w:eastAsia="Times New Roman" w:hAnsi="Arial" w:cs="Arial"/>
      <w:color w:val="666666"/>
      <w:sz w:val="17"/>
      <w:szCs w:val="17"/>
      <w:lang w:eastAsia="es-CO"/>
    </w:rPr>
  </w:style>
  <w:style w:type="paragraph" w:customStyle="1" w:styleId="nameusersugehome">
    <w:name w:val="name_user_suge_home"/>
    <w:basedOn w:val="Normal"/>
    <w:rsid w:val="00401DFF"/>
    <w:pPr>
      <w:spacing w:before="100" w:beforeAutospacing="1" w:after="100" w:afterAutospacing="1" w:line="225" w:lineRule="atLeast"/>
    </w:pPr>
    <w:rPr>
      <w:rFonts w:ascii="Arial" w:eastAsia="Times New Roman" w:hAnsi="Arial" w:cs="Arial"/>
      <w:color w:val="006699"/>
      <w:sz w:val="18"/>
      <w:szCs w:val="18"/>
      <w:lang w:eastAsia="es-CO"/>
    </w:rPr>
  </w:style>
  <w:style w:type="paragraph" w:customStyle="1" w:styleId="cntrttl01sughome">
    <w:name w:val="cntr_ttl01_sug_home"/>
    <w:basedOn w:val="Normal"/>
    <w:rsid w:val="00401DFF"/>
    <w:pPr>
      <w:pBdr>
        <w:bottom w:val="single" w:sz="2" w:space="0" w:color="EFEFEF"/>
      </w:pBd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lhisto">
    <w:name w:val="del_histo"/>
    <w:basedOn w:val="Normal"/>
    <w:rsid w:val="00401DFF"/>
    <w:pPr>
      <w:pBdr>
        <w:bottom w:val="single" w:sz="6" w:space="11" w:color="EFEFEF"/>
      </w:pBdr>
      <w:spacing w:before="100" w:beforeAutospacing="1" w:after="100" w:afterAutospacing="1" w:line="240" w:lineRule="auto"/>
      <w:jc w:val="right"/>
    </w:pPr>
    <w:rPr>
      <w:rFonts w:ascii="Arial" w:eastAsia="Times New Roman" w:hAnsi="Arial" w:cs="Arial"/>
      <w:sz w:val="17"/>
      <w:szCs w:val="17"/>
      <w:lang w:eastAsia="es-CO"/>
    </w:rPr>
  </w:style>
  <w:style w:type="paragraph" w:customStyle="1" w:styleId="nameuser2">
    <w:name w:val="name_user_2"/>
    <w:basedOn w:val="Normal"/>
    <w:rsid w:val="00401DFF"/>
    <w:pPr>
      <w:spacing w:before="100" w:beforeAutospacing="1" w:after="100" w:afterAutospacing="1" w:line="255" w:lineRule="atLeast"/>
    </w:pPr>
    <w:rPr>
      <w:rFonts w:ascii="Arial" w:eastAsia="Times New Roman" w:hAnsi="Arial" w:cs="Arial"/>
      <w:color w:val="006699"/>
      <w:sz w:val="20"/>
      <w:szCs w:val="20"/>
      <w:lang w:eastAsia="es-CO"/>
    </w:rPr>
  </w:style>
  <w:style w:type="paragraph" w:customStyle="1" w:styleId="infodescuser">
    <w:name w:val="info_desc_user"/>
    <w:basedOn w:val="Normal"/>
    <w:rsid w:val="00401DFF"/>
    <w:pPr>
      <w:spacing w:before="100" w:beforeAutospacing="1" w:after="100" w:afterAutospacing="1" w:line="255" w:lineRule="atLeast"/>
    </w:pPr>
    <w:rPr>
      <w:rFonts w:ascii="Arial" w:eastAsia="Times New Roman" w:hAnsi="Arial" w:cs="Arial"/>
      <w:b/>
      <w:bCs/>
      <w:color w:val="666666"/>
      <w:sz w:val="17"/>
      <w:szCs w:val="17"/>
      <w:lang w:eastAsia="es-CO"/>
    </w:rPr>
  </w:style>
  <w:style w:type="paragraph" w:customStyle="1" w:styleId="linksficha">
    <w:name w:val="links_fich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ntrnotasfotosp">
    <w:name w:val="cntr_notas_fotos_p"/>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gerror">
    <w:name w:val="msgerror"/>
    <w:basedOn w:val="Normal"/>
    <w:rsid w:val="00401DFF"/>
    <w:pPr>
      <w:spacing w:before="100" w:beforeAutospacing="1" w:after="100" w:afterAutospacing="1" w:line="240" w:lineRule="auto"/>
    </w:pPr>
    <w:rPr>
      <w:rFonts w:ascii="Arial" w:eastAsia="Times New Roman" w:hAnsi="Arial" w:cs="Arial"/>
      <w:color w:val="840000"/>
      <w:sz w:val="17"/>
      <w:szCs w:val="17"/>
      <w:lang w:eastAsia="es-CO"/>
    </w:rPr>
  </w:style>
  <w:style w:type="paragraph" w:customStyle="1" w:styleId="msgexito">
    <w:name w:val="msgexito"/>
    <w:basedOn w:val="Normal"/>
    <w:rsid w:val="00401DFF"/>
    <w:pPr>
      <w:spacing w:before="100" w:beforeAutospacing="1" w:after="100" w:afterAutospacing="1" w:line="240" w:lineRule="auto"/>
    </w:pPr>
    <w:rPr>
      <w:rFonts w:ascii="Arial" w:eastAsia="Times New Roman" w:hAnsi="Arial" w:cs="Arial"/>
      <w:color w:val="183D54"/>
      <w:sz w:val="17"/>
      <w:szCs w:val="17"/>
      <w:lang w:eastAsia="es-CO"/>
    </w:rPr>
  </w:style>
  <w:style w:type="paragraph" w:customStyle="1" w:styleId="tablink">
    <w:name w:val="tab_link"/>
    <w:basedOn w:val="Normal"/>
    <w:rsid w:val="00401DFF"/>
    <w:pPr>
      <w:spacing w:before="100" w:beforeAutospacing="1" w:after="100" w:afterAutospacing="1" w:line="240" w:lineRule="auto"/>
    </w:pPr>
    <w:rPr>
      <w:rFonts w:ascii="Tahoma" w:eastAsia="Times New Roman" w:hAnsi="Tahoma" w:cs="Tahoma"/>
      <w:b/>
      <w:bCs/>
      <w:color w:val="0D2E5B"/>
      <w:sz w:val="17"/>
      <w:szCs w:val="17"/>
      <w:lang w:eastAsia="es-CO"/>
    </w:rPr>
  </w:style>
  <w:style w:type="paragraph" w:customStyle="1" w:styleId="cinfoadic">
    <w:name w:val="cinfoadic"/>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unico">
    <w:name w:val="unic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ampo1">
    <w:name w:val="campo.1"/>
    <w:basedOn w:val="Fuentedeprrafopredeter"/>
    <w:rsid w:val="00401DFF"/>
  </w:style>
  <w:style w:type="paragraph" w:customStyle="1" w:styleId="cuadro">
    <w:name w:val="cuadr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cuerpo">
    <w:name w:val="cuerpo"/>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sangria">
    <w:name w:val="sangria"/>
    <w:basedOn w:val="Normal"/>
    <w:rsid w:val="00401DFF"/>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9913659">
      <w:bodyDiv w:val="1"/>
      <w:marLeft w:val="225"/>
      <w:marRight w:val="225"/>
      <w:marTop w:val="75"/>
      <w:marBottom w:val="0"/>
      <w:divBdr>
        <w:top w:val="none" w:sz="0" w:space="0" w:color="auto"/>
        <w:left w:val="none" w:sz="0" w:space="0" w:color="auto"/>
        <w:bottom w:val="none" w:sz="0" w:space="0" w:color="auto"/>
        <w:right w:val="none" w:sz="0" w:space="0" w:color="auto"/>
      </w:divBdr>
      <w:divsChild>
        <w:div w:id="1389184035">
          <w:marLeft w:val="0"/>
          <w:marRight w:val="0"/>
          <w:marTop w:val="0"/>
          <w:marBottom w:val="0"/>
          <w:divBdr>
            <w:top w:val="none" w:sz="0" w:space="0" w:color="auto"/>
            <w:left w:val="none" w:sz="0" w:space="0" w:color="auto"/>
            <w:bottom w:val="none" w:sz="0" w:space="0" w:color="auto"/>
            <w:right w:val="none" w:sz="0" w:space="0" w:color="auto"/>
          </w:divBdr>
          <w:divsChild>
            <w:div w:id="110907266">
              <w:marLeft w:val="0"/>
              <w:marRight w:val="0"/>
              <w:marTop w:val="0"/>
              <w:marBottom w:val="0"/>
              <w:divBdr>
                <w:top w:val="none" w:sz="0" w:space="0" w:color="auto"/>
                <w:left w:val="none" w:sz="0" w:space="0" w:color="auto"/>
                <w:bottom w:val="none" w:sz="0" w:space="0" w:color="auto"/>
                <w:right w:val="none" w:sz="0" w:space="0" w:color="auto"/>
              </w:divBdr>
              <w:divsChild>
                <w:div w:id="119874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57315">
          <w:marLeft w:val="0"/>
          <w:marRight w:val="0"/>
          <w:marTop w:val="0"/>
          <w:marBottom w:val="0"/>
          <w:divBdr>
            <w:top w:val="none" w:sz="0" w:space="0" w:color="auto"/>
            <w:left w:val="none" w:sz="0" w:space="0" w:color="auto"/>
            <w:bottom w:val="none" w:sz="0" w:space="0" w:color="auto"/>
            <w:right w:val="none" w:sz="0" w:space="0" w:color="auto"/>
          </w:divBdr>
          <w:divsChild>
            <w:div w:id="1092317896">
              <w:marLeft w:val="0"/>
              <w:marRight w:val="0"/>
              <w:marTop w:val="0"/>
              <w:marBottom w:val="0"/>
              <w:divBdr>
                <w:top w:val="none" w:sz="0" w:space="0" w:color="auto"/>
                <w:left w:val="none" w:sz="0" w:space="0" w:color="auto"/>
                <w:bottom w:val="none" w:sz="0" w:space="0" w:color="auto"/>
                <w:right w:val="none" w:sz="0" w:space="0" w:color="auto"/>
              </w:divBdr>
            </w:div>
          </w:divsChild>
        </w:div>
        <w:div w:id="1568300397">
          <w:marLeft w:val="0"/>
          <w:marRight w:val="0"/>
          <w:marTop w:val="0"/>
          <w:marBottom w:val="0"/>
          <w:divBdr>
            <w:top w:val="none" w:sz="0" w:space="0" w:color="auto"/>
            <w:left w:val="none" w:sz="0" w:space="0" w:color="auto"/>
            <w:bottom w:val="none" w:sz="0" w:space="0" w:color="auto"/>
            <w:right w:val="none" w:sz="0" w:space="0" w:color="auto"/>
          </w:divBdr>
          <w:divsChild>
            <w:div w:id="1085882001">
              <w:marLeft w:val="0"/>
              <w:marRight w:val="0"/>
              <w:marTop w:val="0"/>
              <w:marBottom w:val="0"/>
              <w:divBdr>
                <w:top w:val="none" w:sz="0" w:space="0" w:color="auto"/>
                <w:left w:val="none" w:sz="0" w:space="0" w:color="auto"/>
                <w:bottom w:val="none" w:sz="0" w:space="0" w:color="auto"/>
                <w:right w:val="none" w:sz="0" w:space="0" w:color="auto"/>
              </w:divBdr>
            </w:div>
          </w:divsChild>
        </w:div>
        <w:div w:id="32001018">
          <w:marLeft w:val="0"/>
          <w:marRight w:val="0"/>
          <w:marTop w:val="0"/>
          <w:marBottom w:val="0"/>
          <w:divBdr>
            <w:top w:val="none" w:sz="0" w:space="0" w:color="auto"/>
            <w:left w:val="none" w:sz="0" w:space="0" w:color="auto"/>
            <w:bottom w:val="none" w:sz="0" w:space="0" w:color="auto"/>
            <w:right w:val="none" w:sz="0" w:space="0" w:color="auto"/>
          </w:divBdr>
          <w:divsChild>
            <w:div w:id="1264533779">
              <w:marLeft w:val="0"/>
              <w:marRight w:val="0"/>
              <w:marTop w:val="0"/>
              <w:marBottom w:val="0"/>
              <w:divBdr>
                <w:top w:val="none" w:sz="0" w:space="0" w:color="auto"/>
                <w:left w:val="none" w:sz="0" w:space="0" w:color="auto"/>
                <w:bottom w:val="none" w:sz="0" w:space="0" w:color="auto"/>
                <w:right w:val="none" w:sz="0" w:space="0" w:color="auto"/>
              </w:divBdr>
            </w:div>
          </w:divsChild>
        </w:div>
        <w:div w:id="1116026526">
          <w:marLeft w:val="0"/>
          <w:marRight w:val="0"/>
          <w:marTop w:val="0"/>
          <w:marBottom w:val="0"/>
          <w:divBdr>
            <w:top w:val="none" w:sz="0" w:space="0" w:color="auto"/>
            <w:left w:val="none" w:sz="0" w:space="0" w:color="auto"/>
            <w:bottom w:val="none" w:sz="0" w:space="0" w:color="auto"/>
            <w:right w:val="none" w:sz="0" w:space="0" w:color="auto"/>
          </w:divBdr>
          <w:divsChild>
            <w:div w:id="799227476">
              <w:marLeft w:val="0"/>
              <w:marRight w:val="0"/>
              <w:marTop w:val="0"/>
              <w:marBottom w:val="0"/>
              <w:divBdr>
                <w:top w:val="none" w:sz="0" w:space="0" w:color="auto"/>
                <w:left w:val="none" w:sz="0" w:space="0" w:color="auto"/>
                <w:bottom w:val="none" w:sz="0" w:space="0" w:color="auto"/>
                <w:right w:val="none" w:sz="0" w:space="0" w:color="auto"/>
              </w:divBdr>
            </w:div>
          </w:divsChild>
        </w:div>
        <w:div w:id="902255636">
          <w:marLeft w:val="0"/>
          <w:marRight w:val="0"/>
          <w:marTop w:val="0"/>
          <w:marBottom w:val="0"/>
          <w:divBdr>
            <w:top w:val="none" w:sz="0" w:space="0" w:color="auto"/>
            <w:left w:val="none" w:sz="0" w:space="0" w:color="auto"/>
            <w:bottom w:val="none" w:sz="0" w:space="0" w:color="auto"/>
            <w:right w:val="none" w:sz="0" w:space="0" w:color="auto"/>
          </w:divBdr>
          <w:divsChild>
            <w:div w:id="1373462376">
              <w:marLeft w:val="0"/>
              <w:marRight w:val="0"/>
              <w:marTop w:val="0"/>
              <w:marBottom w:val="0"/>
              <w:divBdr>
                <w:top w:val="none" w:sz="0" w:space="0" w:color="auto"/>
                <w:left w:val="none" w:sz="0" w:space="0" w:color="auto"/>
                <w:bottom w:val="none" w:sz="0" w:space="0" w:color="auto"/>
                <w:right w:val="none" w:sz="0" w:space="0" w:color="auto"/>
              </w:divBdr>
            </w:div>
          </w:divsChild>
        </w:div>
        <w:div w:id="1678314461">
          <w:marLeft w:val="0"/>
          <w:marRight w:val="0"/>
          <w:marTop w:val="0"/>
          <w:marBottom w:val="0"/>
          <w:divBdr>
            <w:top w:val="none" w:sz="0" w:space="0" w:color="auto"/>
            <w:left w:val="none" w:sz="0" w:space="0" w:color="auto"/>
            <w:bottom w:val="none" w:sz="0" w:space="0" w:color="auto"/>
            <w:right w:val="none" w:sz="0" w:space="0" w:color="auto"/>
          </w:divBdr>
          <w:divsChild>
            <w:div w:id="248316357">
              <w:marLeft w:val="0"/>
              <w:marRight w:val="0"/>
              <w:marTop w:val="0"/>
              <w:marBottom w:val="0"/>
              <w:divBdr>
                <w:top w:val="none" w:sz="0" w:space="0" w:color="auto"/>
                <w:left w:val="none" w:sz="0" w:space="0" w:color="auto"/>
                <w:bottom w:val="none" w:sz="0" w:space="0" w:color="auto"/>
                <w:right w:val="none" w:sz="0" w:space="0" w:color="auto"/>
              </w:divBdr>
            </w:div>
          </w:divsChild>
        </w:div>
        <w:div w:id="1315404731">
          <w:marLeft w:val="0"/>
          <w:marRight w:val="0"/>
          <w:marTop w:val="0"/>
          <w:marBottom w:val="0"/>
          <w:divBdr>
            <w:top w:val="none" w:sz="0" w:space="0" w:color="auto"/>
            <w:left w:val="none" w:sz="0" w:space="0" w:color="auto"/>
            <w:bottom w:val="none" w:sz="0" w:space="0" w:color="auto"/>
            <w:right w:val="none" w:sz="0" w:space="0" w:color="auto"/>
          </w:divBdr>
          <w:divsChild>
            <w:div w:id="761872230">
              <w:marLeft w:val="0"/>
              <w:marRight w:val="0"/>
              <w:marTop w:val="0"/>
              <w:marBottom w:val="0"/>
              <w:divBdr>
                <w:top w:val="none" w:sz="0" w:space="0" w:color="auto"/>
                <w:left w:val="none" w:sz="0" w:space="0" w:color="auto"/>
                <w:bottom w:val="none" w:sz="0" w:space="0" w:color="auto"/>
                <w:right w:val="none" w:sz="0" w:space="0" w:color="auto"/>
              </w:divBdr>
            </w:div>
          </w:divsChild>
        </w:div>
        <w:div w:id="639311471">
          <w:marLeft w:val="0"/>
          <w:marRight w:val="0"/>
          <w:marTop w:val="0"/>
          <w:marBottom w:val="0"/>
          <w:divBdr>
            <w:top w:val="none" w:sz="0" w:space="0" w:color="auto"/>
            <w:left w:val="none" w:sz="0" w:space="0" w:color="auto"/>
            <w:bottom w:val="none" w:sz="0" w:space="0" w:color="auto"/>
            <w:right w:val="none" w:sz="0" w:space="0" w:color="auto"/>
          </w:divBdr>
          <w:divsChild>
            <w:div w:id="2142262272">
              <w:marLeft w:val="0"/>
              <w:marRight w:val="0"/>
              <w:marTop w:val="0"/>
              <w:marBottom w:val="0"/>
              <w:divBdr>
                <w:top w:val="none" w:sz="0" w:space="0" w:color="auto"/>
                <w:left w:val="none" w:sz="0" w:space="0" w:color="auto"/>
                <w:bottom w:val="none" w:sz="0" w:space="0" w:color="auto"/>
                <w:right w:val="none" w:sz="0" w:space="0" w:color="auto"/>
              </w:divBdr>
            </w:div>
          </w:divsChild>
        </w:div>
        <w:div w:id="1408458867">
          <w:marLeft w:val="0"/>
          <w:marRight w:val="0"/>
          <w:marTop w:val="0"/>
          <w:marBottom w:val="0"/>
          <w:divBdr>
            <w:top w:val="none" w:sz="0" w:space="0" w:color="auto"/>
            <w:left w:val="none" w:sz="0" w:space="0" w:color="auto"/>
            <w:bottom w:val="none" w:sz="0" w:space="0" w:color="auto"/>
            <w:right w:val="none" w:sz="0" w:space="0" w:color="auto"/>
          </w:divBdr>
          <w:divsChild>
            <w:div w:id="671297495">
              <w:marLeft w:val="0"/>
              <w:marRight w:val="0"/>
              <w:marTop w:val="0"/>
              <w:marBottom w:val="0"/>
              <w:divBdr>
                <w:top w:val="none" w:sz="0" w:space="0" w:color="auto"/>
                <w:left w:val="none" w:sz="0" w:space="0" w:color="auto"/>
                <w:bottom w:val="none" w:sz="0" w:space="0" w:color="auto"/>
                <w:right w:val="none" w:sz="0" w:space="0" w:color="auto"/>
              </w:divBdr>
            </w:div>
          </w:divsChild>
        </w:div>
        <w:div w:id="215091469">
          <w:marLeft w:val="0"/>
          <w:marRight w:val="0"/>
          <w:marTop w:val="0"/>
          <w:marBottom w:val="0"/>
          <w:divBdr>
            <w:top w:val="none" w:sz="0" w:space="0" w:color="auto"/>
            <w:left w:val="none" w:sz="0" w:space="0" w:color="auto"/>
            <w:bottom w:val="none" w:sz="0" w:space="0" w:color="auto"/>
            <w:right w:val="none" w:sz="0" w:space="0" w:color="auto"/>
          </w:divBdr>
          <w:divsChild>
            <w:div w:id="324282381">
              <w:marLeft w:val="0"/>
              <w:marRight w:val="0"/>
              <w:marTop w:val="0"/>
              <w:marBottom w:val="0"/>
              <w:divBdr>
                <w:top w:val="none" w:sz="0" w:space="0" w:color="auto"/>
                <w:left w:val="none" w:sz="0" w:space="0" w:color="auto"/>
                <w:bottom w:val="none" w:sz="0" w:space="0" w:color="auto"/>
                <w:right w:val="none" w:sz="0" w:space="0" w:color="auto"/>
              </w:divBdr>
            </w:div>
          </w:divsChild>
        </w:div>
        <w:div w:id="206794519">
          <w:marLeft w:val="0"/>
          <w:marRight w:val="0"/>
          <w:marTop w:val="0"/>
          <w:marBottom w:val="0"/>
          <w:divBdr>
            <w:top w:val="none" w:sz="0" w:space="0" w:color="auto"/>
            <w:left w:val="none" w:sz="0" w:space="0" w:color="auto"/>
            <w:bottom w:val="none" w:sz="0" w:space="0" w:color="auto"/>
            <w:right w:val="none" w:sz="0" w:space="0" w:color="auto"/>
          </w:divBdr>
          <w:divsChild>
            <w:div w:id="2049600670">
              <w:marLeft w:val="0"/>
              <w:marRight w:val="0"/>
              <w:marTop w:val="0"/>
              <w:marBottom w:val="0"/>
              <w:divBdr>
                <w:top w:val="none" w:sz="0" w:space="0" w:color="auto"/>
                <w:left w:val="none" w:sz="0" w:space="0" w:color="auto"/>
                <w:bottom w:val="none" w:sz="0" w:space="0" w:color="auto"/>
                <w:right w:val="none" w:sz="0" w:space="0" w:color="auto"/>
              </w:divBdr>
            </w:div>
          </w:divsChild>
        </w:div>
        <w:div w:id="795761300">
          <w:marLeft w:val="0"/>
          <w:marRight w:val="0"/>
          <w:marTop w:val="0"/>
          <w:marBottom w:val="0"/>
          <w:divBdr>
            <w:top w:val="none" w:sz="0" w:space="0" w:color="auto"/>
            <w:left w:val="none" w:sz="0" w:space="0" w:color="auto"/>
            <w:bottom w:val="none" w:sz="0" w:space="0" w:color="auto"/>
            <w:right w:val="none" w:sz="0" w:space="0" w:color="auto"/>
          </w:divBdr>
          <w:divsChild>
            <w:div w:id="109596051">
              <w:marLeft w:val="0"/>
              <w:marRight w:val="0"/>
              <w:marTop w:val="0"/>
              <w:marBottom w:val="0"/>
              <w:divBdr>
                <w:top w:val="none" w:sz="0" w:space="0" w:color="auto"/>
                <w:left w:val="none" w:sz="0" w:space="0" w:color="auto"/>
                <w:bottom w:val="none" w:sz="0" w:space="0" w:color="auto"/>
                <w:right w:val="none" w:sz="0" w:space="0" w:color="auto"/>
              </w:divBdr>
            </w:div>
          </w:divsChild>
        </w:div>
        <w:div w:id="997609998">
          <w:marLeft w:val="0"/>
          <w:marRight w:val="0"/>
          <w:marTop w:val="0"/>
          <w:marBottom w:val="0"/>
          <w:divBdr>
            <w:top w:val="none" w:sz="0" w:space="0" w:color="auto"/>
            <w:left w:val="none" w:sz="0" w:space="0" w:color="auto"/>
            <w:bottom w:val="none" w:sz="0" w:space="0" w:color="auto"/>
            <w:right w:val="none" w:sz="0" w:space="0" w:color="auto"/>
          </w:divBdr>
          <w:divsChild>
            <w:div w:id="2026251468">
              <w:marLeft w:val="0"/>
              <w:marRight w:val="0"/>
              <w:marTop w:val="0"/>
              <w:marBottom w:val="0"/>
              <w:divBdr>
                <w:top w:val="none" w:sz="0" w:space="0" w:color="auto"/>
                <w:left w:val="none" w:sz="0" w:space="0" w:color="auto"/>
                <w:bottom w:val="none" w:sz="0" w:space="0" w:color="auto"/>
                <w:right w:val="none" w:sz="0" w:space="0" w:color="auto"/>
              </w:divBdr>
            </w:div>
          </w:divsChild>
        </w:div>
        <w:div w:id="1517885453">
          <w:marLeft w:val="0"/>
          <w:marRight w:val="0"/>
          <w:marTop w:val="0"/>
          <w:marBottom w:val="0"/>
          <w:divBdr>
            <w:top w:val="none" w:sz="0" w:space="0" w:color="auto"/>
            <w:left w:val="none" w:sz="0" w:space="0" w:color="auto"/>
            <w:bottom w:val="none" w:sz="0" w:space="0" w:color="auto"/>
            <w:right w:val="none" w:sz="0" w:space="0" w:color="auto"/>
          </w:divBdr>
          <w:divsChild>
            <w:div w:id="155460793">
              <w:marLeft w:val="0"/>
              <w:marRight w:val="0"/>
              <w:marTop w:val="0"/>
              <w:marBottom w:val="0"/>
              <w:divBdr>
                <w:top w:val="none" w:sz="0" w:space="0" w:color="auto"/>
                <w:left w:val="none" w:sz="0" w:space="0" w:color="auto"/>
                <w:bottom w:val="none" w:sz="0" w:space="0" w:color="auto"/>
                <w:right w:val="none" w:sz="0" w:space="0" w:color="auto"/>
              </w:divBdr>
            </w:div>
          </w:divsChild>
        </w:div>
        <w:div w:id="133104508">
          <w:marLeft w:val="0"/>
          <w:marRight w:val="0"/>
          <w:marTop w:val="0"/>
          <w:marBottom w:val="0"/>
          <w:divBdr>
            <w:top w:val="none" w:sz="0" w:space="0" w:color="auto"/>
            <w:left w:val="none" w:sz="0" w:space="0" w:color="auto"/>
            <w:bottom w:val="none" w:sz="0" w:space="0" w:color="auto"/>
            <w:right w:val="none" w:sz="0" w:space="0" w:color="auto"/>
          </w:divBdr>
          <w:divsChild>
            <w:div w:id="1700937219">
              <w:marLeft w:val="0"/>
              <w:marRight w:val="0"/>
              <w:marTop w:val="0"/>
              <w:marBottom w:val="0"/>
              <w:divBdr>
                <w:top w:val="none" w:sz="0" w:space="0" w:color="auto"/>
                <w:left w:val="none" w:sz="0" w:space="0" w:color="auto"/>
                <w:bottom w:val="none" w:sz="0" w:space="0" w:color="auto"/>
                <w:right w:val="none" w:sz="0" w:space="0" w:color="auto"/>
              </w:divBdr>
            </w:div>
          </w:divsChild>
        </w:div>
        <w:div w:id="155918684">
          <w:marLeft w:val="0"/>
          <w:marRight w:val="0"/>
          <w:marTop w:val="0"/>
          <w:marBottom w:val="0"/>
          <w:divBdr>
            <w:top w:val="none" w:sz="0" w:space="0" w:color="auto"/>
            <w:left w:val="none" w:sz="0" w:space="0" w:color="auto"/>
            <w:bottom w:val="none" w:sz="0" w:space="0" w:color="auto"/>
            <w:right w:val="none" w:sz="0" w:space="0" w:color="auto"/>
          </w:divBdr>
          <w:divsChild>
            <w:div w:id="526524839">
              <w:marLeft w:val="0"/>
              <w:marRight w:val="0"/>
              <w:marTop w:val="0"/>
              <w:marBottom w:val="0"/>
              <w:divBdr>
                <w:top w:val="none" w:sz="0" w:space="0" w:color="auto"/>
                <w:left w:val="none" w:sz="0" w:space="0" w:color="auto"/>
                <w:bottom w:val="none" w:sz="0" w:space="0" w:color="auto"/>
                <w:right w:val="none" w:sz="0" w:space="0" w:color="auto"/>
              </w:divBdr>
            </w:div>
          </w:divsChild>
        </w:div>
        <w:div w:id="1422067622">
          <w:marLeft w:val="0"/>
          <w:marRight w:val="0"/>
          <w:marTop w:val="0"/>
          <w:marBottom w:val="0"/>
          <w:divBdr>
            <w:top w:val="none" w:sz="0" w:space="0" w:color="auto"/>
            <w:left w:val="none" w:sz="0" w:space="0" w:color="auto"/>
            <w:bottom w:val="none" w:sz="0" w:space="0" w:color="auto"/>
            <w:right w:val="none" w:sz="0" w:space="0" w:color="auto"/>
          </w:divBdr>
          <w:divsChild>
            <w:div w:id="1689138382">
              <w:marLeft w:val="0"/>
              <w:marRight w:val="0"/>
              <w:marTop w:val="0"/>
              <w:marBottom w:val="0"/>
              <w:divBdr>
                <w:top w:val="none" w:sz="0" w:space="0" w:color="auto"/>
                <w:left w:val="none" w:sz="0" w:space="0" w:color="auto"/>
                <w:bottom w:val="none" w:sz="0" w:space="0" w:color="auto"/>
                <w:right w:val="none" w:sz="0" w:space="0" w:color="auto"/>
              </w:divBdr>
            </w:div>
          </w:divsChild>
        </w:div>
        <w:div w:id="1112431194">
          <w:marLeft w:val="0"/>
          <w:marRight w:val="0"/>
          <w:marTop w:val="0"/>
          <w:marBottom w:val="0"/>
          <w:divBdr>
            <w:top w:val="none" w:sz="0" w:space="0" w:color="auto"/>
            <w:left w:val="none" w:sz="0" w:space="0" w:color="auto"/>
            <w:bottom w:val="none" w:sz="0" w:space="0" w:color="auto"/>
            <w:right w:val="none" w:sz="0" w:space="0" w:color="auto"/>
          </w:divBdr>
          <w:divsChild>
            <w:div w:id="1716195204">
              <w:marLeft w:val="0"/>
              <w:marRight w:val="0"/>
              <w:marTop w:val="0"/>
              <w:marBottom w:val="0"/>
              <w:divBdr>
                <w:top w:val="none" w:sz="0" w:space="0" w:color="auto"/>
                <w:left w:val="none" w:sz="0" w:space="0" w:color="auto"/>
                <w:bottom w:val="none" w:sz="0" w:space="0" w:color="auto"/>
                <w:right w:val="none" w:sz="0" w:space="0" w:color="auto"/>
              </w:divBdr>
            </w:div>
          </w:divsChild>
        </w:div>
        <w:div w:id="2120490586">
          <w:marLeft w:val="0"/>
          <w:marRight w:val="0"/>
          <w:marTop w:val="0"/>
          <w:marBottom w:val="0"/>
          <w:divBdr>
            <w:top w:val="none" w:sz="0" w:space="0" w:color="auto"/>
            <w:left w:val="none" w:sz="0" w:space="0" w:color="auto"/>
            <w:bottom w:val="none" w:sz="0" w:space="0" w:color="auto"/>
            <w:right w:val="none" w:sz="0" w:space="0" w:color="auto"/>
          </w:divBdr>
          <w:divsChild>
            <w:div w:id="1121536105">
              <w:marLeft w:val="0"/>
              <w:marRight w:val="0"/>
              <w:marTop w:val="0"/>
              <w:marBottom w:val="0"/>
              <w:divBdr>
                <w:top w:val="none" w:sz="0" w:space="0" w:color="auto"/>
                <w:left w:val="none" w:sz="0" w:space="0" w:color="auto"/>
                <w:bottom w:val="none" w:sz="0" w:space="0" w:color="auto"/>
                <w:right w:val="none" w:sz="0" w:space="0" w:color="auto"/>
              </w:divBdr>
            </w:div>
          </w:divsChild>
        </w:div>
        <w:div w:id="1109350991">
          <w:marLeft w:val="0"/>
          <w:marRight w:val="0"/>
          <w:marTop w:val="0"/>
          <w:marBottom w:val="0"/>
          <w:divBdr>
            <w:top w:val="none" w:sz="0" w:space="0" w:color="auto"/>
            <w:left w:val="none" w:sz="0" w:space="0" w:color="auto"/>
            <w:bottom w:val="none" w:sz="0" w:space="0" w:color="auto"/>
            <w:right w:val="none" w:sz="0" w:space="0" w:color="auto"/>
          </w:divBdr>
          <w:divsChild>
            <w:div w:id="1868173899">
              <w:marLeft w:val="0"/>
              <w:marRight w:val="0"/>
              <w:marTop w:val="0"/>
              <w:marBottom w:val="0"/>
              <w:divBdr>
                <w:top w:val="none" w:sz="0" w:space="0" w:color="auto"/>
                <w:left w:val="none" w:sz="0" w:space="0" w:color="auto"/>
                <w:bottom w:val="none" w:sz="0" w:space="0" w:color="auto"/>
                <w:right w:val="none" w:sz="0" w:space="0" w:color="auto"/>
              </w:divBdr>
              <w:divsChild>
                <w:div w:id="278804252">
                  <w:marLeft w:val="0"/>
                  <w:marRight w:val="0"/>
                  <w:marTop w:val="0"/>
                  <w:marBottom w:val="0"/>
                  <w:divBdr>
                    <w:top w:val="none" w:sz="0" w:space="0" w:color="auto"/>
                    <w:left w:val="none" w:sz="0" w:space="0" w:color="auto"/>
                    <w:bottom w:val="none" w:sz="0" w:space="0" w:color="auto"/>
                    <w:right w:val="none" w:sz="0" w:space="0" w:color="auto"/>
                  </w:divBdr>
                  <w:divsChild>
                    <w:div w:id="2099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079">
          <w:marLeft w:val="0"/>
          <w:marRight w:val="0"/>
          <w:marTop w:val="0"/>
          <w:marBottom w:val="0"/>
          <w:divBdr>
            <w:top w:val="none" w:sz="0" w:space="0" w:color="auto"/>
            <w:left w:val="none" w:sz="0" w:space="0" w:color="auto"/>
            <w:bottom w:val="none" w:sz="0" w:space="0" w:color="auto"/>
            <w:right w:val="none" w:sz="0" w:space="0" w:color="auto"/>
          </w:divBdr>
          <w:divsChild>
            <w:div w:id="789591172">
              <w:marLeft w:val="0"/>
              <w:marRight w:val="0"/>
              <w:marTop w:val="0"/>
              <w:marBottom w:val="0"/>
              <w:divBdr>
                <w:top w:val="none" w:sz="0" w:space="0" w:color="auto"/>
                <w:left w:val="none" w:sz="0" w:space="0" w:color="auto"/>
                <w:bottom w:val="none" w:sz="0" w:space="0" w:color="auto"/>
                <w:right w:val="none" w:sz="0" w:space="0" w:color="auto"/>
              </w:divBdr>
            </w:div>
          </w:divsChild>
        </w:div>
        <w:div w:id="235896619">
          <w:marLeft w:val="0"/>
          <w:marRight w:val="0"/>
          <w:marTop w:val="0"/>
          <w:marBottom w:val="0"/>
          <w:divBdr>
            <w:top w:val="none" w:sz="0" w:space="0" w:color="auto"/>
            <w:left w:val="none" w:sz="0" w:space="0" w:color="auto"/>
            <w:bottom w:val="none" w:sz="0" w:space="0" w:color="auto"/>
            <w:right w:val="none" w:sz="0" w:space="0" w:color="auto"/>
          </w:divBdr>
          <w:divsChild>
            <w:div w:id="672339376">
              <w:marLeft w:val="0"/>
              <w:marRight w:val="0"/>
              <w:marTop w:val="0"/>
              <w:marBottom w:val="0"/>
              <w:divBdr>
                <w:top w:val="none" w:sz="0" w:space="0" w:color="auto"/>
                <w:left w:val="none" w:sz="0" w:space="0" w:color="auto"/>
                <w:bottom w:val="none" w:sz="0" w:space="0" w:color="auto"/>
                <w:right w:val="none" w:sz="0" w:space="0" w:color="auto"/>
              </w:divBdr>
              <w:divsChild>
                <w:div w:id="1431007649">
                  <w:marLeft w:val="0"/>
                  <w:marRight w:val="0"/>
                  <w:marTop w:val="0"/>
                  <w:marBottom w:val="0"/>
                  <w:divBdr>
                    <w:top w:val="none" w:sz="0" w:space="0" w:color="auto"/>
                    <w:left w:val="none" w:sz="0" w:space="0" w:color="auto"/>
                    <w:bottom w:val="none" w:sz="0" w:space="0" w:color="auto"/>
                    <w:right w:val="none" w:sz="0" w:space="0" w:color="auto"/>
                  </w:divBdr>
                  <w:divsChild>
                    <w:div w:id="1185901608">
                      <w:marLeft w:val="0"/>
                      <w:marRight w:val="0"/>
                      <w:marTop w:val="0"/>
                      <w:marBottom w:val="0"/>
                      <w:divBdr>
                        <w:top w:val="none" w:sz="0" w:space="0" w:color="auto"/>
                        <w:left w:val="none" w:sz="0" w:space="0" w:color="auto"/>
                        <w:bottom w:val="none" w:sz="0" w:space="0" w:color="auto"/>
                        <w:right w:val="none" w:sz="0" w:space="0" w:color="auto"/>
                      </w:divBdr>
                    </w:div>
                  </w:divsChild>
                </w:div>
                <w:div w:id="1561868839">
                  <w:marLeft w:val="0"/>
                  <w:marRight w:val="0"/>
                  <w:marTop w:val="0"/>
                  <w:marBottom w:val="0"/>
                  <w:divBdr>
                    <w:top w:val="none" w:sz="0" w:space="0" w:color="auto"/>
                    <w:left w:val="none" w:sz="0" w:space="0" w:color="auto"/>
                    <w:bottom w:val="none" w:sz="0" w:space="0" w:color="auto"/>
                    <w:right w:val="none" w:sz="0" w:space="0" w:color="auto"/>
                  </w:divBdr>
                  <w:divsChild>
                    <w:div w:id="213667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106399">
          <w:marLeft w:val="0"/>
          <w:marRight w:val="0"/>
          <w:marTop w:val="0"/>
          <w:marBottom w:val="0"/>
          <w:divBdr>
            <w:top w:val="none" w:sz="0" w:space="0" w:color="auto"/>
            <w:left w:val="none" w:sz="0" w:space="0" w:color="auto"/>
            <w:bottom w:val="none" w:sz="0" w:space="0" w:color="auto"/>
            <w:right w:val="none" w:sz="0" w:space="0" w:color="auto"/>
          </w:divBdr>
          <w:divsChild>
            <w:div w:id="2013754027">
              <w:marLeft w:val="0"/>
              <w:marRight w:val="0"/>
              <w:marTop w:val="0"/>
              <w:marBottom w:val="0"/>
              <w:divBdr>
                <w:top w:val="none" w:sz="0" w:space="0" w:color="auto"/>
                <w:left w:val="none" w:sz="0" w:space="0" w:color="auto"/>
                <w:bottom w:val="none" w:sz="0" w:space="0" w:color="auto"/>
                <w:right w:val="none" w:sz="0" w:space="0" w:color="auto"/>
              </w:divBdr>
            </w:div>
          </w:divsChild>
        </w:div>
        <w:div w:id="1970699832">
          <w:marLeft w:val="0"/>
          <w:marRight w:val="0"/>
          <w:marTop w:val="0"/>
          <w:marBottom w:val="0"/>
          <w:divBdr>
            <w:top w:val="none" w:sz="0" w:space="0" w:color="auto"/>
            <w:left w:val="none" w:sz="0" w:space="0" w:color="auto"/>
            <w:bottom w:val="none" w:sz="0" w:space="0" w:color="auto"/>
            <w:right w:val="none" w:sz="0" w:space="0" w:color="auto"/>
          </w:divBdr>
          <w:divsChild>
            <w:div w:id="1109398402">
              <w:marLeft w:val="0"/>
              <w:marRight w:val="0"/>
              <w:marTop w:val="0"/>
              <w:marBottom w:val="0"/>
              <w:divBdr>
                <w:top w:val="none" w:sz="0" w:space="0" w:color="auto"/>
                <w:left w:val="none" w:sz="0" w:space="0" w:color="auto"/>
                <w:bottom w:val="none" w:sz="0" w:space="0" w:color="auto"/>
                <w:right w:val="none" w:sz="0" w:space="0" w:color="auto"/>
              </w:divBdr>
            </w:div>
          </w:divsChild>
        </w:div>
        <w:div w:id="1912614742">
          <w:marLeft w:val="0"/>
          <w:marRight w:val="0"/>
          <w:marTop w:val="0"/>
          <w:marBottom w:val="0"/>
          <w:divBdr>
            <w:top w:val="none" w:sz="0" w:space="0" w:color="auto"/>
            <w:left w:val="none" w:sz="0" w:space="0" w:color="auto"/>
            <w:bottom w:val="none" w:sz="0" w:space="0" w:color="auto"/>
            <w:right w:val="none" w:sz="0" w:space="0" w:color="auto"/>
          </w:divBdr>
          <w:divsChild>
            <w:div w:id="827477227">
              <w:marLeft w:val="0"/>
              <w:marRight w:val="0"/>
              <w:marTop w:val="0"/>
              <w:marBottom w:val="0"/>
              <w:divBdr>
                <w:top w:val="none" w:sz="0" w:space="0" w:color="auto"/>
                <w:left w:val="none" w:sz="0" w:space="0" w:color="auto"/>
                <w:bottom w:val="none" w:sz="0" w:space="0" w:color="auto"/>
                <w:right w:val="none" w:sz="0" w:space="0" w:color="auto"/>
              </w:divBdr>
            </w:div>
          </w:divsChild>
        </w:div>
        <w:div w:id="459223400">
          <w:marLeft w:val="0"/>
          <w:marRight w:val="0"/>
          <w:marTop w:val="0"/>
          <w:marBottom w:val="0"/>
          <w:divBdr>
            <w:top w:val="none" w:sz="0" w:space="0" w:color="auto"/>
            <w:left w:val="none" w:sz="0" w:space="0" w:color="auto"/>
            <w:bottom w:val="none" w:sz="0" w:space="0" w:color="auto"/>
            <w:right w:val="none" w:sz="0" w:space="0" w:color="auto"/>
          </w:divBdr>
          <w:divsChild>
            <w:div w:id="98723498">
              <w:marLeft w:val="0"/>
              <w:marRight w:val="0"/>
              <w:marTop w:val="0"/>
              <w:marBottom w:val="0"/>
              <w:divBdr>
                <w:top w:val="none" w:sz="0" w:space="0" w:color="auto"/>
                <w:left w:val="none" w:sz="0" w:space="0" w:color="auto"/>
                <w:bottom w:val="none" w:sz="0" w:space="0" w:color="auto"/>
                <w:right w:val="none" w:sz="0" w:space="0" w:color="auto"/>
              </w:divBdr>
              <w:divsChild>
                <w:div w:id="182521875">
                  <w:marLeft w:val="0"/>
                  <w:marRight w:val="0"/>
                  <w:marTop w:val="0"/>
                  <w:marBottom w:val="0"/>
                  <w:divBdr>
                    <w:top w:val="none" w:sz="0" w:space="0" w:color="auto"/>
                    <w:left w:val="none" w:sz="0" w:space="0" w:color="auto"/>
                    <w:bottom w:val="none" w:sz="0" w:space="0" w:color="auto"/>
                    <w:right w:val="none" w:sz="0" w:space="0" w:color="auto"/>
                  </w:divBdr>
                  <w:divsChild>
                    <w:div w:id="3476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447018">
          <w:marLeft w:val="0"/>
          <w:marRight w:val="0"/>
          <w:marTop w:val="0"/>
          <w:marBottom w:val="0"/>
          <w:divBdr>
            <w:top w:val="none" w:sz="0" w:space="0" w:color="auto"/>
            <w:left w:val="none" w:sz="0" w:space="0" w:color="auto"/>
            <w:bottom w:val="none" w:sz="0" w:space="0" w:color="auto"/>
            <w:right w:val="none" w:sz="0" w:space="0" w:color="auto"/>
          </w:divBdr>
          <w:divsChild>
            <w:div w:id="165292818">
              <w:marLeft w:val="0"/>
              <w:marRight w:val="0"/>
              <w:marTop w:val="0"/>
              <w:marBottom w:val="0"/>
              <w:divBdr>
                <w:top w:val="none" w:sz="0" w:space="0" w:color="auto"/>
                <w:left w:val="none" w:sz="0" w:space="0" w:color="auto"/>
                <w:bottom w:val="none" w:sz="0" w:space="0" w:color="auto"/>
                <w:right w:val="none" w:sz="0" w:space="0" w:color="auto"/>
              </w:divBdr>
            </w:div>
          </w:divsChild>
        </w:div>
        <w:div w:id="247010259">
          <w:marLeft w:val="0"/>
          <w:marRight w:val="0"/>
          <w:marTop w:val="0"/>
          <w:marBottom w:val="0"/>
          <w:divBdr>
            <w:top w:val="none" w:sz="0" w:space="0" w:color="auto"/>
            <w:left w:val="none" w:sz="0" w:space="0" w:color="auto"/>
            <w:bottom w:val="none" w:sz="0" w:space="0" w:color="auto"/>
            <w:right w:val="none" w:sz="0" w:space="0" w:color="auto"/>
          </w:divBdr>
          <w:divsChild>
            <w:div w:id="235937761">
              <w:marLeft w:val="0"/>
              <w:marRight w:val="0"/>
              <w:marTop w:val="0"/>
              <w:marBottom w:val="0"/>
              <w:divBdr>
                <w:top w:val="none" w:sz="0" w:space="0" w:color="auto"/>
                <w:left w:val="none" w:sz="0" w:space="0" w:color="auto"/>
                <w:bottom w:val="none" w:sz="0" w:space="0" w:color="auto"/>
                <w:right w:val="none" w:sz="0" w:space="0" w:color="auto"/>
              </w:divBdr>
            </w:div>
          </w:divsChild>
        </w:div>
        <w:div w:id="2128961953">
          <w:marLeft w:val="0"/>
          <w:marRight w:val="0"/>
          <w:marTop w:val="0"/>
          <w:marBottom w:val="0"/>
          <w:divBdr>
            <w:top w:val="none" w:sz="0" w:space="0" w:color="auto"/>
            <w:left w:val="none" w:sz="0" w:space="0" w:color="auto"/>
            <w:bottom w:val="none" w:sz="0" w:space="0" w:color="auto"/>
            <w:right w:val="none" w:sz="0" w:space="0" w:color="auto"/>
          </w:divBdr>
          <w:divsChild>
            <w:div w:id="848712386">
              <w:marLeft w:val="0"/>
              <w:marRight w:val="0"/>
              <w:marTop w:val="0"/>
              <w:marBottom w:val="0"/>
              <w:divBdr>
                <w:top w:val="none" w:sz="0" w:space="0" w:color="auto"/>
                <w:left w:val="none" w:sz="0" w:space="0" w:color="auto"/>
                <w:bottom w:val="none" w:sz="0" w:space="0" w:color="auto"/>
                <w:right w:val="none" w:sz="0" w:space="0" w:color="auto"/>
              </w:divBdr>
            </w:div>
          </w:divsChild>
        </w:div>
        <w:div w:id="520246968">
          <w:marLeft w:val="0"/>
          <w:marRight w:val="0"/>
          <w:marTop w:val="0"/>
          <w:marBottom w:val="0"/>
          <w:divBdr>
            <w:top w:val="none" w:sz="0" w:space="0" w:color="auto"/>
            <w:left w:val="none" w:sz="0" w:space="0" w:color="auto"/>
            <w:bottom w:val="none" w:sz="0" w:space="0" w:color="auto"/>
            <w:right w:val="none" w:sz="0" w:space="0" w:color="auto"/>
          </w:divBdr>
          <w:divsChild>
            <w:div w:id="310406940">
              <w:marLeft w:val="0"/>
              <w:marRight w:val="0"/>
              <w:marTop w:val="0"/>
              <w:marBottom w:val="0"/>
              <w:divBdr>
                <w:top w:val="none" w:sz="0" w:space="0" w:color="auto"/>
                <w:left w:val="none" w:sz="0" w:space="0" w:color="auto"/>
                <w:bottom w:val="none" w:sz="0" w:space="0" w:color="auto"/>
                <w:right w:val="none" w:sz="0" w:space="0" w:color="auto"/>
              </w:divBdr>
            </w:div>
          </w:divsChild>
        </w:div>
        <w:div w:id="1894458581">
          <w:marLeft w:val="0"/>
          <w:marRight w:val="0"/>
          <w:marTop w:val="0"/>
          <w:marBottom w:val="0"/>
          <w:divBdr>
            <w:top w:val="none" w:sz="0" w:space="0" w:color="auto"/>
            <w:left w:val="none" w:sz="0" w:space="0" w:color="auto"/>
            <w:bottom w:val="none" w:sz="0" w:space="0" w:color="auto"/>
            <w:right w:val="none" w:sz="0" w:space="0" w:color="auto"/>
          </w:divBdr>
          <w:divsChild>
            <w:div w:id="1392651787">
              <w:marLeft w:val="0"/>
              <w:marRight w:val="0"/>
              <w:marTop w:val="0"/>
              <w:marBottom w:val="0"/>
              <w:divBdr>
                <w:top w:val="none" w:sz="0" w:space="0" w:color="auto"/>
                <w:left w:val="none" w:sz="0" w:space="0" w:color="auto"/>
                <w:bottom w:val="none" w:sz="0" w:space="0" w:color="auto"/>
                <w:right w:val="none" w:sz="0" w:space="0" w:color="auto"/>
              </w:divBdr>
            </w:div>
          </w:divsChild>
        </w:div>
        <w:div w:id="377628503">
          <w:marLeft w:val="0"/>
          <w:marRight w:val="0"/>
          <w:marTop w:val="0"/>
          <w:marBottom w:val="0"/>
          <w:divBdr>
            <w:top w:val="none" w:sz="0" w:space="0" w:color="auto"/>
            <w:left w:val="none" w:sz="0" w:space="0" w:color="auto"/>
            <w:bottom w:val="none" w:sz="0" w:space="0" w:color="auto"/>
            <w:right w:val="none" w:sz="0" w:space="0" w:color="auto"/>
          </w:divBdr>
          <w:divsChild>
            <w:div w:id="1372151185">
              <w:marLeft w:val="0"/>
              <w:marRight w:val="0"/>
              <w:marTop w:val="0"/>
              <w:marBottom w:val="0"/>
              <w:divBdr>
                <w:top w:val="none" w:sz="0" w:space="0" w:color="auto"/>
                <w:left w:val="none" w:sz="0" w:space="0" w:color="auto"/>
                <w:bottom w:val="none" w:sz="0" w:space="0" w:color="auto"/>
                <w:right w:val="none" w:sz="0" w:space="0" w:color="auto"/>
              </w:divBdr>
            </w:div>
          </w:divsChild>
        </w:div>
        <w:div w:id="399601396">
          <w:marLeft w:val="0"/>
          <w:marRight w:val="0"/>
          <w:marTop w:val="0"/>
          <w:marBottom w:val="0"/>
          <w:divBdr>
            <w:top w:val="none" w:sz="0" w:space="0" w:color="auto"/>
            <w:left w:val="none" w:sz="0" w:space="0" w:color="auto"/>
            <w:bottom w:val="none" w:sz="0" w:space="0" w:color="auto"/>
            <w:right w:val="none" w:sz="0" w:space="0" w:color="auto"/>
          </w:divBdr>
          <w:divsChild>
            <w:div w:id="1893926543">
              <w:marLeft w:val="0"/>
              <w:marRight w:val="0"/>
              <w:marTop w:val="0"/>
              <w:marBottom w:val="0"/>
              <w:divBdr>
                <w:top w:val="none" w:sz="0" w:space="0" w:color="auto"/>
                <w:left w:val="none" w:sz="0" w:space="0" w:color="auto"/>
                <w:bottom w:val="none" w:sz="0" w:space="0" w:color="auto"/>
                <w:right w:val="none" w:sz="0" w:space="0" w:color="auto"/>
              </w:divBdr>
            </w:div>
          </w:divsChild>
        </w:div>
        <w:div w:id="1580677852">
          <w:marLeft w:val="0"/>
          <w:marRight w:val="0"/>
          <w:marTop w:val="0"/>
          <w:marBottom w:val="0"/>
          <w:divBdr>
            <w:top w:val="none" w:sz="0" w:space="0" w:color="auto"/>
            <w:left w:val="none" w:sz="0" w:space="0" w:color="auto"/>
            <w:bottom w:val="none" w:sz="0" w:space="0" w:color="auto"/>
            <w:right w:val="none" w:sz="0" w:space="0" w:color="auto"/>
          </w:divBdr>
          <w:divsChild>
            <w:div w:id="1186482977">
              <w:marLeft w:val="0"/>
              <w:marRight w:val="0"/>
              <w:marTop w:val="0"/>
              <w:marBottom w:val="0"/>
              <w:divBdr>
                <w:top w:val="none" w:sz="0" w:space="0" w:color="auto"/>
                <w:left w:val="none" w:sz="0" w:space="0" w:color="auto"/>
                <w:bottom w:val="none" w:sz="0" w:space="0" w:color="auto"/>
                <w:right w:val="none" w:sz="0" w:space="0" w:color="auto"/>
              </w:divBdr>
            </w:div>
          </w:divsChild>
        </w:div>
        <w:div w:id="541402002">
          <w:marLeft w:val="0"/>
          <w:marRight w:val="0"/>
          <w:marTop w:val="0"/>
          <w:marBottom w:val="0"/>
          <w:divBdr>
            <w:top w:val="none" w:sz="0" w:space="0" w:color="auto"/>
            <w:left w:val="none" w:sz="0" w:space="0" w:color="auto"/>
            <w:bottom w:val="none" w:sz="0" w:space="0" w:color="auto"/>
            <w:right w:val="none" w:sz="0" w:space="0" w:color="auto"/>
          </w:divBdr>
          <w:divsChild>
            <w:div w:id="389814311">
              <w:marLeft w:val="0"/>
              <w:marRight w:val="0"/>
              <w:marTop w:val="0"/>
              <w:marBottom w:val="0"/>
              <w:divBdr>
                <w:top w:val="none" w:sz="0" w:space="0" w:color="auto"/>
                <w:left w:val="none" w:sz="0" w:space="0" w:color="auto"/>
                <w:bottom w:val="none" w:sz="0" w:space="0" w:color="auto"/>
                <w:right w:val="none" w:sz="0" w:space="0" w:color="auto"/>
              </w:divBdr>
            </w:div>
          </w:divsChild>
        </w:div>
        <w:div w:id="1589844969">
          <w:marLeft w:val="0"/>
          <w:marRight w:val="0"/>
          <w:marTop w:val="0"/>
          <w:marBottom w:val="0"/>
          <w:divBdr>
            <w:top w:val="none" w:sz="0" w:space="0" w:color="auto"/>
            <w:left w:val="none" w:sz="0" w:space="0" w:color="auto"/>
            <w:bottom w:val="none" w:sz="0" w:space="0" w:color="auto"/>
            <w:right w:val="none" w:sz="0" w:space="0" w:color="auto"/>
          </w:divBdr>
          <w:divsChild>
            <w:div w:id="1579174376">
              <w:marLeft w:val="0"/>
              <w:marRight w:val="0"/>
              <w:marTop w:val="0"/>
              <w:marBottom w:val="0"/>
              <w:divBdr>
                <w:top w:val="none" w:sz="0" w:space="0" w:color="auto"/>
                <w:left w:val="none" w:sz="0" w:space="0" w:color="auto"/>
                <w:bottom w:val="none" w:sz="0" w:space="0" w:color="auto"/>
                <w:right w:val="none" w:sz="0" w:space="0" w:color="auto"/>
              </w:divBdr>
            </w:div>
          </w:divsChild>
        </w:div>
        <w:div w:id="1844278392">
          <w:marLeft w:val="0"/>
          <w:marRight w:val="0"/>
          <w:marTop w:val="0"/>
          <w:marBottom w:val="0"/>
          <w:divBdr>
            <w:top w:val="none" w:sz="0" w:space="0" w:color="auto"/>
            <w:left w:val="none" w:sz="0" w:space="0" w:color="auto"/>
            <w:bottom w:val="none" w:sz="0" w:space="0" w:color="auto"/>
            <w:right w:val="none" w:sz="0" w:space="0" w:color="auto"/>
          </w:divBdr>
          <w:divsChild>
            <w:div w:id="757991057">
              <w:marLeft w:val="0"/>
              <w:marRight w:val="0"/>
              <w:marTop w:val="0"/>
              <w:marBottom w:val="0"/>
              <w:divBdr>
                <w:top w:val="none" w:sz="0" w:space="0" w:color="auto"/>
                <w:left w:val="none" w:sz="0" w:space="0" w:color="auto"/>
                <w:bottom w:val="none" w:sz="0" w:space="0" w:color="auto"/>
                <w:right w:val="none" w:sz="0" w:space="0" w:color="auto"/>
              </w:divBdr>
            </w:div>
          </w:divsChild>
        </w:div>
        <w:div w:id="1523978200">
          <w:marLeft w:val="0"/>
          <w:marRight w:val="0"/>
          <w:marTop w:val="0"/>
          <w:marBottom w:val="0"/>
          <w:divBdr>
            <w:top w:val="none" w:sz="0" w:space="0" w:color="auto"/>
            <w:left w:val="none" w:sz="0" w:space="0" w:color="auto"/>
            <w:bottom w:val="none" w:sz="0" w:space="0" w:color="auto"/>
            <w:right w:val="none" w:sz="0" w:space="0" w:color="auto"/>
          </w:divBdr>
          <w:divsChild>
            <w:div w:id="2144349940">
              <w:marLeft w:val="0"/>
              <w:marRight w:val="0"/>
              <w:marTop w:val="0"/>
              <w:marBottom w:val="0"/>
              <w:divBdr>
                <w:top w:val="none" w:sz="0" w:space="0" w:color="auto"/>
                <w:left w:val="none" w:sz="0" w:space="0" w:color="auto"/>
                <w:bottom w:val="none" w:sz="0" w:space="0" w:color="auto"/>
                <w:right w:val="none" w:sz="0" w:space="0" w:color="auto"/>
              </w:divBdr>
            </w:div>
          </w:divsChild>
        </w:div>
        <w:div w:id="715667024">
          <w:marLeft w:val="0"/>
          <w:marRight w:val="0"/>
          <w:marTop w:val="0"/>
          <w:marBottom w:val="0"/>
          <w:divBdr>
            <w:top w:val="none" w:sz="0" w:space="0" w:color="auto"/>
            <w:left w:val="none" w:sz="0" w:space="0" w:color="auto"/>
            <w:bottom w:val="none" w:sz="0" w:space="0" w:color="auto"/>
            <w:right w:val="none" w:sz="0" w:space="0" w:color="auto"/>
          </w:divBdr>
          <w:divsChild>
            <w:div w:id="20058418">
              <w:marLeft w:val="0"/>
              <w:marRight w:val="0"/>
              <w:marTop w:val="0"/>
              <w:marBottom w:val="0"/>
              <w:divBdr>
                <w:top w:val="none" w:sz="0" w:space="0" w:color="auto"/>
                <w:left w:val="none" w:sz="0" w:space="0" w:color="auto"/>
                <w:bottom w:val="none" w:sz="0" w:space="0" w:color="auto"/>
                <w:right w:val="none" w:sz="0" w:space="0" w:color="auto"/>
              </w:divBdr>
            </w:div>
          </w:divsChild>
        </w:div>
        <w:div w:id="935558557">
          <w:marLeft w:val="0"/>
          <w:marRight w:val="0"/>
          <w:marTop w:val="0"/>
          <w:marBottom w:val="0"/>
          <w:divBdr>
            <w:top w:val="none" w:sz="0" w:space="0" w:color="auto"/>
            <w:left w:val="none" w:sz="0" w:space="0" w:color="auto"/>
            <w:bottom w:val="none" w:sz="0" w:space="0" w:color="auto"/>
            <w:right w:val="none" w:sz="0" w:space="0" w:color="auto"/>
          </w:divBdr>
          <w:divsChild>
            <w:div w:id="696154332">
              <w:marLeft w:val="0"/>
              <w:marRight w:val="0"/>
              <w:marTop w:val="0"/>
              <w:marBottom w:val="0"/>
              <w:divBdr>
                <w:top w:val="none" w:sz="0" w:space="0" w:color="auto"/>
                <w:left w:val="none" w:sz="0" w:space="0" w:color="auto"/>
                <w:bottom w:val="none" w:sz="0" w:space="0" w:color="auto"/>
                <w:right w:val="none" w:sz="0" w:space="0" w:color="auto"/>
              </w:divBdr>
            </w:div>
          </w:divsChild>
        </w:div>
        <w:div w:id="1499803224">
          <w:marLeft w:val="0"/>
          <w:marRight w:val="0"/>
          <w:marTop w:val="0"/>
          <w:marBottom w:val="0"/>
          <w:divBdr>
            <w:top w:val="none" w:sz="0" w:space="0" w:color="auto"/>
            <w:left w:val="none" w:sz="0" w:space="0" w:color="auto"/>
            <w:bottom w:val="none" w:sz="0" w:space="0" w:color="auto"/>
            <w:right w:val="none" w:sz="0" w:space="0" w:color="auto"/>
          </w:divBdr>
          <w:divsChild>
            <w:div w:id="1337686864">
              <w:marLeft w:val="0"/>
              <w:marRight w:val="0"/>
              <w:marTop w:val="0"/>
              <w:marBottom w:val="0"/>
              <w:divBdr>
                <w:top w:val="none" w:sz="0" w:space="0" w:color="auto"/>
                <w:left w:val="none" w:sz="0" w:space="0" w:color="auto"/>
                <w:bottom w:val="none" w:sz="0" w:space="0" w:color="auto"/>
                <w:right w:val="none" w:sz="0" w:space="0" w:color="auto"/>
              </w:divBdr>
            </w:div>
          </w:divsChild>
        </w:div>
        <w:div w:id="580412714">
          <w:marLeft w:val="0"/>
          <w:marRight w:val="0"/>
          <w:marTop w:val="0"/>
          <w:marBottom w:val="0"/>
          <w:divBdr>
            <w:top w:val="none" w:sz="0" w:space="0" w:color="auto"/>
            <w:left w:val="none" w:sz="0" w:space="0" w:color="auto"/>
            <w:bottom w:val="none" w:sz="0" w:space="0" w:color="auto"/>
            <w:right w:val="none" w:sz="0" w:space="0" w:color="auto"/>
          </w:divBdr>
          <w:divsChild>
            <w:div w:id="2019312108">
              <w:marLeft w:val="0"/>
              <w:marRight w:val="0"/>
              <w:marTop w:val="0"/>
              <w:marBottom w:val="0"/>
              <w:divBdr>
                <w:top w:val="none" w:sz="0" w:space="0" w:color="auto"/>
                <w:left w:val="none" w:sz="0" w:space="0" w:color="auto"/>
                <w:bottom w:val="none" w:sz="0" w:space="0" w:color="auto"/>
                <w:right w:val="none" w:sz="0" w:space="0" w:color="auto"/>
              </w:divBdr>
            </w:div>
          </w:divsChild>
        </w:div>
        <w:div w:id="63989805">
          <w:marLeft w:val="0"/>
          <w:marRight w:val="0"/>
          <w:marTop w:val="0"/>
          <w:marBottom w:val="0"/>
          <w:divBdr>
            <w:top w:val="none" w:sz="0" w:space="0" w:color="auto"/>
            <w:left w:val="none" w:sz="0" w:space="0" w:color="auto"/>
            <w:bottom w:val="none" w:sz="0" w:space="0" w:color="auto"/>
            <w:right w:val="none" w:sz="0" w:space="0" w:color="auto"/>
          </w:divBdr>
          <w:divsChild>
            <w:div w:id="1017462238">
              <w:marLeft w:val="0"/>
              <w:marRight w:val="0"/>
              <w:marTop w:val="0"/>
              <w:marBottom w:val="0"/>
              <w:divBdr>
                <w:top w:val="none" w:sz="0" w:space="0" w:color="auto"/>
                <w:left w:val="none" w:sz="0" w:space="0" w:color="auto"/>
                <w:bottom w:val="none" w:sz="0" w:space="0" w:color="auto"/>
                <w:right w:val="none" w:sz="0" w:space="0" w:color="auto"/>
              </w:divBdr>
            </w:div>
          </w:divsChild>
        </w:div>
        <w:div w:id="1317875312">
          <w:marLeft w:val="0"/>
          <w:marRight w:val="0"/>
          <w:marTop w:val="0"/>
          <w:marBottom w:val="0"/>
          <w:divBdr>
            <w:top w:val="none" w:sz="0" w:space="0" w:color="auto"/>
            <w:left w:val="none" w:sz="0" w:space="0" w:color="auto"/>
            <w:bottom w:val="none" w:sz="0" w:space="0" w:color="auto"/>
            <w:right w:val="none" w:sz="0" w:space="0" w:color="auto"/>
          </w:divBdr>
          <w:divsChild>
            <w:div w:id="1678073311">
              <w:marLeft w:val="0"/>
              <w:marRight w:val="0"/>
              <w:marTop w:val="0"/>
              <w:marBottom w:val="0"/>
              <w:divBdr>
                <w:top w:val="none" w:sz="0" w:space="0" w:color="auto"/>
                <w:left w:val="none" w:sz="0" w:space="0" w:color="auto"/>
                <w:bottom w:val="none" w:sz="0" w:space="0" w:color="auto"/>
                <w:right w:val="none" w:sz="0" w:space="0" w:color="auto"/>
              </w:divBdr>
            </w:div>
          </w:divsChild>
        </w:div>
        <w:div w:id="1150709937">
          <w:marLeft w:val="0"/>
          <w:marRight w:val="0"/>
          <w:marTop w:val="0"/>
          <w:marBottom w:val="0"/>
          <w:divBdr>
            <w:top w:val="none" w:sz="0" w:space="0" w:color="auto"/>
            <w:left w:val="none" w:sz="0" w:space="0" w:color="auto"/>
            <w:bottom w:val="none" w:sz="0" w:space="0" w:color="auto"/>
            <w:right w:val="none" w:sz="0" w:space="0" w:color="auto"/>
          </w:divBdr>
          <w:divsChild>
            <w:div w:id="3867677">
              <w:marLeft w:val="0"/>
              <w:marRight w:val="0"/>
              <w:marTop w:val="0"/>
              <w:marBottom w:val="0"/>
              <w:divBdr>
                <w:top w:val="none" w:sz="0" w:space="0" w:color="auto"/>
                <w:left w:val="none" w:sz="0" w:space="0" w:color="auto"/>
                <w:bottom w:val="none" w:sz="0" w:space="0" w:color="auto"/>
                <w:right w:val="none" w:sz="0" w:space="0" w:color="auto"/>
              </w:divBdr>
            </w:div>
          </w:divsChild>
        </w:div>
        <w:div w:id="1706367747">
          <w:marLeft w:val="0"/>
          <w:marRight w:val="0"/>
          <w:marTop w:val="0"/>
          <w:marBottom w:val="0"/>
          <w:divBdr>
            <w:top w:val="none" w:sz="0" w:space="0" w:color="auto"/>
            <w:left w:val="none" w:sz="0" w:space="0" w:color="auto"/>
            <w:bottom w:val="none" w:sz="0" w:space="0" w:color="auto"/>
            <w:right w:val="none" w:sz="0" w:space="0" w:color="auto"/>
          </w:divBdr>
          <w:divsChild>
            <w:div w:id="281234296">
              <w:marLeft w:val="0"/>
              <w:marRight w:val="0"/>
              <w:marTop w:val="0"/>
              <w:marBottom w:val="0"/>
              <w:divBdr>
                <w:top w:val="none" w:sz="0" w:space="0" w:color="auto"/>
                <w:left w:val="none" w:sz="0" w:space="0" w:color="auto"/>
                <w:bottom w:val="none" w:sz="0" w:space="0" w:color="auto"/>
                <w:right w:val="none" w:sz="0" w:space="0" w:color="auto"/>
              </w:divBdr>
            </w:div>
          </w:divsChild>
        </w:div>
        <w:div w:id="246117890">
          <w:marLeft w:val="0"/>
          <w:marRight w:val="0"/>
          <w:marTop w:val="0"/>
          <w:marBottom w:val="0"/>
          <w:divBdr>
            <w:top w:val="none" w:sz="0" w:space="0" w:color="auto"/>
            <w:left w:val="none" w:sz="0" w:space="0" w:color="auto"/>
            <w:bottom w:val="none" w:sz="0" w:space="0" w:color="auto"/>
            <w:right w:val="none" w:sz="0" w:space="0" w:color="auto"/>
          </w:divBdr>
          <w:divsChild>
            <w:div w:id="452330166">
              <w:marLeft w:val="0"/>
              <w:marRight w:val="0"/>
              <w:marTop w:val="0"/>
              <w:marBottom w:val="0"/>
              <w:divBdr>
                <w:top w:val="none" w:sz="0" w:space="0" w:color="auto"/>
                <w:left w:val="none" w:sz="0" w:space="0" w:color="auto"/>
                <w:bottom w:val="none" w:sz="0" w:space="0" w:color="auto"/>
                <w:right w:val="none" w:sz="0" w:space="0" w:color="auto"/>
              </w:divBdr>
            </w:div>
          </w:divsChild>
        </w:div>
        <w:div w:id="1441103482">
          <w:marLeft w:val="0"/>
          <w:marRight w:val="0"/>
          <w:marTop w:val="0"/>
          <w:marBottom w:val="0"/>
          <w:divBdr>
            <w:top w:val="none" w:sz="0" w:space="0" w:color="auto"/>
            <w:left w:val="none" w:sz="0" w:space="0" w:color="auto"/>
            <w:bottom w:val="none" w:sz="0" w:space="0" w:color="auto"/>
            <w:right w:val="none" w:sz="0" w:space="0" w:color="auto"/>
          </w:divBdr>
          <w:divsChild>
            <w:div w:id="1303344175">
              <w:marLeft w:val="0"/>
              <w:marRight w:val="0"/>
              <w:marTop w:val="0"/>
              <w:marBottom w:val="0"/>
              <w:divBdr>
                <w:top w:val="none" w:sz="0" w:space="0" w:color="auto"/>
                <w:left w:val="none" w:sz="0" w:space="0" w:color="auto"/>
                <w:bottom w:val="none" w:sz="0" w:space="0" w:color="auto"/>
                <w:right w:val="none" w:sz="0" w:space="0" w:color="auto"/>
              </w:divBdr>
            </w:div>
          </w:divsChild>
        </w:div>
        <w:div w:id="1654017439">
          <w:marLeft w:val="0"/>
          <w:marRight w:val="0"/>
          <w:marTop w:val="0"/>
          <w:marBottom w:val="0"/>
          <w:divBdr>
            <w:top w:val="none" w:sz="0" w:space="0" w:color="auto"/>
            <w:left w:val="none" w:sz="0" w:space="0" w:color="auto"/>
            <w:bottom w:val="none" w:sz="0" w:space="0" w:color="auto"/>
            <w:right w:val="none" w:sz="0" w:space="0" w:color="auto"/>
          </w:divBdr>
          <w:divsChild>
            <w:div w:id="1991015839">
              <w:marLeft w:val="0"/>
              <w:marRight w:val="0"/>
              <w:marTop w:val="0"/>
              <w:marBottom w:val="0"/>
              <w:divBdr>
                <w:top w:val="none" w:sz="0" w:space="0" w:color="auto"/>
                <w:left w:val="none" w:sz="0" w:space="0" w:color="auto"/>
                <w:bottom w:val="none" w:sz="0" w:space="0" w:color="auto"/>
                <w:right w:val="none" w:sz="0" w:space="0" w:color="auto"/>
              </w:divBdr>
            </w:div>
          </w:divsChild>
        </w:div>
        <w:div w:id="1453859639">
          <w:marLeft w:val="0"/>
          <w:marRight w:val="0"/>
          <w:marTop w:val="0"/>
          <w:marBottom w:val="0"/>
          <w:divBdr>
            <w:top w:val="none" w:sz="0" w:space="0" w:color="auto"/>
            <w:left w:val="none" w:sz="0" w:space="0" w:color="auto"/>
            <w:bottom w:val="none" w:sz="0" w:space="0" w:color="auto"/>
            <w:right w:val="none" w:sz="0" w:space="0" w:color="auto"/>
          </w:divBdr>
          <w:divsChild>
            <w:div w:id="1305240422">
              <w:marLeft w:val="0"/>
              <w:marRight w:val="0"/>
              <w:marTop w:val="0"/>
              <w:marBottom w:val="0"/>
              <w:divBdr>
                <w:top w:val="none" w:sz="0" w:space="0" w:color="auto"/>
                <w:left w:val="none" w:sz="0" w:space="0" w:color="auto"/>
                <w:bottom w:val="none" w:sz="0" w:space="0" w:color="auto"/>
                <w:right w:val="none" w:sz="0" w:space="0" w:color="auto"/>
              </w:divBdr>
            </w:div>
          </w:divsChild>
        </w:div>
        <w:div w:id="180515033">
          <w:marLeft w:val="0"/>
          <w:marRight w:val="0"/>
          <w:marTop w:val="0"/>
          <w:marBottom w:val="0"/>
          <w:divBdr>
            <w:top w:val="none" w:sz="0" w:space="0" w:color="auto"/>
            <w:left w:val="none" w:sz="0" w:space="0" w:color="auto"/>
            <w:bottom w:val="none" w:sz="0" w:space="0" w:color="auto"/>
            <w:right w:val="none" w:sz="0" w:space="0" w:color="auto"/>
          </w:divBdr>
          <w:divsChild>
            <w:div w:id="212080795">
              <w:marLeft w:val="0"/>
              <w:marRight w:val="0"/>
              <w:marTop w:val="0"/>
              <w:marBottom w:val="0"/>
              <w:divBdr>
                <w:top w:val="none" w:sz="0" w:space="0" w:color="auto"/>
                <w:left w:val="none" w:sz="0" w:space="0" w:color="auto"/>
                <w:bottom w:val="none" w:sz="0" w:space="0" w:color="auto"/>
                <w:right w:val="none" w:sz="0" w:space="0" w:color="auto"/>
              </w:divBdr>
            </w:div>
          </w:divsChild>
        </w:div>
        <w:div w:id="845169076">
          <w:marLeft w:val="0"/>
          <w:marRight w:val="0"/>
          <w:marTop w:val="0"/>
          <w:marBottom w:val="0"/>
          <w:divBdr>
            <w:top w:val="none" w:sz="0" w:space="0" w:color="auto"/>
            <w:left w:val="none" w:sz="0" w:space="0" w:color="auto"/>
            <w:bottom w:val="none" w:sz="0" w:space="0" w:color="auto"/>
            <w:right w:val="none" w:sz="0" w:space="0" w:color="auto"/>
          </w:divBdr>
          <w:divsChild>
            <w:div w:id="1047527782">
              <w:marLeft w:val="0"/>
              <w:marRight w:val="0"/>
              <w:marTop w:val="0"/>
              <w:marBottom w:val="0"/>
              <w:divBdr>
                <w:top w:val="none" w:sz="0" w:space="0" w:color="auto"/>
                <w:left w:val="none" w:sz="0" w:space="0" w:color="auto"/>
                <w:bottom w:val="none" w:sz="0" w:space="0" w:color="auto"/>
                <w:right w:val="none" w:sz="0" w:space="0" w:color="auto"/>
              </w:divBdr>
            </w:div>
          </w:divsChild>
        </w:div>
        <w:div w:id="1338071127">
          <w:marLeft w:val="0"/>
          <w:marRight w:val="0"/>
          <w:marTop w:val="0"/>
          <w:marBottom w:val="0"/>
          <w:divBdr>
            <w:top w:val="none" w:sz="0" w:space="0" w:color="auto"/>
            <w:left w:val="none" w:sz="0" w:space="0" w:color="auto"/>
            <w:bottom w:val="none" w:sz="0" w:space="0" w:color="auto"/>
            <w:right w:val="none" w:sz="0" w:space="0" w:color="auto"/>
          </w:divBdr>
          <w:divsChild>
            <w:div w:id="974482054">
              <w:marLeft w:val="0"/>
              <w:marRight w:val="0"/>
              <w:marTop w:val="0"/>
              <w:marBottom w:val="0"/>
              <w:divBdr>
                <w:top w:val="none" w:sz="0" w:space="0" w:color="auto"/>
                <w:left w:val="none" w:sz="0" w:space="0" w:color="auto"/>
                <w:bottom w:val="none" w:sz="0" w:space="0" w:color="auto"/>
                <w:right w:val="none" w:sz="0" w:space="0" w:color="auto"/>
              </w:divBdr>
            </w:div>
          </w:divsChild>
        </w:div>
        <w:div w:id="1678848983">
          <w:marLeft w:val="0"/>
          <w:marRight w:val="0"/>
          <w:marTop w:val="0"/>
          <w:marBottom w:val="0"/>
          <w:divBdr>
            <w:top w:val="none" w:sz="0" w:space="0" w:color="auto"/>
            <w:left w:val="none" w:sz="0" w:space="0" w:color="auto"/>
            <w:bottom w:val="none" w:sz="0" w:space="0" w:color="auto"/>
            <w:right w:val="none" w:sz="0" w:space="0" w:color="auto"/>
          </w:divBdr>
          <w:divsChild>
            <w:div w:id="1488278917">
              <w:marLeft w:val="0"/>
              <w:marRight w:val="0"/>
              <w:marTop w:val="0"/>
              <w:marBottom w:val="0"/>
              <w:divBdr>
                <w:top w:val="none" w:sz="0" w:space="0" w:color="auto"/>
                <w:left w:val="none" w:sz="0" w:space="0" w:color="auto"/>
                <w:bottom w:val="none" w:sz="0" w:space="0" w:color="auto"/>
                <w:right w:val="none" w:sz="0" w:space="0" w:color="auto"/>
              </w:divBdr>
            </w:div>
          </w:divsChild>
        </w:div>
        <w:div w:id="2016613191">
          <w:marLeft w:val="0"/>
          <w:marRight w:val="0"/>
          <w:marTop w:val="0"/>
          <w:marBottom w:val="0"/>
          <w:divBdr>
            <w:top w:val="none" w:sz="0" w:space="0" w:color="auto"/>
            <w:left w:val="none" w:sz="0" w:space="0" w:color="auto"/>
            <w:bottom w:val="none" w:sz="0" w:space="0" w:color="auto"/>
            <w:right w:val="none" w:sz="0" w:space="0" w:color="auto"/>
          </w:divBdr>
          <w:divsChild>
            <w:div w:id="2064059656">
              <w:marLeft w:val="0"/>
              <w:marRight w:val="0"/>
              <w:marTop w:val="0"/>
              <w:marBottom w:val="0"/>
              <w:divBdr>
                <w:top w:val="none" w:sz="0" w:space="0" w:color="auto"/>
                <w:left w:val="none" w:sz="0" w:space="0" w:color="auto"/>
                <w:bottom w:val="none" w:sz="0" w:space="0" w:color="auto"/>
                <w:right w:val="none" w:sz="0" w:space="0" w:color="auto"/>
              </w:divBdr>
            </w:div>
          </w:divsChild>
        </w:div>
        <w:div w:id="1407192057">
          <w:marLeft w:val="0"/>
          <w:marRight w:val="0"/>
          <w:marTop w:val="0"/>
          <w:marBottom w:val="0"/>
          <w:divBdr>
            <w:top w:val="none" w:sz="0" w:space="0" w:color="auto"/>
            <w:left w:val="none" w:sz="0" w:space="0" w:color="auto"/>
            <w:bottom w:val="none" w:sz="0" w:space="0" w:color="auto"/>
            <w:right w:val="none" w:sz="0" w:space="0" w:color="auto"/>
          </w:divBdr>
          <w:divsChild>
            <w:div w:id="496111512">
              <w:marLeft w:val="0"/>
              <w:marRight w:val="0"/>
              <w:marTop w:val="0"/>
              <w:marBottom w:val="0"/>
              <w:divBdr>
                <w:top w:val="none" w:sz="0" w:space="0" w:color="auto"/>
                <w:left w:val="none" w:sz="0" w:space="0" w:color="auto"/>
                <w:bottom w:val="none" w:sz="0" w:space="0" w:color="auto"/>
                <w:right w:val="none" w:sz="0" w:space="0" w:color="auto"/>
              </w:divBdr>
            </w:div>
          </w:divsChild>
        </w:div>
        <w:div w:id="266088430">
          <w:marLeft w:val="0"/>
          <w:marRight w:val="0"/>
          <w:marTop w:val="0"/>
          <w:marBottom w:val="0"/>
          <w:divBdr>
            <w:top w:val="none" w:sz="0" w:space="0" w:color="auto"/>
            <w:left w:val="none" w:sz="0" w:space="0" w:color="auto"/>
            <w:bottom w:val="none" w:sz="0" w:space="0" w:color="auto"/>
            <w:right w:val="none" w:sz="0" w:space="0" w:color="auto"/>
          </w:divBdr>
          <w:divsChild>
            <w:div w:id="988901281">
              <w:marLeft w:val="0"/>
              <w:marRight w:val="0"/>
              <w:marTop w:val="0"/>
              <w:marBottom w:val="0"/>
              <w:divBdr>
                <w:top w:val="none" w:sz="0" w:space="0" w:color="auto"/>
                <w:left w:val="none" w:sz="0" w:space="0" w:color="auto"/>
                <w:bottom w:val="none" w:sz="0" w:space="0" w:color="auto"/>
                <w:right w:val="none" w:sz="0" w:space="0" w:color="auto"/>
              </w:divBdr>
              <w:divsChild>
                <w:div w:id="623464509">
                  <w:marLeft w:val="0"/>
                  <w:marRight w:val="0"/>
                  <w:marTop w:val="0"/>
                  <w:marBottom w:val="0"/>
                  <w:divBdr>
                    <w:top w:val="none" w:sz="0" w:space="0" w:color="auto"/>
                    <w:left w:val="none" w:sz="0" w:space="0" w:color="auto"/>
                    <w:bottom w:val="none" w:sz="0" w:space="0" w:color="auto"/>
                    <w:right w:val="none" w:sz="0" w:space="0" w:color="auto"/>
                  </w:divBdr>
                  <w:divsChild>
                    <w:div w:id="9668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12445">
          <w:marLeft w:val="0"/>
          <w:marRight w:val="0"/>
          <w:marTop w:val="0"/>
          <w:marBottom w:val="0"/>
          <w:divBdr>
            <w:top w:val="none" w:sz="0" w:space="0" w:color="auto"/>
            <w:left w:val="none" w:sz="0" w:space="0" w:color="auto"/>
            <w:bottom w:val="none" w:sz="0" w:space="0" w:color="auto"/>
            <w:right w:val="none" w:sz="0" w:space="0" w:color="auto"/>
          </w:divBdr>
          <w:divsChild>
            <w:div w:id="1102456512">
              <w:marLeft w:val="0"/>
              <w:marRight w:val="0"/>
              <w:marTop w:val="0"/>
              <w:marBottom w:val="0"/>
              <w:divBdr>
                <w:top w:val="none" w:sz="0" w:space="0" w:color="auto"/>
                <w:left w:val="none" w:sz="0" w:space="0" w:color="auto"/>
                <w:bottom w:val="none" w:sz="0" w:space="0" w:color="auto"/>
                <w:right w:val="none" w:sz="0" w:space="0" w:color="auto"/>
              </w:divBdr>
            </w:div>
          </w:divsChild>
        </w:div>
        <w:div w:id="1475489546">
          <w:marLeft w:val="0"/>
          <w:marRight w:val="0"/>
          <w:marTop w:val="0"/>
          <w:marBottom w:val="0"/>
          <w:divBdr>
            <w:top w:val="none" w:sz="0" w:space="0" w:color="auto"/>
            <w:left w:val="none" w:sz="0" w:space="0" w:color="auto"/>
            <w:bottom w:val="none" w:sz="0" w:space="0" w:color="auto"/>
            <w:right w:val="none" w:sz="0" w:space="0" w:color="auto"/>
          </w:divBdr>
          <w:divsChild>
            <w:div w:id="1413893458">
              <w:marLeft w:val="0"/>
              <w:marRight w:val="0"/>
              <w:marTop w:val="0"/>
              <w:marBottom w:val="0"/>
              <w:divBdr>
                <w:top w:val="none" w:sz="0" w:space="0" w:color="auto"/>
                <w:left w:val="none" w:sz="0" w:space="0" w:color="auto"/>
                <w:bottom w:val="none" w:sz="0" w:space="0" w:color="auto"/>
                <w:right w:val="none" w:sz="0" w:space="0" w:color="auto"/>
              </w:divBdr>
            </w:div>
          </w:divsChild>
        </w:div>
        <w:div w:id="1224367395">
          <w:marLeft w:val="0"/>
          <w:marRight w:val="0"/>
          <w:marTop w:val="0"/>
          <w:marBottom w:val="0"/>
          <w:divBdr>
            <w:top w:val="none" w:sz="0" w:space="0" w:color="auto"/>
            <w:left w:val="none" w:sz="0" w:space="0" w:color="auto"/>
            <w:bottom w:val="none" w:sz="0" w:space="0" w:color="auto"/>
            <w:right w:val="none" w:sz="0" w:space="0" w:color="auto"/>
          </w:divBdr>
          <w:divsChild>
            <w:div w:id="910820891">
              <w:marLeft w:val="0"/>
              <w:marRight w:val="0"/>
              <w:marTop w:val="0"/>
              <w:marBottom w:val="0"/>
              <w:divBdr>
                <w:top w:val="none" w:sz="0" w:space="0" w:color="auto"/>
                <w:left w:val="none" w:sz="0" w:space="0" w:color="auto"/>
                <w:bottom w:val="none" w:sz="0" w:space="0" w:color="auto"/>
                <w:right w:val="none" w:sz="0" w:space="0" w:color="auto"/>
              </w:divBdr>
            </w:div>
          </w:divsChild>
        </w:div>
        <w:div w:id="834807436">
          <w:marLeft w:val="0"/>
          <w:marRight w:val="0"/>
          <w:marTop w:val="0"/>
          <w:marBottom w:val="0"/>
          <w:divBdr>
            <w:top w:val="none" w:sz="0" w:space="0" w:color="auto"/>
            <w:left w:val="none" w:sz="0" w:space="0" w:color="auto"/>
            <w:bottom w:val="none" w:sz="0" w:space="0" w:color="auto"/>
            <w:right w:val="none" w:sz="0" w:space="0" w:color="auto"/>
          </w:divBdr>
          <w:divsChild>
            <w:div w:id="1020668528">
              <w:marLeft w:val="0"/>
              <w:marRight w:val="0"/>
              <w:marTop w:val="0"/>
              <w:marBottom w:val="0"/>
              <w:divBdr>
                <w:top w:val="none" w:sz="0" w:space="0" w:color="auto"/>
                <w:left w:val="none" w:sz="0" w:space="0" w:color="auto"/>
                <w:bottom w:val="none" w:sz="0" w:space="0" w:color="auto"/>
                <w:right w:val="none" w:sz="0" w:space="0" w:color="auto"/>
              </w:divBdr>
            </w:div>
          </w:divsChild>
        </w:div>
        <w:div w:id="105543435">
          <w:marLeft w:val="0"/>
          <w:marRight w:val="0"/>
          <w:marTop w:val="0"/>
          <w:marBottom w:val="0"/>
          <w:divBdr>
            <w:top w:val="none" w:sz="0" w:space="0" w:color="auto"/>
            <w:left w:val="none" w:sz="0" w:space="0" w:color="auto"/>
            <w:bottom w:val="none" w:sz="0" w:space="0" w:color="auto"/>
            <w:right w:val="none" w:sz="0" w:space="0" w:color="auto"/>
          </w:divBdr>
          <w:divsChild>
            <w:div w:id="951207908">
              <w:marLeft w:val="0"/>
              <w:marRight w:val="0"/>
              <w:marTop w:val="0"/>
              <w:marBottom w:val="0"/>
              <w:divBdr>
                <w:top w:val="none" w:sz="0" w:space="0" w:color="auto"/>
                <w:left w:val="none" w:sz="0" w:space="0" w:color="auto"/>
                <w:bottom w:val="none" w:sz="0" w:space="0" w:color="auto"/>
                <w:right w:val="none" w:sz="0" w:space="0" w:color="auto"/>
              </w:divBdr>
            </w:div>
          </w:divsChild>
        </w:div>
        <w:div w:id="322785749">
          <w:marLeft w:val="0"/>
          <w:marRight w:val="0"/>
          <w:marTop w:val="0"/>
          <w:marBottom w:val="0"/>
          <w:divBdr>
            <w:top w:val="none" w:sz="0" w:space="0" w:color="auto"/>
            <w:left w:val="none" w:sz="0" w:space="0" w:color="auto"/>
            <w:bottom w:val="none" w:sz="0" w:space="0" w:color="auto"/>
            <w:right w:val="none" w:sz="0" w:space="0" w:color="auto"/>
          </w:divBdr>
          <w:divsChild>
            <w:div w:id="1803961302">
              <w:marLeft w:val="0"/>
              <w:marRight w:val="0"/>
              <w:marTop w:val="0"/>
              <w:marBottom w:val="0"/>
              <w:divBdr>
                <w:top w:val="none" w:sz="0" w:space="0" w:color="auto"/>
                <w:left w:val="none" w:sz="0" w:space="0" w:color="auto"/>
                <w:bottom w:val="none" w:sz="0" w:space="0" w:color="auto"/>
                <w:right w:val="none" w:sz="0" w:space="0" w:color="auto"/>
              </w:divBdr>
            </w:div>
          </w:divsChild>
        </w:div>
        <w:div w:id="1776515773">
          <w:marLeft w:val="0"/>
          <w:marRight w:val="0"/>
          <w:marTop w:val="0"/>
          <w:marBottom w:val="0"/>
          <w:divBdr>
            <w:top w:val="none" w:sz="0" w:space="0" w:color="auto"/>
            <w:left w:val="none" w:sz="0" w:space="0" w:color="auto"/>
            <w:bottom w:val="none" w:sz="0" w:space="0" w:color="auto"/>
            <w:right w:val="none" w:sz="0" w:space="0" w:color="auto"/>
          </w:divBdr>
          <w:divsChild>
            <w:div w:id="843132517">
              <w:marLeft w:val="0"/>
              <w:marRight w:val="0"/>
              <w:marTop w:val="0"/>
              <w:marBottom w:val="0"/>
              <w:divBdr>
                <w:top w:val="none" w:sz="0" w:space="0" w:color="auto"/>
                <w:left w:val="none" w:sz="0" w:space="0" w:color="auto"/>
                <w:bottom w:val="none" w:sz="0" w:space="0" w:color="auto"/>
                <w:right w:val="none" w:sz="0" w:space="0" w:color="auto"/>
              </w:divBdr>
            </w:div>
          </w:divsChild>
        </w:div>
        <w:div w:id="1991128439">
          <w:marLeft w:val="0"/>
          <w:marRight w:val="0"/>
          <w:marTop w:val="0"/>
          <w:marBottom w:val="0"/>
          <w:divBdr>
            <w:top w:val="none" w:sz="0" w:space="0" w:color="auto"/>
            <w:left w:val="none" w:sz="0" w:space="0" w:color="auto"/>
            <w:bottom w:val="none" w:sz="0" w:space="0" w:color="auto"/>
            <w:right w:val="none" w:sz="0" w:space="0" w:color="auto"/>
          </w:divBdr>
          <w:divsChild>
            <w:div w:id="1328367137">
              <w:marLeft w:val="0"/>
              <w:marRight w:val="0"/>
              <w:marTop w:val="0"/>
              <w:marBottom w:val="0"/>
              <w:divBdr>
                <w:top w:val="none" w:sz="0" w:space="0" w:color="auto"/>
                <w:left w:val="none" w:sz="0" w:space="0" w:color="auto"/>
                <w:bottom w:val="none" w:sz="0" w:space="0" w:color="auto"/>
                <w:right w:val="none" w:sz="0" w:space="0" w:color="auto"/>
              </w:divBdr>
            </w:div>
          </w:divsChild>
        </w:div>
        <w:div w:id="1498694490">
          <w:marLeft w:val="0"/>
          <w:marRight w:val="0"/>
          <w:marTop w:val="0"/>
          <w:marBottom w:val="0"/>
          <w:divBdr>
            <w:top w:val="none" w:sz="0" w:space="0" w:color="auto"/>
            <w:left w:val="none" w:sz="0" w:space="0" w:color="auto"/>
            <w:bottom w:val="none" w:sz="0" w:space="0" w:color="auto"/>
            <w:right w:val="none" w:sz="0" w:space="0" w:color="auto"/>
          </w:divBdr>
          <w:divsChild>
            <w:div w:id="758675420">
              <w:marLeft w:val="0"/>
              <w:marRight w:val="0"/>
              <w:marTop w:val="0"/>
              <w:marBottom w:val="0"/>
              <w:divBdr>
                <w:top w:val="none" w:sz="0" w:space="0" w:color="auto"/>
                <w:left w:val="none" w:sz="0" w:space="0" w:color="auto"/>
                <w:bottom w:val="none" w:sz="0" w:space="0" w:color="auto"/>
                <w:right w:val="none" w:sz="0" w:space="0" w:color="auto"/>
              </w:divBdr>
            </w:div>
          </w:divsChild>
        </w:div>
        <w:div w:id="751240524">
          <w:marLeft w:val="0"/>
          <w:marRight w:val="0"/>
          <w:marTop w:val="0"/>
          <w:marBottom w:val="0"/>
          <w:divBdr>
            <w:top w:val="none" w:sz="0" w:space="0" w:color="auto"/>
            <w:left w:val="none" w:sz="0" w:space="0" w:color="auto"/>
            <w:bottom w:val="none" w:sz="0" w:space="0" w:color="auto"/>
            <w:right w:val="none" w:sz="0" w:space="0" w:color="auto"/>
          </w:divBdr>
          <w:divsChild>
            <w:div w:id="1513253937">
              <w:marLeft w:val="0"/>
              <w:marRight w:val="0"/>
              <w:marTop w:val="0"/>
              <w:marBottom w:val="0"/>
              <w:divBdr>
                <w:top w:val="none" w:sz="0" w:space="0" w:color="auto"/>
                <w:left w:val="none" w:sz="0" w:space="0" w:color="auto"/>
                <w:bottom w:val="none" w:sz="0" w:space="0" w:color="auto"/>
                <w:right w:val="none" w:sz="0" w:space="0" w:color="auto"/>
              </w:divBdr>
            </w:div>
          </w:divsChild>
        </w:div>
        <w:div w:id="1566529691">
          <w:marLeft w:val="0"/>
          <w:marRight w:val="0"/>
          <w:marTop w:val="0"/>
          <w:marBottom w:val="0"/>
          <w:divBdr>
            <w:top w:val="none" w:sz="0" w:space="0" w:color="auto"/>
            <w:left w:val="none" w:sz="0" w:space="0" w:color="auto"/>
            <w:bottom w:val="none" w:sz="0" w:space="0" w:color="auto"/>
            <w:right w:val="none" w:sz="0" w:space="0" w:color="auto"/>
          </w:divBdr>
          <w:divsChild>
            <w:div w:id="1314600272">
              <w:marLeft w:val="0"/>
              <w:marRight w:val="0"/>
              <w:marTop w:val="0"/>
              <w:marBottom w:val="0"/>
              <w:divBdr>
                <w:top w:val="none" w:sz="0" w:space="0" w:color="auto"/>
                <w:left w:val="none" w:sz="0" w:space="0" w:color="auto"/>
                <w:bottom w:val="none" w:sz="0" w:space="0" w:color="auto"/>
                <w:right w:val="none" w:sz="0" w:space="0" w:color="auto"/>
              </w:divBdr>
            </w:div>
          </w:divsChild>
        </w:div>
        <w:div w:id="273172451">
          <w:marLeft w:val="0"/>
          <w:marRight w:val="0"/>
          <w:marTop w:val="0"/>
          <w:marBottom w:val="0"/>
          <w:divBdr>
            <w:top w:val="none" w:sz="0" w:space="0" w:color="auto"/>
            <w:left w:val="none" w:sz="0" w:space="0" w:color="auto"/>
            <w:bottom w:val="none" w:sz="0" w:space="0" w:color="auto"/>
            <w:right w:val="none" w:sz="0" w:space="0" w:color="auto"/>
          </w:divBdr>
          <w:divsChild>
            <w:div w:id="37512773">
              <w:marLeft w:val="0"/>
              <w:marRight w:val="0"/>
              <w:marTop w:val="0"/>
              <w:marBottom w:val="0"/>
              <w:divBdr>
                <w:top w:val="none" w:sz="0" w:space="0" w:color="auto"/>
                <w:left w:val="none" w:sz="0" w:space="0" w:color="auto"/>
                <w:bottom w:val="none" w:sz="0" w:space="0" w:color="auto"/>
                <w:right w:val="none" w:sz="0" w:space="0" w:color="auto"/>
              </w:divBdr>
            </w:div>
          </w:divsChild>
        </w:div>
        <w:div w:id="1466043601">
          <w:marLeft w:val="0"/>
          <w:marRight w:val="0"/>
          <w:marTop w:val="0"/>
          <w:marBottom w:val="0"/>
          <w:divBdr>
            <w:top w:val="none" w:sz="0" w:space="0" w:color="auto"/>
            <w:left w:val="none" w:sz="0" w:space="0" w:color="auto"/>
            <w:bottom w:val="none" w:sz="0" w:space="0" w:color="auto"/>
            <w:right w:val="none" w:sz="0" w:space="0" w:color="auto"/>
          </w:divBdr>
          <w:divsChild>
            <w:div w:id="920798705">
              <w:marLeft w:val="0"/>
              <w:marRight w:val="0"/>
              <w:marTop w:val="0"/>
              <w:marBottom w:val="0"/>
              <w:divBdr>
                <w:top w:val="none" w:sz="0" w:space="0" w:color="auto"/>
                <w:left w:val="none" w:sz="0" w:space="0" w:color="auto"/>
                <w:bottom w:val="none" w:sz="0" w:space="0" w:color="auto"/>
                <w:right w:val="none" w:sz="0" w:space="0" w:color="auto"/>
              </w:divBdr>
            </w:div>
          </w:divsChild>
        </w:div>
        <w:div w:id="603922815">
          <w:marLeft w:val="0"/>
          <w:marRight w:val="0"/>
          <w:marTop w:val="0"/>
          <w:marBottom w:val="0"/>
          <w:divBdr>
            <w:top w:val="none" w:sz="0" w:space="0" w:color="auto"/>
            <w:left w:val="none" w:sz="0" w:space="0" w:color="auto"/>
            <w:bottom w:val="none" w:sz="0" w:space="0" w:color="auto"/>
            <w:right w:val="none" w:sz="0" w:space="0" w:color="auto"/>
          </w:divBdr>
          <w:divsChild>
            <w:div w:id="1626614568">
              <w:marLeft w:val="0"/>
              <w:marRight w:val="0"/>
              <w:marTop w:val="0"/>
              <w:marBottom w:val="0"/>
              <w:divBdr>
                <w:top w:val="none" w:sz="0" w:space="0" w:color="auto"/>
                <w:left w:val="none" w:sz="0" w:space="0" w:color="auto"/>
                <w:bottom w:val="none" w:sz="0" w:space="0" w:color="auto"/>
                <w:right w:val="none" w:sz="0" w:space="0" w:color="auto"/>
              </w:divBdr>
            </w:div>
          </w:divsChild>
        </w:div>
        <w:div w:id="1839464516">
          <w:marLeft w:val="0"/>
          <w:marRight w:val="0"/>
          <w:marTop w:val="0"/>
          <w:marBottom w:val="0"/>
          <w:divBdr>
            <w:top w:val="none" w:sz="0" w:space="0" w:color="auto"/>
            <w:left w:val="none" w:sz="0" w:space="0" w:color="auto"/>
            <w:bottom w:val="none" w:sz="0" w:space="0" w:color="auto"/>
            <w:right w:val="none" w:sz="0" w:space="0" w:color="auto"/>
          </w:divBdr>
          <w:divsChild>
            <w:div w:id="1975872122">
              <w:marLeft w:val="0"/>
              <w:marRight w:val="0"/>
              <w:marTop w:val="0"/>
              <w:marBottom w:val="0"/>
              <w:divBdr>
                <w:top w:val="none" w:sz="0" w:space="0" w:color="auto"/>
                <w:left w:val="none" w:sz="0" w:space="0" w:color="auto"/>
                <w:bottom w:val="none" w:sz="0" w:space="0" w:color="auto"/>
                <w:right w:val="none" w:sz="0" w:space="0" w:color="auto"/>
              </w:divBdr>
            </w:div>
          </w:divsChild>
        </w:div>
        <w:div w:id="420679932">
          <w:marLeft w:val="0"/>
          <w:marRight w:val="0"/>
          <w:marTop w:val="0"/>
          <w:marBottom w:val="0"/>
          <w:divBdr>
            <w:top w:val="none" w:sz="0" w:space="0" w:color="auto"/>
            <w:left w:val="none" w:sz="0" w:space="0" w:color="auto"/>
            <w:bottom w:val="none" w:sz="0" w:space="0" w:color="auto"/>
            <w:right w:val="none" w:sz="0" w:space="0" w:color="auto"/>
          </w:divBdr>
          <w:divsChild>
            <w:div w:id="1251040823">
              <w:marLeft w:val="0"/>
              <w:marRight w:val="0"/>
              <w:marTop w:val="0"/>
              <w:marBottom w:val="0"/>
              <w:divBdr>
                <w:top w:val="none" w:sz="0" w:space="0" w:color="auto"/>
                <w:left w:val="none" w:sz="0" w:space="0" w:color="auto"/>
                <w:bottom w:val="none" w:sz="0" w:space="0" w:color="auto"/>
                <w:right w:val="none" w:sz="0" w:space="0" w:color="auto"/>
              </w:divBdr>
            </w:div>
          </w:divsChild>
        </w:div>
        <w:div w:id="734624418">
          <w:marLeft w:val="0"/>
          <w:marRight w:val="0"/>
          <w:marTop w:val="0"/>
          <w:marBottom w:val="0"/>
          <w:divBdr>
            <w:top w:val="none" w:sz="0" w:space="0" w:color="auto"/>
            <w:left w:val="none" w:sz="0" w:space="0" w:color="auto"/>
            <w:bottom w:val="none" w:sz="0" w:space="0" w:color="auto"/>
            <w:right w:val="none" w:sz="0" w:space="0" w:color="auto"/>
          </w:divBdr>
          <w:divsChild>
            <w:div w:id="1217625938">
              <w:marLeft w:val="0"/>
              <w:marRight w:val="0"/>
              <w:marTop w:val="0"/>
              <w:marBottom w:val="0"/>
              <w:divBdr>
                <w:top w:val="none" w:sz="0" w:space="0" w:color="auto"/>
                <w:left w:val="none" w:sz="0" w:space="0" w:color="auto"/>
                <w:bottom w:val="none" w:sz="0" w:space="0" w:color="auto"/>
                <w:right w:val="none" w:sz="0" w:space="0" w:color="auto"/>
              </w:divBdr>
            </w:div>
          </w:divsChild>
        </w:div>
        <w:div w:id="475146540">
          <w:marLeft w:val="0"/>
          <w:marRight w:val="0"/>
          <w:marTop w:val="0"/>
          <w:marBottom w:val="0"/>
          <w:divBdr>
            <w:top w:val="none" w:sz="0" w:space="0" w:color="auto"/>
            <w:left w:val="none" w:sz="0" w:space="0" w:color="auto"/>
            <w:bottom w:val="none" w:sz="0" w:space="0" w:color="auto"/>
            <w:right w:val="none" w:sz="0" w:space="0" w:color="auto"/>
          </w:divBdr>
          <w:divsChild>
            <w:div w:id="1599025977">
              <w:marLeft w:val="0"/>
              <w:marRight w:val="0"/>
              <w:marTop w:val="0"/>
              <w:marBottom w:val="0"/>
              <w:divBdr>
                <w:top w:val="none" w:sz="0" w:space="0" w:color="auto"/>
                <w:left w:val="none" w:sz="0" w:space="0" w:color="auto"/>
                <w:bottom w:val="none" w:sz="0" w:space="0" w:color="auto"/>
                <w:right w:val="none" w:sz="0" w:space="0" w:color="auto"/>
              </w:divBdr>
            </w:div>
          </w:divsChild>
        </w:div>
        <w:div w:id="1171944361">
          <w:marLeft w:val="0"/>
          <w:marRight w:val="0"/>
          <w:marTop w:val="0"/>
          <w:marBottom w:val="0"/>
          <w:divBdr>
            <w:top w:val="none" w:sz="0" w:space="0" w:color="auto"/>
            <w:left w:val="none" w:sz="0" w:space="0" w:color="auto"/>
            <w:bottom w:val="none" w:sz="0" w:space="0" w:color="auto"/>
            <w:right w:val="none" w:sz="0" w:space="0" w:color="auto"/>
          </w:divBdr>
          <w:divsChild>
            <w:div w:id="1128624571">
              <w:marLeft w:val="0"/>
              <w:marRight w:val="0"/>
              <w:marTop w:val="0"/>
              <w:marBottom w:val="0"/>
              <w:divBdr>
                <w:top w:val="none" w:sz="0" w:space="0" w:color="auto"/>
                <w:left w:val="none" w:sz="0" w:space="0" w:color="auto"/>
                <w:bottom w:val="none" w:sz="0" w:space="0" w:color="auto"/>
                <w:right w:val="none" w:sz="0" w:space="0" w:color="auto"/>
              </w:divBdr>
            </w:div>
          </w:divsChild>
        </w:div>
        <w:div w:id="1091119312">
          <w:marLeft w:val="0"/>
          <w:marRight w:val="0"/>
          <w:marTop w:val="0"/>
          <w:marBottom w:val="0"/>
          <w:divBdr>
            <w:top w:val="none" w:sz="0" w:space="0" w:color="auto"/>
            <w:left w:val="none" w:sz="0" w:space="0" w:color="auto"/>
            <w:bottom w:val="none" w:sz="0" w:space="0" w:color="auto"/>
            <w:right w:val="none" w:sz="0" w:space="0" w:color="auto"/>
          </w:divBdr>
          <w:divsChild>
            <w:div w:id="1074888054">
              <w:marLeft w:val="0"/>
              <w:marRight w:val="0"/>
              <w:marTop w:val="0"/>
              <w:marBottom w:val="0"/>
              <w:divBdr>
                <w:top w:val="none" w:sz="0" w:space="0" w:color="auto"/>
                <w:left w:val="none" w:sz="0" w:space="0" w:color="auto"/>
                <w:bottom w:val="none" w:sz="0" w:space="0" w:color="auto"/>
                <w:right w:val="none" w:sz="0" w:space="0" w:color="auto"/>
              </w:divBdr>
            </w:div>
          </w:divsChild>
        </w:div>
        <w:div w:id="915212677">
          <w:marLeft w:val="0"/>
          <w:marRight w:val="0"/>
          <w:marTop w:val="0"/>
          <w:marBottom w:val="0"/>
          <w:divBdr>
            <w:top w:val="none" w:sz="0" w:space="0" w:color="auto"/>
            <w:left w:val="none" w:sz="0" w:space="0" w:color="auto"/>
            <w:bottom w:val="none" w:sz="0" w:space="0" w:color="auto"/>
            <w:right w:val="none" w:sz="0" w:space="0" w:color="auto"/>
          </w:divBdr>
          <w:divsChild>
            <w:div w:id="413209196">
              <w:marLeft w:val="0"/>
              <w:marRight w:val="0"/>
              <w:marTop w:val="0"/>
              <w:marBottom w:val="0"/>
              <w:divBdr>
                <w:top w:val="none" w:sz="0" w:space="0" w:color="auto"/>
                <w:left w:val="none" w:sz="0" w:space="0" w:color="auto"/>
                <w:bottom w:val="none" w:sz="0" w:space="0" w:color="auto"/>
                <w:right w:val="none" w:sz="0" w:space="0" w:color="auto"/>
              </w:divBdr>
            </w:div>
          </w:divsChild>
        </w:div>
        <w:div w:id="409740523">
          <w:marLeft w:val="0"/>
          <w:marRight w:val="0"/>
          <w:marTop w:val="0"/>
          <w:marBottom w:val="0"/>
          <w:divBdr>
            <w:top w:val="none" w:sz="0" w:space="0" w:color="auto"/>
            <w:left w:val="none" w:sz="0" w:space="0" w:color="auto"/>
            <w:bottom w:val="none" w:sz="0" w:space="0" w:color="auto"/>
            <w:right w:val="none" w:sz="0" w:space="0" w:color="auto"/>
          </w:divBdr>
          <w:divsChild>
            <w:div w:id="1972635509">
              <w:marLeft w:val="0"/>
              <w:marRight w:val="0"/>
              <w:marTop w:val="0"/>
              <w:marBottom w:val="0"/>
              <w:divBdr>
                <w:top w:val="none" w:sz="0" w:space="0" w:color="auto"/>
                <w:left w:val="none" w:sz="0" w:space="0" w:color="auto"/>
                <w:bottom w:val="none" w:sz="0" w:space="0" w:color="auto"/>
                <w:right w:val="none" w:sz="0" w:space="0" w:color="auto"/>
              </w:divBdr>
            </w:div>
          </w:divsChild>
        </w:div>
        <w:div w:id="1366783855">
          <w:marLeft w:val="0"/>
          <w:marRight w:val="0"/>
          <w:marTop w:val="0"/>
          <w:marBottom w:val="0"/>
          <w:divBdr>
            <w:top w:val="none" w:sz="0" w:space="0" w:color="auto"/>
            <w:left w:val="none" w:sz="0" w:space="0" w:color="auto"/>
            <w:bottom w:val="none" w:sz="0" w:space="0" w:color="auto"/>
            <w:right w:val="none" w:sz="0" w:space="0" w:color="auto"/>
          </w:divBdr>
          <w:divsChild>
            <w:div w:id="2136606399">
              <w:marLeft w:val="0"/>
              <w:marRight w:val="0"/>
              <w:marTop w:val="0"/>
              <w:marBottom w:val="0"/>
              <w:divBdr>
                <w:top w:val="none" w:sz="0" w:space="0" w:color="auto"/>
                <w:left w:val="none" w:sz="0" w:space="0" w:color="auto"/>
                <w:bottom w:val="none" w:sz="0" w:space="0" w:color="auto"/>
                <w:right w:val="none" w:sz="0" w:space="0" w:color="auto"/>
              </w:divBdr>
            </w:div>
          </w:divsChild>
        </w:div>
        <w:div w:id="145319215">
          <w:marLeft w:val="0"/>
          <w:marRight w:val="0"/>
          <w:marTop w:val="0"/>
          <w:marBottom w:val="0"/>
          <w:divBdr>
            <w:top w:val="none" w:sz="0" w:space="0" w:color="auto"/>
            <w:left w:val="none" w:sz="0" w:space="0" w:color="auto"/>
            <w:bottom w:val="none" w:sz="0" w:space="0" w:color="auto"/>
            <w:right w:val="none" w:sz="0" w:space="0" w:color="auto"/>
          </w:divBdr>
          <w:divsChild>
            <w:div w:id="1493838955">
              <w:marLeft w:val="0"/>
              <w:marRight w:val="0"/>
              <w:marTop w:val="0"/>
              <w:marBottom w:val="0"/>
              <w:divBdr>
                <w:top w:val="none" w:sz="0" w:space="0" w:color="auto"/>
                <w:left w:val="none" w:sz="0" w:space="0" w:color="auto"/>
                <w:bottom w:val="none" w:sz="0" w:space="0" w:color="auto"/>
                <w:right w:val="none" w:sz="0" w:space="0" w:color="auto"/>
              </w:divBdr>
            </w:div>
          </w:divsChild>
        </w:div>
        <w:div w:id="522020351">
          <w:marLeft w:val="0"/>
          <w:marRight w:val="0"/>
          <w:marTop w:val="0"/>
          <w:marBottom w:val="0"/>
          <w:divBdr>
            <w:top w:val="none" w:sz="0" w:space="0" w:color="auto"/>
            <w:left w:val="none" w:sz="0" w:space="0" w:color="auto"/>
            <w:bottom w:val="none" w:sz="0" w:space="0" w:color="auto"/>
            <w:right w:val="none" w:sz="0" w:space="0" w:color="auto"/>
          </w:divBdr>
          <w:divsChild>
            <w:div w:id="2058702174">
              <w:marLeft w:val="0"/>
              <w:marRight w:val="0"/>
              <w:marTop w:val="0"/>
              <w:marBottom w:val="0"/>
              <w:divBdr>
                <w:top w:val="none" w:sz="0" w:space="0" w:color="auto"/>
                <w:left w:val="none" w:sz="0" w:space="0" w:color="auto"/>
                <w:bottom w:val="none" w:sz="0" w:space="0" w:color="auto"/>
                <w:right w:val="none" w:sz="0" w:space="0" w:color="auto"/>
              </w:divBdr>
            </w:div>
          </w:divsChild>
        </w:div>
        <w:div w:id="1005091314">
          <w:marLeft w:val="0"/>
          <w:marRight w:val="0"/>
          <w:marTop w:val="0"/>
          <w:marBottom w:val="0"/>
          <w:divBdr>
            <w:top w:val="none" w:sz="0" w:space="0" w:color="auto"/>
            <w:left w:val="none" w:sz="0" w:space="0" w:color="auto"/>
            <w:bottom w:val="none" w:sz="0" w:space="0" w:color="auto"/>
            <w:right w:val="none" w:sz="0" w:space="0" w:color="auto"/>
          </w:divBdr>
          <w:divsChild>
            <w:div w:id="553010282">
              <w:marLeft w:val="0"/>
              <w:marRight w:val="0"/>
              <w:marTop w:val="0"/>
              <w:marBottom w:val="0"/>
              <w:divBdr>
                <w:top w:val="none" w:sz="0" w:space="0" w:color="auto"/>
                <w:left w:val="none" w:sz="0" w:space="0" w:color="auto"/>
                <w:bottom w:val="none" w:sz="0" w:space="0" w:color="auto"/>
                <w:right w:val="none" w:sz="0" w:space="0" w:color="auto"/>
              </w:divBdr>
            </w:div>
          </w:divsChild>
        </w:div>
        <w:div w:id="2055805345">
          <w:marLeft w:val="0"/>
          <w:marRight w:val="0"/>
          <w:marTop w:val="0"/>
          <w:marBottom w:val="0"/>
          <w:divBdr>
            <w:top w:val="none" w:sz="0" w:space="0" w:color="auto"/>
            <w:left w:val="none" w:sz="0" w:space="0" w:color="auto"/>
            <w:bottom w:val="none" w:sz="0" w:space="0" w:color="auto"/>
            <w:right w:val="none" w:sz="0" w:space="0" w:color="auto"/>
          </w:divBdr>
          <w:divsChild>
            <w:div w:id="1988434388">
              <w:marLeft w:val="0"/>
              <w:marRight w:val="0"/>
              <w:marTop w:val="0"/>
              <w:marBottom w:val="0"/>
              <w:divBdr>
                <w:top w:val="none" w:sz="0" w:space="0" w:color="auto"/>
                <w:left w:val="none" w:sz="0" w:space="0" w:color="auto"/>
                <w:bottom w:val="none" w:sz="0" w:space="0" w:color="auto"/>
                <w:right w:val="none" w:sz="0" w:space="0" w:color="auto"/>
              </w:divBdr>
            </w:div>
          </w:divsChild>
        </w:div>
        <w:div w:id="267348065">
          <w:marLeft w:val="0"/>
          <w:marRight w:val="0"/>
          <w:marTop w:val="0"/>
          <w:marBottom w:val="0"/>
          <w:divBdr>
            <w:top w:val="none" w:sz="0" w:space="0" w:color="auto"/>
            <w:left w:val="none" w:sz="0" w:space="0" w:color="auto"/>
            <w:bottom w:val="none" w:sz="0" w:space="0" w:color="auto"/>
            <w:right w:val="none" w:sz="0" w:space="0" w:color="auto"/>
          </w:divBdr>
          <w:divsChild>
            <w:div w:id="8019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 Type="http://schemas.openxmlformats.org/officeDocument/2006/relationships/webSettings" Target="webSettings.xml"/><Relationship Id="rId9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 Type="http://schemas.openxmlformats.org/officeDocument/2006/relationships/numbering" Target="numbering.xml"/><Relationship Id="rId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6" Type="http://schemas.openxmlformats.org/officeDocument/2006/relationships/theme" Target="theme/theme1.xml"/><Relationship Id="rId1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 Type="http://schemas.openxmlformats.org/officeDocument/2006/relationships/settings" Target="settings.xml"/><Relationship Id="rId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4" Type="http://schemas.openxmlformats.org/officeDocument/2006/relationships/hyperlink" Target="http://www.ifrs.org" TargetMode="External"/><Relationship Id="rId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 Type="http://schemas.openxmlformats.org/officeDocument/2006/relationships/styles" Target="styles.xml"/><Relationship Id="rId2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2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8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9"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4"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0"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105" Type="http://schemas.openxmlformats.org/officeDocument/2006/relationships/fontTable" Target="fontTable.xml"/><Relationship Id="rId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51"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72"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3"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98"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3" Type="http://schemas.microsoft.com/office/2007/relationships/stylesWithEffects" Target="stylesWithEffects.xml"/><Relationship Id="rId25"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46"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 Id="rId67" Type="http://schemas.openxmlformats.org/officeDocument/2006/relationships/hyperlink" Target="http://legal.legis.com.co/document.legis?documento=legcol&amp;contexto=legcol_d2289bd88fbd00cce0430a01015100cc&amp;vista=STD-PC&amp;qe=articuloprincipal_$norma$|decreto%202784%20de%202012&amp;fnpipelines=DOC_HIGHLIGHTE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1071</Pages>
  <Words>441449</Words>
  <Characters>2427974</Characters>
  <Application>Microsoft Office Word</Application>
  <DocSecurity>0</DocSecurity>
  <Lines>20233</Lines>
  <Paragraphs>5727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Hebego</dc:creator>
  <cp:lastModifiedBy>Hebego</cp:lastModifiedBy>
  <cp:revision>3</cp:revision>
  <dcterms:created xsi:type="dcterms:W3CDTF">2013-11-22T16:24:00Z</dcterms:created>
  <dcterms:modified xsi:type="dcterms:W3CDTF">2013-11-22T16:29:00Z</dcterms:modified>
</cp:coreProperties>
</file>