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48D3">
      <w:pPr>
        <w:rPr>
          <w:rFonts w:ascii="Arial" w:hAnsi="Arial" w:cs="Lucidasans"/>
          <w:sz w:val="20"/>
          <w:szCs w:val="20"/>
          <w:lang/>
        </w:rPr>
      </w:pPr>
      <w:bookmarkStart w:id="0" w:name="_GoBack"/>
      <w:bookmarkEnd w:id="0"/>
    </w:p>
    <w:p w:rsidR="00000000" w:rsidRDefault="007848D3">
      <w:pPr>
        <w:jc w:val="center"/>
        <w:rPr>
          <w:rFonts w:ascii="Arial" w:hAnsi="Arial" w:cs="Lucidasans"/>
          <w:b/>
          <w:bCs/>
          <w:color w:val="000080"/>
          <w:sz w:val="20"/>
          <w:szCs w:val="20"/>
          <w:lang/>
        </w:rPr>
      </w:pPr>
      <w:r>
        <w:rPr>
          <w:rFonts w:ascii="Arial" w:hAnsi="Arial" w:cs="Lucidasans"/>
          <w:b/>
          <w:bCs/>
          <w:color w:val="000080"/>
          <w:sz w:val="20"/>
          <w:szCs w:val="20"/>
          <w:lang/>
        </w:rPr>
        <w:t xml:space="preserve">CONTADURÍA GENERAL DE LA NACIÓN </w:t>
      </w:r>
    </w:p>
    <w:p w:rsidR="00000000" w:rsidRDefault="007848D3">
      <w:pPr>
        <w:jc w:val="center"/>
        <w:rPr>
          <w:rFonts w:ascii="Arial" w:hAnsi="Arial" w:cs="Lucidasans"/>
          <w:b/>
          <w:bCs/>
          <w:sz w:val="20"/>
          <w:szCs w:val="20"/>
          <w:lang/>
        </w:rPr>
      </w:pPr>
      <w:r>
        <w:rPr>
          <w:rFonts w:ascii="Arial" w:hAnsi="Arial" w:cs="Lucidasans"/>
          <w:b/>
          <w:bCs/>
          <w:sz w:val="20"/>
          <w:szCs w:val="20"/>
          <w:lang/>
        </w:rPr>
        <w:t>CONCEPTO JURÍDICO No. 152476 DE 2011</w:t>
      </w:r>
    </w:p>
    <w:p w:rsidR="00000000" w:rsidRDefault="007848D3">
      <w:pPr>
        <w:jc w:val="center"/>
        <w:rPr>
          <w:rFonts w:ascii="Arial" w:hAnsi="Arial" w:cs="Lucidasans"/>
          <w:color w:val="800000"/>
          <w:sz w:val="20"/>
          <w:szCs w:val="20"/>
          <w:lang/>
        </w:rPr>
      </w:pPr>
      <w:r>
        <w:rPr>
          <w:rFonts w:ascii="Arial" w:hAnsi="Arial" w:cs="Lucidasans"/>
          <w:color w:val="800000"/>
          <w:sz w:val="20"/>
          <w:szCs w:val="20"/>
          <w:lang/>
        </w:rPr>
        <w:t>(marzo 30)</w:t>
      </w:r>
    </w:p>
    <w:p w:rsidR="00000000" w:rsidRDefault="007848D3">
      <w:pPr>
        <w:jc w:val="center"/>
        <w:rPr>
          <w:rFonts w:ascii="Arial" w:hAnsi="Arial" w:cs="Lucidasans"/>
          <w:sz w:val="20"/>
          <w:szCs w:val="20"/>
          <w:lang/>
        </w:rPr>
      </w:pPr>
    </w:p>
    <w:p w:rsidR="00000000" w:rsidRDefault="007848D3">
      <w:pPr>
        <w:rPr>
          <w:rFonts w:ascii="Arial" w:hAnsi="Arial"/>
          <w:b/>
          <w:bCs/>
          <w:sz w:val="20"/>
          <w:szCs w:val="20"/>
        </w:rPr>
      </w:pPr>
      <w:r>
        <w:rPr>
          <w:rFonts w:ascii="Arial" w:hAnsi="Arial"/>
          <w:b/>
          <w:bCs/>
          <w:sz w:val="20"/>
          <w:szCs w:val="20"/>
        </w:rPr>
        <w:t xml:space="preserve">    </w:t>
      </w:r>
      <w:r>
        <w:rPr>
          <w:rFonts w:ascii="Arial" w:hAnsi="Arial"/>
          <w:b/>
          <w:bCs/>
          <w:sz w:val="20"/>
          <w:szCs w:val="20"/>
        </w:rPr>
        <w:t>TÍTULO      1.   MARCO CONCEPTUAL - PGCP</w:t>
      </w:r>
    </w:p>
    <w:p w:rsidR="00000000" w:rsidRDefault="007848D3">
      <w:pPr>
        <w:rPr>
          <w:rFonts w:ascii="Arial" w:hAnsi="Arial"/>
          <w:sz w:val="20"/>
          <w:szCs w:val="20"/>
        </w:rPr>
      </w:pPr>
      <w:r>
        <w:rPr>
          <w:rFonts w:ascii="Arial" w:hAnsi="Arial"/>
          <w:sz w:val="20"/>
          <w:szCs w:val="20"/>
        </w:rPr>
        <w:t xml:space="preserve">                         </w:t>
      </w:r>
      <w:r>
        <w:rPr>
          <w:rFonts w:ascii="Arial" w:hAnsi="Arial"/>
          <w:sz w:val="20"/>
          <w:szCs w:val="20"/>
        </w:rPr>
        <w:t>Normas técnicas relativas a los grupos que integran el</w:t>
      </w:r>
    </w:p>
    <w:p w:rsidR="00000000" w:rsidRDefault="007848D3">
      <w:pPr>
        <w:rPr>
          <w:rFonts w:ascii="Arial" w:hAnsi="Arial"/>
          <w:b/>
          <w:bCs/>
          <w:sz w:val="20"/>
          <w:szCs w:val="20"/>
        </w:rPr>
      </w:pPr>
      <w:r>
        <w:rPr>
          <w:rFonts w:ascii="Arial" w:hAnsi="Arial"/>
          <w:b/>
          <w:bCs/>
          <w:sz w:val="20"/>
          <w:szCs w:val="20"/>
        </w:rPr>
        <w:t xml:space="preserve">    </w:t>
      </w:r>
      <w:r>
        <w:rPr>
          <w:rFonts w:ascii="Arial" w:hAnsi="Arial"/>
          <w:b/>
          <w:bCs/>
          <w:sz w:val="20"/>
          <w:szCs w:val="20"/>
        </w:rPr>
        <w:t>Tema            1.1</w:t>
      </w:r>
    </w:p>
    <w:p w:rsidR="00000000" w:rsidRDefault="007848D3">
      <w:pPr>
        <w:rPr>
          <w:rFonts w:ascii="Arial" w:hAnsi="Arial"/>
          <w:sz w:val="20"/>
          <w:szCs w:val="20"/>
        </w:rPr>
      </w:pPr>
      <w:r>
        <w:rPr>
          <w:rFonts w:ascii="Arial" w:hAnsi="Arial"/>
          <w:b/>
          <w:bCs/>
          <w:sz w:val="20"/>
          <w:szCs w:val="20"/>
        </w:rPr>
        <w:t xml:space="preserve">                        </w:t>
      </w:r>
      <w:r>
        <w:rPr>
          <w:rFonts w:ascii="Arial" w:hAnsi="Arial"/>
          <w:b/>
          <w:bCs/>
          <w:sz w:val="20"/>
          <w:szCs w:val="20"/>
        </w:rPr>
        <w:t xml:space="preserve"> </w:t>
      </w:r>
      <w:r>
        <w:rPr>
          <w:rFonts w:ascii="Arial" w:hAnsi="Arial"/>
          <w:b/>
          <w:bCs/>
          <w:sz w:val="20"/>
          <w:szCs w:val="20"/>
        </w:rPr>
        <w:t xml:space="preserve">1   </w:t>
      </w:r>
      <w:r>
        <w:rPr>
          <w:rFonts w:ascii="Arial" w:hAnsi="Arial"/>
          <w:sz w:val="20"/>
          <w:szCs w:val="20"/>
        </w:rPr>
        <w:t xml:space="preserve">                     activo/Deudores</w:t>
      </w:r>
    </w:p>
    <w:p w:rsidR="00000000" w:rsidRDefault="007848D3">
      <w:pPr>
        <w:rPr>
          <w:rFonts w:ascii="Arial" w:hAnsi="Arial"/>
          <w:sz w:val="20"/>
          <w:szCs w:val="20"/>
        </w:rPr>
      </w:pPr>
      <w:r>
        <w:rPr>
          <w:rFonts w:ascii="Arial" w:hAnsi="Arial"/>
          <w:b/>
          <w:bCs/>
          <w:sz w:val="20"/>
          <w:szCs w:val="20"/>
        </w:rPr>
        <w:t xml:space="preserve">    </w:t>
      </w:r>
      <w:r>
        <w:rPr>
          <w:rFonts w:ascii="Arial" w:hAnsi="Arial"/>
          <w:b/>
          <w:bCs/>
          <w:sz w:val="20"/>
          <w:szCs w:val="20"/>
        </w:rPr>
        <w:t>Subtema      1.1.1</w:t>
      </w:r>
      <w:r>
        <w:rPr>
          <w:rFonts w:ascii="Arial" w:hAnsi="Arial"/>
          <w:sz w:val="20"/>
          <w:szCs w:val="20"/>
        </w:rPr>
        <w:t xml:space="preserve"> Reconocimiento contable de deudas de difícil cobro</w:t>
      </w:r>
    </w:p>
    <w:p w:rsidR="00000000" w:rsidRDefault="007848D3">
      <w:pPr>
        <w:rPr>
          <w:rFonts w:ascii="Arial" w:hAnsi="Arial" w:cs="Lucidasans"/>
          <w:sz w:val="20"/>
          <w:szCs w:val="20"/>
          <w:lang/>
        </w:rPr>
      </w:pPr>
    </w:p>
    <w:p w:rsidR="00000000" w:rsidRDefault="007848D3">
      <w:pPr>
        <w:rPr>
          <w:rFonts w:ascii="Arial" w:hAnsi="Arial" w:cs="Lucidasans"/>
          <w:b/>
          <w:bCs/>
          <w:sz w:val="20"/>
          <w:szCs w:val="20"/>
          <w:lang/>
        </w:rPr>
      </w:pPr>
      <w:r>
        <w:rPr>
          <w:rFonts w:ascii="Arial" w:hAnsi="Arial" w:cs="Lucidasans"/>
          <w:b/>
          <w:bCs/>
          <w:sz w:val="20"/>
          <w:szCs w:val="20"/>
          <w:lang/>
        </w:rPr>
        <w:t>ANTECEDENTES</w:t>
      </w:r>
    </w:p>
    <w:p w:rsidR="00000000" w:rsidRDefault="007848D3">
      <w:pPr>
        <w:rPr>
          <w:rFonts w:ascii="Arial" w:hAnsi="Arial" w:cs="Lucidasans"/>
          <w:b/>
          <w:bCs/>
          <w:sz w:val="20"/>
          <w:szCs w:val="20"/>
          <w:lang/>
        </w:rPr>
      </w:pP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Me refiero a su correo electrónico radicado con el expediente 20113-152476, en el cual hace referencia al hallazgo por parte</w:t>
      </w:r>
      <w:r>
        <w:rPr>
          <w:rFonts w:ascii="Arial" w:hAnsi="Arial" w:cs="Lucidasans"/>
          <w:sz w:val="20"/>
          <w:szCs w:val="20"/>
          <w:lang/>
        </w:rPr>
        <w:t xml:space="preserve"> de la Contraloría en los siguientes términos:“COODESCA a 31 de diciembre de 2009, reporta en la contabilidad el valor de $234.418 miles por concepto de cartera vencida a mas de 360 días. Según relación del área de cartera de la cooperativa al 9 de septiem</w:t>
      </w:r>
      <w:r>
        <w:rPr>
          <w:rFonts w:ascii="Arial" w:hAnsi="Arial" w:cs="Lucidasans"/>
          <w:sz w:val="20"/>
          <w:szCs w:val="20"/>
          <w:lang/>
        </w:rPr>
        <w:t>bre de 2010 la cartera superior a 360 días suma $574.119 miles.</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No obstante lo anterior, COODESCA no incorpora en la contabilidad, la cuenta de Deudas de Difícil Recaudo, al igual que clasifica en el Balance a 31 de diciembre de 2009 la totalidad de los d</w:t>
      </w:r>
      <w:r>
        <w:rPr>
          <w:rFonts w:ascii="Arial" w:hAnsi="Arial" w:cs="Lucidasans"/>
          <w:sz w:val="20"/>
          <w:szCs w:val="20"/>
          <w:lang/>
        </w:rPr>
        <w:t xml:space="preserve">eudores como activo corriente, situación que no es cierta; desdibujando la realidad de algunos de los indicadores de liquidez presentados por la entidad como son el capital de trabajo, razón corriente, prueba acida entre otros”. </w:t>
      </w:r>
    </w:p>
    <w:p w:rsidR="00000000" w:rsidRDefault="007848D3">
      <w:pPr>
        <w:jc w:val="both"/>
        <w:rPr>
          <w:rFonts w:ascii="Arial" w:hAnsi="Arial" w:cs="Lucidasans"/>
          <w:i/>
          <w:iCs/>
          <w:sz w:val="20"/>
          <w:szCs w:val="20"/>
          <w:lang/>
        </w:rPr>
      </w:pPr>
      <w:r>
        <w:rPr>
          <w:rFonts w:ascii="Arial" w:hAnsi="Arial" w:cs="Lucidasans"/>
          <w:sz w:val="20"/>
          <w:szCs w:val="20"/>
          <w:lang/>
        </w:rPr>
        <w:t>También informa la Contral</w:t>
      </w:r>
      <w:r>
        <w:rPr>
          <w:rFonts w:ascii="Arial" w:hAnsi="Arial" w:cs="Lucidasans"/>
          <w:sz w:val="20"/>
          <w:szCs w:val="20"/>
          <w:lang/>
        </w:rPr>
        <w:t xml:space="preserve">oría General de Caldas que en respuesta al hallazgo, la Cooperativa aduce que </w:t>
      </w:r>
      <w:r>
        <w:rPr>
          <w:rFonts w:ascii="Arial" w:hAnsi="Arial" w:cs="Lucidasans"/>
          <w:i/>
          <w:iCs/>
          <w:sz w:val="20"/>
          <w:szCs w:val="20"/>
          <w:lang/>
        </w:rPr>
        <w:t xml:space="preserve">“(…) seguirá incorporando las Deudas de difícil recaudo acorde con el Plan Único de Cuentas del Sector Solidario, que quedará clasificado como “Vencida a más de 360 días”, tal y </w:t>
      </w:r>
      <w:r>
        <w:rPr>
          <w:rFonts w:ascii="Arial" w:hAnsi="Arial" w:cs="Lucidasans"/>
          <w:i/>
          <w:iCs/>
          <w:sz w:val="20"/>
          <w:szCs w:val="20"/>
          <w:lang/>
        </w:rPr>
        <w:t xml:space="preserve">como lo establece La Circular Básica Contable Financiera Nro. 04 de 2008, expedida por la Superintendencia de La Economía Solidaria, y atenderemos también el criterio de la circular citada: “En las cuentas por cobrar derivadas de contratos con la Nación o </w:t>
      </w:r>
      <w:r>
        <w:rPr>
          <w:rFonts w:ascii="Arial" w:hAnsi="Arial" w:cs="Lucidasans"/>
          <w:i/>
          <w:iCs/>
          <w:sz w:val="20"/>
          <w:szCs w:val="20"/>
          <w:lang/>
        </w:rPr>
        <w:t>con Entidades Territoriales, cuando exista el respectivo certificado de apropiación presupuestal, se entenderá que la cuenta por cobrar esta exenta de la provisión señalada en el presente capitulo en caso de que el pago se efectúe en plazos diferentes a lo</w:t>
      </w:r>
      <w:r>
        <w:rPr>
          <w:rFonts w:ascii="Arial" w:hAnsi="Arial" w:cs="Lucidasans"/>
          <w:i/>
          <w:iCs/>
          <w:sz w:val="20"/>
          <w:szCs w:val="20"/>
          <w:lang/>
        </w:rPr>
        <w:t>s inicialmente pactados”.</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En lo referente a la reclasificación de las deudas vencidas a más de 360 días, la circular citada no establece su traslado al activo no corriente. Razón por la cual para efectos de presentación de los Estados Financieros con cort</w:t>
      </w:r>
      <w:r>
        <w:rPr>
          <w:rFonts w:ascii="Arial" w:hAnsi="Arial" w:cs="Lucidasans"/>
          <w:sz w:val="20"/>
          <w:szCs w:val="20"/>
          <w:lang/>
        </w:rPr>
        <w:t>e a diciembre 31 de 2010, haremos la reclasificación sólo por la sugerencia de la Contraloría tanto en la parte activa como pasiva; pero advirtiendo, que nos genera incertidumbre jurídica frente a nuestro organismo de control y vigilancia (Superintendencia</w:t>
      </w:r>
      <w:r>
        <w:rPr>
          <w:rFonts w:ascii="Arial" w:hAnsi="Arial" w:cs="Lucidasans"/>
          <w:sz w:val="20"/>
          <w:szCs w:val="20"/>
          <w:lang/>
        </w:rPr>
        <w:t xml:space="preserve"> de la Economía Solidaria)”.</w:t>
      </w:r>
    </w:p>
    <w:p w:rsidR="00000000" w:rsidRDefault="007848D3">
      <w:pPr>
        <w:jc w:val="both"/>
        <w:rPr>
          <w:rFonts w:ascii="Arial" w:hAnsi="Arial" w:cs="Lucidasans"/>
          <w:sz w:val="20"/>
          <w:szCs w:val="20"/>
          <w:lang/>
        </w:rPr>
      </w:pPr>
      <w:r>
        <w:rPr>
          <w:rFonts w:ascii="Arial" w:hAnsi="Arial" w:cs="Lucidasans"/>
          <w:sz w:val="20"/>
          <w:szCs w:val="20"/>
          <w:lang/>
        </w:rPr>
        <w:t>En consecuencia, solicita orientación sobre el manejo contable que se le debe dar a las deudas de difícil recaudo por parte de La Administración Cooperativa de Entidades de</w:t>
      </w:r>
    </w:p>
    <w:p w:rsidR="00000000" w:rsidRDefault="007848D3">
      <w:pPr>
        <w:jc w:val="both"/>
        <w:rPr>
          <w:rFonts w:ascii="Arial" w:hAnsi="Arial" w:cs="Lucidasans"/>
          <w:sz w:val="20"/>
          <w:szCs w:val="20"/>
          <w:lang/>
        </w:rPr>
      </w:pPr>
      <w:r>
        <w:rPr>
          <w:rFonts w:ascii="Arial" w:hAnsi="Arial" w:cs="Lucidasans"/>
          <w:sz w:val="20"/>
          <w:szCs w:val="20"/>
          <w:lang/>
        </w:rPr>
        <w:t xml:space="preserve">Salud de Caldas y Quindío, COODESCA. </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Al respecto est</w:t>
      </w:r>
      <w:r>
        <w:rPr>
          <w:rFonts w:ascii="Arial" w:hAnsi="Arial" w:cs="Lucidasans"/>
          <w:sz w:val="20"/>
          <w:szCs w:val="20"/>
          <w:lang/>
        </w:rPr>
        <w:t>e Despacho se permite atender su solicitud en los siguientes términos:</w:t>
      </w:r>
    </w:p>
    <w:p w:rsidR="00000000" w:rsidRDefault="007848D3">
      <w:pPr>
        <w:jc w:val="both"/>
        <w:rPr>
          <w:rFonts w:ascii="Arial" w:hAnsi="Arial" w:cs="Lucidasans"/>
          <w:sz w:val="20"/>
          <w:szCs w:val="20"/>
          <w:lang/>
        </w:rPr>
      </w:pPr>
    </w:p>
    <w:p w:rsidR="00000000" w:rsidRDefault="007848D3">
      <w:pPr>
        <w:jc w:val="both"/>
        <w:rPr>
          <w:rFonts w:ascii="Arial" w:hAnsi="Arial" w:cs="Lucidasans"/>
          <w:b/>
          <w:bCs/>
          <w:sz w:val="20"/>
          <w:szCs w:val="20"/>
          <w:lang/>
        </w:rPr>
      </w:pPr>
      <w:r>
        <w:rPr>
          <w:rFonts w:ascii="Arial" w:hAnsi="Arial" w:cs="Lucidasans"/>
          <w:b/>
          <w:bCs/>
          <w:sz w:val="20"/>
          <w:szCs w:val="20"/>
          <w:lang/>
        </w:rPr>
        <w:t>CONSIDERACIONES</w:t>
      </w:r>
    </w:p>
    <w:p w:rsidR="00000000" w:rsidRDefault="007848D3">
      <w:pPr>
        <w:jc w:val="both"/>
        <w:rPr>
          <w:rFonts w:ascii="Arial" w:hAnsi="Arial" w:cs="Lucidasans"/>
          <w:b/>
          <w:bCs/>
          <w:sz w:val="20"/>
          <w:szCs w:val="20"/>
          <w:lang/>
        </w:rPr>
      </w:pPr>
    </w:p>
    <w:p w:rsidR="00000000" w:rsidRDefault="007848D3">
      <w:pPr>
        <w:jc w:val="both"/>
        <w:rPr>
          <w:rFonts w:ascii="Arial" w:hAnsi="Arial" w:cs="Lucidasans"/>
          <w:i/>
          <w:iCs/>
          <w:sz w:val="20"/>
          <w:szCs w:val="20"/>
          <w:lang/>
        </w:rPr>
      </w:pPr>
      <w:r>
        <w:rPr>
          <w:rFonts w:ascii="Arial" w:hAnsi="Arial" w:cs="Lucidasans"/>
          <w:sz w:val="20"/>
          <w:szCs w:val="20"/>
          <w:lang/>
        </w:rPr>
        <w:t xml:space="preserve">El artículo 5° de la Resolución 354 de septiembre 5 de 2007, mediante la cual se adopta el Régimen de Contabilidad Pública dispone que </w:t>
      </w:r>
      <w:r>
        <w:rPr>
          <w:rFonts w:ascii="Arial" w:hAnsi="Arial" w:cs="Lucidasans"/>
          <w:i/>
          <w:iCs/>
          <w:sz w:val="20"/>
          <w:szCs w:val="20"/>
          <w:lang/>
        </w:rPr>
        <w:t>“(…) debe ser aplicado por los o</w:t>
      </w:r>
      <w:r>
        <w:rPr>
          <w:rFonts w:ascii="Arial" w:hAnsi="Arial" w:cs="Lucidasans"/>
          <w:i/>
          <w:iCs/>
          <w:sz w:val="20"/>
          <w:szCs w:val="20"/>
          <w:lang/>
        </w:rPr>
        <w:t>rganismos y entidades que integran las Ramas del Poder Público en sus diferentes niveles y sectores. También debe ser aplicado por los órganos autónomos e independientes creados para el cumplimiento de las demás funciones del Estado. En el mismo sentido, e</w:t>
      </w:r>
      <w:r>
        <w:rPr>
          <w:rFonts w:ascii="Arial" w:hAnsi="Arial" w:cs="Lucidasans"/>
          <w:i/>
          <w:iCs/>
          <w:sz w:val="20"/>
          <w:szCs w:val="20"/>
          <w:lang/>
        </w:rPr>
        <w:t>l ámbito de aplicación del Régimen de Contabilidad Pública incluye a los Fondos de origen presupuestal, además de las Sociedades de Economía Mixta y las que se les asimilen, en las que la participación del sector público, de manera directa o indirecta, sea</w:t>
      </w:r>
      <w:r>
        <w:rPr>
          <w:rFonts w:ascii="Arial" w:hAnsi="Arial" w:cs="Lucidasans"/>
          <w:i/>
          <w:iCs/>
          <w:sz w:val="20"/>
          <w:szCs w:val="20"/>
          <w:lang/>
        </w:rPr>
        <w:t xml:space="preserve"> igual o superior al cincuenta por ciento (50%) del capital social. (…)”.</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Con respecto a la normativa contable, el párrafo 120 del Plan General de Contabilidad Pública del Régimen de Contabilidad Pública, define el principio de la Prudencia en los siguien</w:t>
      </w:r>
      <w:r>
        <w:rPr>
          <w:rFonts w:ascii="Arial" w:hAnsi="Arial" w:cs="Lucidasans"/>
          <w:sz w:val="20"/>
          <w:szCs w:val="20"/>
          <w:lang/>
        </w:rPr>
        <w:t xml:space="preserve">tes términos: </w:t>
      </w:r>
      <w:r>
        <w:rPr>
          <w:rFonts w:ascii="Arial" w:hAnsi="Arial" w:cs="Lucidasans"/>
          <w:i/>
          <w:iCs/>
          <w:sz w:val="20"/>
          <w:szCs w:val="20"/>
          <w:lang/>
        </w:rPr>
        <w:t>“(…) Con referencia a los gastos deben contabilizarse no sólo en los que se incurre durante el período contable, sino también los potenciales, desde cuando se tenga conocimiento, es decir, los que supongan riesgos previsibles o pérdidas event</w:t>
      </w:r>
      <w:r>
        <w:rPr>
          <w:rFonts w:ascii="Arial" w:hAnsi="Arial" w:cs="Lucidasans"/>
          <w:i/>
          <w:iCs/>
          <w:sz w:val="20"/>
          <w:szCs w:val="20"/>
          <w:lang/>
        </w:rPr>
        <w:t xml:space="preserve">uales, cuyo origen se presente en el período actual o en períodos anteriores. (…)”. </w:t>
      </w:r>
      <w:r>
        <w:rPr>
          <w:rFonts w:ascii="Arial" w:hAnsi="Arial" w:cs="Lucidasans"/>
          <w:sz w:val="20"/>
          <w:szCs w:val="20"/>
          <w:lang/>
        </w:rPr>
        <w:t>(Subrayado fuera de texto)</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lastRenderedPageBreak/>
        <w:t xml:space="preserve">Subsecuentemente, el párrafo 154 de la normativa contable, en lo relacionado con la provisión de deudores, indica que </w:t>
      </w:r>
      <w:r>
        <w:rPr>
          <w:rFonts w:ascii="Arial" w:hAnsi="Arial" w:cs="Lucidasans"/>
          <w:i/>
          <w:iCs/>
          <w:sz w:val="20"/>
          <w:szCs w:val="20"/>
          <w:lang/>
        </w:rPr>
        <w:t xml:space="preserve">“Como resultado del grado </w:t>
      </w:r>
      <w:r>
        <w:rPr>
          <w:rFonts w:ascii="Arial" w:hAnsi="Arial" w:cs="Lucidasans"/>
          <w:i/>
          <w:iCs/>
          <w:sz w:val="20"/>
          <w:szCs w:val="20"/>
          <w:lang/>
        </w:rPr>
        <w:t xml:space="preserve">de incobrabilidad  originado en factores tales como antigüedad e incumplimiento, debe provisionarse el valor de los derechos que se estimen incobrables y ajustarse permanentemente de acuerdo con su evolución. El cálculo de la provisión debe corresponder a </w:t>
      </w:r>
      <w:r>
        <w:rPr>
          <w:rFonts w:ascii="Arial" w:hAnsi="Arial" w:cs="Lucidasans"/>
          <w:i/>
          <w:iCs/>
          <w:sz w:val="20"/>
          <w:szCs w:val="20"/>
          <w:lang/>
        </w:rPr>
        <w:t>una evaluación técnica que permita determinar la contingencia de pérdida o riesgo por la eventual insolvencia del deudor, además de los aspectos legales que originan el derecho, y deberá efectuarse por lo menos al cierre del período contable.</w:t>
      </w:r>
      <w:r>
        <w:rPr>
          <w:rFonts w:ascii="Arial" w:hAnsi="Arial" w:cs="Lucidasans"/>
          <w:sz w:val="20"/>
          <w:szCs w:val="20"/>
          <w:lang/>
        </w:rPr>
        <w:t xml:space="preserve"> (Subrayado fu</w:t>
      </w:r>
      <w:r>
        <w:rPr>
          <w:rFonts w:ascii="Arial" w:hAnsi="Arial" w:cs="Lucidasans"/>
          <w:sz w:val="20"/>
          <w:szCs w:val="20"/>
          <w:lang/>
        </w:rPr>
        <w:t>era de texto)</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 xml:space="preserve">Seguido, el párrafo 155, señala: </w:t>
      </w:r>
      <w:r>
        <w:rPr>
          <w:rFonts w:ascii="Arial" w:hAnsi="Arial" w:cs="Lucidasans"/>
          <w:i/>
          <w:iCs/>
          <w:sz w:val="20"/>
          <w:szCs w:val="20"/>
          <w:lang/>
        </w:rPr>
        <w:t xml:space="preserve">“Son métodos y criterios aceptados para establecer el valor de la provisión: el individual y el general. El método individual se basa en el análisis de la antigüedad y revisión de las condiciones de cada uno </w:t>
      </w:r>
      <w:r>
        <w:rPr>
          <w:rFonts w:ascii="Arial" w:hAnsi="Arial" w:cs="Lucidasans"/>
          <w:i/>
          <w:iCs/>
          <w:sz w:val="20"/>
          <w:szCs w:val="20"/>
          <w:lang/>
        </w:rPr>
        <w:t xml:space="preserve">de los deudores. Tomando como base la experiencia y las condiciones económicas existentes, hará la estimación de los porcentajes y valores que no tienen probabilidad de recuperarse, teniendo en cuenta que a mayor tiempo vencido es mayor esta probabilidad. </w:t>
      </w:r>
      <w:r>
        <w:rPr>
          <w:rFonts w:ascii="Arial" w:hAnsi="Arial" w:cs="Lucidasans"/>
          <w:i/>
          <w:iCs/>
          <w:sz w:val="20"/>
          <w:szCs w:val="20"/>
          <w:lang/>
        </w:rPr>
        <w:t>A partir de estos valores calculados se hará el ajuste correspondiente a la provisión. El método general o alternativo se basa en la estimación de un porcentaje sobre el total de los deudores que se consideran incobrables, con independencia de la situación</w:t>
      </w:r>
      <w:r>
        <w:rPr>
          <w:rFonts w:ascii="Arial" w:hAnsi="Arial" w:cs="Lucidasans"/>
          <w:i/>
          <w:iCs/>
          <w:sz w:val="20"/>
          <w:szCs w:val="20"/>
          <w:lang/>
        </w:rPr>
        <w:t xml:space="preserve"> particular de cada una de ellas. Este método toma en cuenta el comportamiento o experiencia en materia de recaudo de los deudores y establece rangos por edades de vencimiento. Para el efecto debe determinarse el porcentaje a aplicar como provisión en cada</w:t>
      </w:r>
      <w:r>
        <w:rPr>
          <w:rFonts w:ascii="Arial" w:hAnsi="Arial" w:cs="Lucidasans"/>
          <w:i/>
          <w:iCs/>
          <w:sz w:val="20"/>
          <w:szCs w:val="20"/>
          <w:lang/>
        </w:rPr>
        <w:t xml:space="preserve"> uno de los rangos definidos, sin exceder del valor del deudor. Igualmente el párrafo 156, define que “El reconocimiento de la provisión de deudores afecta el gasto. (…)”.</w:t>
      </w:r>
      <w:r>
        <w:rPr>
          <w:rFonts w:ascii="Arial" w:hAnsi="Arial" w:cs="Lucidasans"/>
          <w:sz w:val="20"/>
          <w:szCs w:val="20"/>
          <w:lang/>
        </w:rPr>
        <w:t xml:space="preserve"> (Subrayado fuera de texto)</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 xml:space="preserve">Así mismo, el párrafo 157 de la mencionada norma, en lo </w:t>
      </w:r>
      <w:r>
        <w:rPr>
          <w:rFonts w:ascii="Arial" w:hAnsi="Arial" w:cs="Lucidasans"/>
          <w:sz w:val="20"/>
          <w:szCs w:val="20"/>
          <w:lang/>
        </w:rPr>
        <w:t xml:space="preserve">referente a la revelación de los deudores, prescribe: </w:t>
      </w:r>
      <w:r>
        <w:rPr>
          <w:rFonts w:ascii="Arial" w:hAnsi="Arial" w:cs="Lucidasans"/>
          <w:i/>
          <w:iCs/>
          <w:sz w:val="20"/>
          <w:szCs w:val="20"/>
          <w:lang/>
        </w:rPr>
        <w:t>“Los deudores se revelan de acuerdo con su origen en: (…); y en deudores de difícil recaudo, de acuerdo con el riesgo de insolvencia del deudor. El valor de las provisiones constituidas se presenta como</w:t>
      </w:r>
      <w:r>
        <w:rPr>
          <w:rFonts w:ascii="Arial" w:hAnsi="Arial" w:cs="Lucidasans"/>
          <w:i/>
          <w:iCs/>
          <w:sz w:val="20"/>
          <w:szCs w:val="20"/>
          <w:lang/>
        </w:rPr>
        <w:t xml:space="preserve"> un menor valor de los deudores, debiendo revelarse los métodos y criterios utilizados para su estimación en notas a los estados, informes y reportes contables.</w:t>
      </w:r>
      <w:r>
        <w:rPr>
          <w:rFonts w:ascii="Arial" w:hAnsi="Arial" w:cs="Lucidasans"/>
          <w:sz w:val="20"/>
          <w:szCs w:val="20"/>
          <w:lang/>
        </w:rPr>
        <w:t xml:space="preserve"> (Subrayado fuera de texto).</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En relación con la revelación en el balance general de la totalida</w:t>
      </w:r>
      <w:r>
        <w:rPr>
          <w:rFonts w:ascii="Arial" w:hAnsi="Arial" w:cs="Lucidasans"/>
          <w:sz w:val="20"/>
          <w:szCs w:val="20"/>
          <w:lang/>
        </w:rPr>
        <w:t>d de los deudores como activo corriente, el párrafo 368 del Plan General de Contabilidad Pública del  Régimen de Contabilidad Pública, establece que el Activo Corriente</w:t>
      </w:r>
      <w:r>
        <w:rPr>
          <w:rFonts w:ascii="Arial" w:hAnsi="Arial" w:cs="Lucidasans"/>
          <w:i/>
          <w:iCs/>
          <w:sz w:val="20"/>
          <w:szCs w:val="20"/>
          <w:lang/>
        </w:rPr>
        <w:t xml:space="preserve"> “Comprende los bienes y derechos que razonablemente pueden ser convertidos en efectivo,</w:t>
      </w:r>
      <w:r>
        <w:rPr>
          <w:rFonts w:ascii="Arial" w:hAnsi="Arial" w:cs="Lucidasans"/>
          <w:i/>
          <w:iCs/>
          <w:sz w:val="20"/>
          <w:szCs w:val="20"/>
          <w:lang/>
        </w:rPr>
        <w:t xml:space="preserve"> o que por su naturaleza puede realizarse o consumirse, en un período no superior a un año, contado a partir de la fecha del balance general”</w:t>
      </w:r>
      <w:r>
        <w:rPr>
          <w:rFonts w:ascii="Arial" w:hAnsi="Arial" w:cs="Lucidasans"/>
          <w:sz w:val="20"/>
          <w:szCs w:val="20"/>
          <w:lang/>
        </w:rPr>
        <w:t>. (Subrayado fuera de texto)</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 xml:space="preserve">Por su parte, el párrafo 369 señala que el Activo no Corriente </w:t>
      </w:r>
      <w:r>
        <w:rPr>
          <w:rFonts w:ascii="Arial" w:hAnsi="Arial" w:cs="Lucidasans"/>
          <w:i/>
          <w:iCs/>
          <w:sz w:val="20"/>
          <w:szCs w:val="20"/>
          <w:lang/>
        </w:rPr>
        <w:t xml:space="preserve">“Está constituido por </w:t>
      </w:r>
      <w:r>
        <w:rPr>
          <w:rFonts w:ascii="Arial" w:hAnsi="Arial" w:cs="Lucidasans"/>
          <w:i/>
          <w:iCs/>
          <w:sz w:val="20"/>
          <w:szCs w:val="20"/>
          <w:lang/>
        </w:rPr>
        <w:t xml:space="preserve">los bienes y derechos de relativa permanencia que se adquieren con el fin de utilizarlos, consumirlos o explotarlos y no con la intención de comercializarlos”. </w:t>
      </w:r>
      <w:r>
        <w:rPr>
          <w:rFonts w:ascii="Arial" w:hAnsi="Arial" w:cs="Lucidasans"/>
          <w:sz w:val="20"/>
          <w:szCs w:val="20"/>
          <w:lang/>
        </w:rPr>
        <w:t>(Subrayado fuera de texto)</w:t>
      </w:r>
    </w:p>
    <w:p w:rsidR="00000000" w:rsidRDefault="007848D3">
      <w:pPr>
        <w:jc w:val="both"/>
        <w:rPr>
          <w:rFonts w:ascii="Arial" w:hAnsi="Arial" w:cs="Lucidasans"/>
          <w:sz w:val="20"/>
          <w:szCs w:val="20"/>
          <w:lang/>
        </w:rPr>
      </w:pPr>
      <w:r>
        <w:rPr>
          <w:rFonts w:ascii="Arial" w:hAnsi="Arial" w:cs="Lucidasans"/>
          <w:sz w:val="20"/>
          <w:szCs w:val="20"/>
          <w:lang/>
        </w:rPr>
        <w:t xml:space="preserve"> </w:t>
      </w:r>
    </w:p>
    <w:p w:rsidR="00000000" w:rsidRDefault="007848D3">
      <w:pPr>
        <w:jc w:val="both"/>
        <w:rPr>
          <w:rFonts w:ascii="Arial" w:hAnsi="Arial" w:cs="Lucidasans"/>
          <w:i/>
          <w:iCs/>
          <w:sz w:val="20"/>
          <w:szCs w:val="20"/>
          <w:lang/>
        </w:rPr>
      </w:pPr>
      <w:r>
        <w:rPr>
          <w:rFonts w:ascii="Arial" w:hAnsi="Arial" w:cs="Lucidasans"/>
          <w:sz w:val="20"/>
          <w:szCs w:val="20"/>
          <w:lang/>
        </w:rPr>
        <w:t>De otra parte, el Catalogo General de Cuentas contenido en el Manua</w:t>
      </w:r>
      <w:r>
        <w:rPr>
          <w:rFonts w:ascii="Arial" w:hAnsi="Arial" w:cs="Lucidasans"/>
          <w:sz w:val="20"/>
          <w:szCs w:val="20"/>
          <w:lang/>
        </w:rPr>
        <w:t xml:space="preserve">l de Procedimientos del Régimen de Contabilidad Pública, describe la cuenta 1475-DEUDAS DE DIFÍCIL RECAUDO, como: </w:t>
      </w:r>
      <w:r>
        <w:rPr>
          <w:rFonts w:ascii="Arial" w:hAnsi="Arial" w:cs="Lucidasans"/>
          <w:i/>
          <w:iCs/>
          <w:sz w:val="20"/>
          <w:szCs w:val="20"/>
          <w:lang/>
        </w:rPr>
        <w:t>“el valor de las deudas a favor de la entidad contable pública pendientes de recaudo, que por su antigüedad y morosidad han sido reclasificada</w:t>
      </w:r>
      <w:r>
        <w:rPr>
          <w:rFonts w:ascii="Arial" w:hAnsi="Arial" w:cs="Lucidasans"/>
          <w:i/>
          <w:iCs/>
          <w:sz w:val="20"/>
          <w:szCs w:val="20"/>
          <w:lang/>
        </w:rPr>
        <w:t>s de la cuenta deudora principal”.</w:t>
      </w:r>
    </w:p>
    <w:p w:rsidR="00000000" w:rsidRDefault="007848D3">
      <w:pPr>
        <w:jc w:val="both"/>
        <w:rPr>
          <w:rFonts w:ascii="Arial" w:hAnsi="Arial" w:cs="Lucidasans"/>
          <w:sz w:val="20"/>
          <w:szCs w:val="20"/>
          <w:lang/>
        </w:rPr>
      </w:pPr>
    </w:p>
    <w:p w:rsidR="00000000" w:rsidRDefault="007848D3">
      <w:pPr>
        <w:jc w:val="both"/>
        <w:rPr>
          <w:rFonts w:ascii="Arial" w:hAnsi="Arial" w:cs="Lucidasans"/>
          <w:i/>
          <w:iCs/>
          <w:sz w:val="20"/>
          <w:szCs w:val="20"/>
          <w:lang/>
        </w:rPr>
      </w:pPr>
      <w:r>
        <w:rPr>
          <w:rFonts w:ascii="Arial" w:hAnsi="Arial" w:cs="Lucidasans"/>
          <w:sz w:val="20"/>
          <w:szCs w:val="20"/>
          <w:lang/>
        </w:rPr>
        <w:t>La dinámica de esta cuenta establece que se acredita con:</w:t>
      </w:r>
      <w:r>
        <w:rPr>
          <w:rFonts w:ascii="Arial" w:hAnsi="Arial" w:cs="Lucidasans"/>
          <w:i/>
          <w:iCs/>
          <w:sz w:val="20"/>
          <w:szCs w:val="20"/>
          <w:lang/>
        </w:rPr>
        <w:t xml:space="preserve"> “2- El valor castigado contra la respectiva provisión, una vez agotadas las gestiones de cobro y cumplidos los requisitos pertinentes”.</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También, describe la cuen</w:t>
      </w:r>
      <w:r>
        <w:rPr>
          <w:rFonts w:ascii="Arial" w:hAnsi="Arial" w:cs="Lucidasans"/>
          <w:sz w:val="20"/>
          <w:szCs w:val="20"/>
          <w:lang/>
        </w:rPr>
        <w:t>ta 1480-PROVISIÓN PARA DEUDORES (Cr), como: “el valor estimado de las contingencias de pérdida generadas como resultado del riesgo de incobrabilidad, de acuerdo con el análisis general o individual de las cuentas que integran el grupo de deudores. La contr</w:t>
      </w:r>
      <w:r>
        <w:rPr>
          <w:rFonts w:ascii="Arial" w:hAnsi="Arial" w:cs="Lucidasans"/>
          <w:sz w:val="20"/>
          <w:szCs w:val="20"/>
          <w:lang/>
        </w:rPr>
        <w:t>apartida corresponde a las subcuentas que integran la cuenta 5304-Provisión para Deudores”.</w:t>
      </w:r>
    </w:p>
    <w:p w:rsidR="00000000" w:rsidRDefault="007848D3">
      <w:pPr>
        <w:jc w:val="both"/>
        <w:rPr>
          <w:rFonts w:ascii="Arial" w:hAnsi="Arial" w:cs="Lucidasans"/>
          <w:sz w:val="20"/>
          <w:szCs w:val="20"/>
          <w:lang/>
        </w:rPr>
      </w:pPr>
    </w:p>
    <w:p w:rsidR="00000000" w:rsidRDefault="007848D3">
      <w:pPr>
        <w:jc w:val="both"/>
        <w:rPr>
          <w:rFonts w:ascii="Arial" w:hAnsi="Arial" w:cs="Lucidasans"/>
          <w:i/>
          <w:iCs/>
          <w:sz w:val="20"/>
          <w:szCs w:val="20"/>
          <w:lang/>
        </w:rPr>
      </w:pPr>
      <w:r>
        <w:rPr>
          <w:rFonts w:ascii="Arial" w:hAnsi="Arial" w:cs="Lucidasans"/>
          <w:sz w:val="20"/>
          <w:szCs w:val="20"/>
          <w:lang/>
        </w:rPr>
        <w:t>La dinámica de la cuenta establece que se acredita con: “1- El valor de la provisión constituida para cubrir el riesgo de incobrabilidad</w:t>
      </w:r>
      <w:r>
        <w:rPr>
          <w:rFonts w:ascii="Arial" w:hAnsi="Arial" w:cs="Lucidasans"/>
          <w:i/>
          <w:iCs/>
          <w:sz w:val="20"/>
          <w:szCs w:val="20"/>
          <w:lang/>
        </w:rPr>
        <w:t>”. La cuenta 5304-PROVISIÓN</w:t>
      </w:r>
      <w:r>
        <w:rPr>
          <w:rFonts w:ascii="Arial" w:hAnsi="Arial" w:cs="Lucidasans"/>
          <w:i/>
          <w:iCs/>
          <w:sz w:val="20"/>
          <w:szCs w:val="20"/>
          <w:lang/>
        </w:rPr>
        <w:t xml:space="preserve"> PARA DEUDORES, lo describe como: “el valor de las estimaciones que debe efectuar la entidad contable pública para cubrir contingencias de pérdida como resultado del riesgo de incobrabilidad de los deudores. La contrapartida corresponde a las subcuentas qu</w:t>
      </w:r>
      <w:r>
        <w:rPr>
          <w:rFonts w:ascii="Arial" w:hAnsi="Arial" w:cs="Lucidasans"/>
          <w:i/>
          <w:iCs/>
          <w:sz w:val="20"/>
          <w:szCs w:val="20"/>
          <w:lang/>
        </w:rPr>
        <w:t>e integran la cuenta 1480-Provisión para Deudores (Cr)”.</w:t>
      </w:r>
    </w:p>
    <w:p w:rsidR="00000000" w:rsidRDefault="007848D3">
      <w:pPr>
        <w:jc w:val="both"/>
        <w:rPr>
          <w:rFonts w:ascii="Arial" w:hAnsi="Arial" w:cs="Lucidasans"/>
          <w:sz w:val="20"/>
          <w:szCs w:val="20"/>
          <w:lang/>
        </w:rPr>
      </w:pPr>
    </w:p>
    <w:p w:rsidR="00000000" w:rsidRDefault="007848D3">
      <w:pPr>
        <w:jc w:val="both"/>
        <w:rPr>
          <w:rFonts w:ascii="Arial" w:hAnsi="Arial" w:cs="Lucidasans"/>
          <w:i/>
          <w:iCs/>
          <w:sz w:val="20"/>
          <w:szCs w:val="20"/>
          <w:lang/>
        </w:rPr>
      </w:pPr>
      <w:r>
        <w:rPr>
          <w:rFonts w:ascii="Arial" w:hAnsi="Arial" w:cs="Lucidasans"/>
          <w:sz w:val="20"/>
          <w:szCs w:val="20"/>
          <w:lang/>
        </w:rPr>
        <w:t xml:space="preserve">La dinámica de la cuenta establece que se debita con: </w:t>
      </w:r>
      <w:r>
        <w:rPr>
          <w:rFonts w:ascii="Arial" w:hAnsi="Arial" w:cs="Lucidasans"/>
          <w:i/>
          <w:iCs/>
          <w:sz w:val="20"/>
          <w:szCs w:val="20"/>
          <w:lang/>
        </w:rPr>
        <w:t>“1- El valor de las provisiones causadas durante el período contable. Y se acredita con: “1- El valor de la disminución de las provisiones const</w:t>
      </w:r>
      <w:r>
        <w:rPr>
          <w:rFonts w:ascii="Arial" w:hAnsi="Arial" w:cs="Lucidasans"/>
          <w:i/>
          <w:iCs/>
          <w:sz w:val="20"/>
          <w:szCs w:val="20"/>
          <w:lang/>
        </w:rPr>
        <w:t>ituidas en el período, al desaparecer el evento que las originó”.</w:t>
      </w:r>
    </w:p>
    <w:p w:rsidR="00000000" w:rsidRDefault="007848D3">
      <w:pPr>
        <w:jc w:val="both"/>
        <w:rPr>
          <w:rFonts w:ascii="Arial" w:hAnsi="Arial" w:cs="Lucidasans"/>
          <w:sz w:val="20"/>
          <w:szCs w:val="20"/>
          <w:lang/>
        </w:rPr>
      </w:pPr>
    </w:p>
    <w:p w:rsidR="00000000" w:rsidRDefault="007848D3">
      <w:pPr>
        <w:jc w:val="both"/>
        <w:rPr>
          <w:rFonts w:ascii="Arial" w:hAnsi="Arial" w:cs="Lucidasans"/>
          <w:b/>
          <w:bCs/>
          <w:sz w:val="20"/>
          <w:szCs w:val="20"/>
          <w:lang/>
        </w:rPr>
      </w:pPr>
      <w:r>
        <w:rPr>
          <w:rFonts w:ascii="Arial" w:hAnsi="Arial" w:cs="Lucidasans"/>
          <w:b/>
          <w:bCs/>
          <w:sz w:val="20"/>
          <w:szCs w:val="20"/>
          <w:lang/>
        </w:rPr>
        <w:t>CONCLUSIÓN</w:t>
      </w:r>
    </w:p>
    <w:p w:rsidR="00000000" w:rsidRDefault="007848D3">
      <w:pPr>
        <w:jc w:val="both"/>
        <w:rPr>
          <w:rFonts w:ascii="Arial" w:hAnsi="Arial" w:cs="Lucidasans"/>
          <w:b/>
          <w:bC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 xml:space="preserve">De conformidad con lo expuesto en las consideraciones, se concluye que La Administración Cooperativa de </w:t>
      </w:r>
      <w:r>
        <w:rPr>
          <w:rFonts w:ascii="Arial" w:hAnsi="Arial" w:cs="Lucidasans"/>
          <w:sz w:val="20"/>
          <w:szCs w:val="20"/>
          <w:lang/>
        </w:rPr>
        <w:lastRenderedPageBreak/>
        <w:t>Entidades de Salud de Caldas y Quindío, COODESCA, se encuentra dentro del</w:t>
      </w:r>
      <w:r>
        <w:rPr>
          <w:rFonts w:ascii="Arial" w:hAnsi="Arial" w:cs="Lucidasans"/>
          <w:sz w:val="20"/>
          <w:szCs w:val="20"/>
          <w:lang/>
        </w:rPr>
        <w:t xml:space="preserve"> ámbito de aplicación del Régimen de Contabilidad Pública, y por lo tanto debe aplicarlo íntegramente. La norma contable es taxativa al expresar que los derechos que presentan riesgos de</w:t>
      </w:r>
    </w:p>
    <w:p w:rsidR="00000000" w:rsidRDefault="007848D3">
      <w:pPr>
        <w:jc w:val="both"/>
        <w:rPr>
          <w:rFonts w:ascii="Arial" w:hAnsi="Arial" w:cs="Lucidasans"/>
          <w:sz w:val="20"/>
          <w:szCs w:val="20"/>
          <w:lang/>
        </w:rPr>
      </w:pPr>
      <w:r>
        <w:rPr>
          <w:rFonts w:ascii="Arial" w:hAnsi="Arial" w:cs="Lucidasans"/>
          <w:sz w:val="20"/>
          <w:szCs w:val="20"/>
          <w:lang/>
        </w:rPr>
        <w:t>incobrabilidad de acuerdo con la insolvencia del deudor, su antigüeda</w:t>
      </w:r>
      <w:r>
        <w:rPr>
          <w:rFonts w:ascii="Arial" w:hAnsi="Arial" w:cs="Lucidasans"/>
          <w:sz w:val="20"/>
          <w:szCs w:val="20"/>
          <w:lang/>
        </w:rPr>
        <w:t xml:space="preserve">d y morosidad, deben reclasificarse de la cuenta deudora principal a la cuenta 1475–DEUDAS DE DIFICIL COBRO. </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Así mismo, se debe provisionar el valor de los derechos que se estimen incobrables y ajustarse permanentemente de acuerdo con su evolución, por l</w:t>
      </w:r>
      <w:r>
        <w:rPr>
          <w:rFonts w:ascii="Arial" w:hAnsi="Arial" w:cs="Lucidasans"/>
          <w:sz w:val="20"/>
          <w:szCs w:val="20"/>
          <w:lang/>
        </w:rPr>
        <w:t>o cual, es la entidad la que define las políticas de cobro de deudores, el método que mejor le permita establecer la razonabilidad de los saldos por dicho concepto y la que determina el valor a provisionar, teniendo en cuenta que la provisión sobre deudore</w:t>
      </w:r>
      <w:r>
        <w:rPr>
          <w:rFonts w:ascii="Arial" w:hAnsi="Arial" w:cs="Lucidasans"/>
          <w:sz w:val="20"/>
          <w:szCs w:val="20"/>
          <w:lang/>
        </w:rPr>
        <w:t>s se debe efectuar al menos una vez al año. Para el efecto, se debita la subcuenta que corresponda, de la cuenta 5304-PROVISION PARA DEUDORES, y se acredita la subcuenta respectiva de la cuenta 1480-PROVISION PARA DEUDORES (CR).</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Ahora bien, si como result</w:t>
      </w:r>
      <w:r>
        <w:rPr>
          <w:rFonts w:ascii="Arial" w:hAnsi="Arial" w:cs="Lucidasans"/>
          <w:sz w:val="20"/>
          <w:szCs w:val="20"/>
          <w:lang/>
        </w:rPr>
        <w:t>ado de las políticas de cartera de la entidad, una cuenta se considera incobrable por la insolvencia del deudor o por cualquier otro factor, en atención al principio de prudencia, la entidad puede provisionar el deudor que se encuentre reconocido en cualqu</w:t>
      </w:r>
      <w:r>
        <w:rPr>
          <w:rFonts w:ascii="Arial" w:hAnsi="Arial" w:cs="Lucidasans"/>
          <w:sz w:val="20"/>
          <w:szCs w:val="20"/>
          <w:lang/>
        </w:rPr>
        <w:t>iera de las cuentas de deudores objeto de provisión, sin que haya necesidad de reclasificar los saldos de la cuenta principal a la Cuenta 1475-DEUDAS DE DIFÍCIL COBRO, reconociéndose directamente la provisión afectando con un débito la subcuenta que identi</w:t>
      </w:r>
      <w:r>
        <w:rPr>
          <w:rFonts w:ascii="Arial" w:hAnsi="Arial" w:cs="Lucidasans"/>
          <w:sz w:val="20"/>
          <w:szCs w:val="20"/>
          <w:lang/>
        </w:rPr>
        <w:t>fica la naturaleza del derecho de la cuenta 5304- PROVISIÓN PARA DEUDORES, y un crédito en la subcuenta según corresponda, de la cuenta 1480-PROVISION PARA DEUDORES (CR).</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En este orden de ideas, es pertinente precisar que el valor de la provisión revelada</w:t>
      </w:r>
      <w:r>
        <w:rPr>
          <w:rFonts w:ascii="Arial" w:hAnsi="Arial" w:cs="Lucidasans"/>
          <w:sz w:val="20"/>
          <w:szCs w:val="20"/>
          <w:lang/>
        </w:rPr>
        <w:t xml:space="preserve"> en la cuenta 1480-PROVISION PARA DEUDORES, no siempre corresponde únicamente a la cartera registrada en la cuenta 1475-DEUDAS DE DIFICIL RECAUDO. El castigo de la cartera autorizada por la administración se registra debitando la subcuenta que corresponda </w:t>
      </w:r>
      <w:r>
        <w:rPr>
          <w:rFonts w:ascii="Arial" w:hAnsi="Arial" w:cs="Lucidasans"/>
          <w:sz w:val="20"/>
          <w:szCs w:val="20"/>
          <w:lang/>
        </w:rPr>
        <w:t>de la cuenta 1480-PROVISION PARA DEUDORES (CR) y acreditando la subcuenta respectiva, de la cuenta 1475-DEUDAS DE DIFICIL RECAUDO, y la diferencia que se presente entre el valor del deudor y la provisión debe reconocerse en la subcuenta 580802-Pérdida en r</w:t>
      </w:r>
      <w:r>
        <w:rPr>
          <w:rFonts w:ascii="Arial" w:hAnsi="Arial" w:cs="Lucidasans"/>
          <w:sz w:val="20"/>
          <w:szCs w:val="20"/>
          <w:lang/>
        </w:rPr>
        <w:t>etiro de activos, de la cuenta 5808- OTROS GASTOS ORDINARIOS.</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Para clasificar los activos en partida corriente, deberá tenerse en cuenta que los mismos razonablemente pueden ser convertidos en efectivo o ser realizables en un período inferior a un año. Po</w:t>
      </w:r>
      <w:r>
        <w:rPr>
          <w:rFonts w:ascii="Arial" w:hAnsi="Arial" w:cs="Lucidasans"/>
          <w:sz w:val="20"/>
          <w:szCs w:val="20"/>
          <w:lang/>
        </w:rPr>
        <w:t>r lo tanto, el hecho de reclasificar un derecho a la cuenta Deudas de Difícil Recaudo, no implica que haya renunciado al cobro del derecho, al contrario, se hace aún más convertibles, en la medida que existe la posibilidad de implementar y ejecutar los mec</w:t>
      </w:r>
      <w:r>
        <w:rPr>
          <w:rFonts w:ascii="Arial" w:hAnsi="Arial" w:cs="Lucidasans"/>
          <w:sz w:val="20"/>
          <w:szCs w:val="20"/>
          <w:lang/>
        </w:rPr>
        <w:t>anismos de cobro jurídicos establecidos para exigir el recaudo de la cartera, razón por la que se considera consistente que los derechos registrados como deudas de difícil recaudo se clasifiquen en partidas corrientes.</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Finalmente, en relación con la respu</w:t>
      </w:r>
      <w:r>
        <w:rPr>
          <w:rFonts w:ascii="Arial" w:hAnsi="Arial" w:cs="Lucidasans"/>
          <w:sz w:val="20"/>
          <w:szCs w:val="20"/>
          <w:lang/>
        </w:rPr>
        <w:t>esta de la Contaduría General de la Nación, a las consultas que le presentan los usuarios, la Corte Constitucional expresó a través de la sentencia C-487 de 1997 que “Las decisiones que en materia contable adopte la Contaduría de conformidad con la ley, so</w:t>
      </w:r>
      <w:r>
        <w:rPr>
          <w:rFonts w:ascii="Arial" w:hAnsi="Arial" w:cs="Lucidasans"/>
          <w:sz w:val="20"/>
          <w:szCs w:val="20"/>
          <w:lang/>
        </w:rPr>
        <w:t>n obligatorias para las entidades del Estado, y lo son porque ellas hacen parte de un complejo proceso en el que el ejercicio individual de cada una de ellas irradia en el ejercicio general, afectando de manera sustancial los “productos finales”, entre ell</w:t>
      </w:r>
      <w:r>
        <w:rPr>
          <w:rFonts w:ascii="Arial" w:hAnsi="Arial" w:cs="Lucidasans"/>
          <w:sz w:val="20"/>
          <w:szCs w:val="20"/>
          <w:lang/>
        </w:rPr>
        <w:t>os el balance general, los cuales son definitivos para el manejo de las finanzas del Estado (…). Es decir, que por mandato directo del Constituyente le corresponde al Contador General de la Nación, máxima autoridad contable de la administración, determinar</w:t>
      </w:r>
      <w:r>
        <w:rPr>
          <w:rFonts w:ascii="Arial" w:hAnsi="Arial" w:cs="Lucidasans"/>
          <w:sz w:val="20"/>
          <w:szCs w:val="20"/>
          <w:lang/>
        </w:rPr>
        <w:t xml:space="preserve"> las normas contables que deben regir en el país, lo que se traduce en diseñar y expedir directrices y procedimientos dotados de  fuerza vinculante, que como tales deberán ser acogidos por las entidades públicas, los cuales servirán de base para el sistema</w:t>
      </w:r>
      <w:r>
        <w:rPr>
          <w:rFonts w:ascii="Arial" w:hAnsi="Arial" w:cs="Lucidasans"/>
          <w:sz w:val="20"/>
          <w:szCs w:val="20"/>
          <w:lang/>
        </w:rPr>
        <w:t xml:space="preserve"> contable de cada entidad (…)” (subrayado fuera de texto).</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Cordialmente,</w:t>
      </w:r>
    </w:p>
    <w:p w:rsidR="00000000" w:rsidRDefault="007848D3">
      <w:pPr>
        <w:jc w:val="both"/>
        <w:rPr>
          <w:rFonts w:ascii="Arial" w:hAnsi="Arial" w:cs="Lucidasans"/>
          <w:sz w:val="20"/>
          <w:szCs w:val="20"/>
          <w:lang/>
        </w:rPr>
      </w:pPr>
    </w:p>
    <w:p w:rsidR="00000000" w:rsidRDefault="007848D3">
      <w:pPr>
        <w:jc w:val="both"/>
        <w:rPr>
          <w:rFonts w:ascii="Arial" w:hAnsi="Arial" w:cs="Lucidasans"/>
          <w:sz w:val="20"/>
          <w:szCs w:val="20"/>
          <w:lang/>
        </w:rPr>
      </w:pPr>
      <w:r>
        <w:rPr>
          <w:rFonts w:ascii="Arial" w:hAnsi="Arial" w:cs="Lucidasans"/>
          <w:sz w:val="20"/>
          <w:szCs w:val="20"/>
          <w:lang/>
        </w:rPr>
        <w:t>Subcontadora General y de Investigación</w:t>
      </w:r>
    </w:p>
    <w:p w:rsidR="007848D3" w:rsidRDefault="007848D3">
      <w:pPr>
        <w:jc w:val="both"/>
        <w:rPr>
          <w:rFonts w:ascii="Arial" w:hAnsi="Arial" w:cs="Lucidasans"/>
          <w:sz w:val="20"/>
          <w:szCs w:val="20"/>
          <w:lang/>
        </w:rPr>
      </w:pPr>
    </w:p>
    <w:sectPr w:rsidR="007848D3">
      <w:footnotePr>
        <w:pos w:val="beneathText"/>
      </w:footnotePr>
      <w:pgSz w:w="11905" w:h="16837"/>
      <w:pgMar w:top="1134" w:right="1134" w:bottom="1134" w:left="1134" w:header="1134" w:footer="1134"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F1"/>
    <w:rsid w:val="00087DF1"/>
    <w:rsid w:val="00256623"/>
    <w:rsid w:val="007848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2065</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2113-01-01T05:00:00Z</cp:lastPrinted>
  <dcterms:created xsi:type="dcterms:W3CDTF">2011-09-11T14:41:00Z</dcterms:created>
  <dcterms:modified xsi:type="dcterms:W3CDTF">2011-09-11T14:41:00Z</dcterms:modified>
</cp:coreProperties>
</file>