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00E66">
      <w:pPr>
        <w:pStyle w:val="BodyText"/>
        <w:jc w:val="center"/>
        <w:rPr>
          <w:rFonts w:ascii="Arial" w:hAnsi="Arial" w:cs="Lucidasans"/>
          <w:sz w:val="20"/>
          <w:szCs w:val="20"/>
          <w:lang/>
        </w:rPr>
      </w:pPr>
      <w:bookmarkStart w:id="0" w:name="_GoBack"/>
      <w:bookmarkEnd w:id="0"/>
    </w:p>
    <w:p w:rsidR="00000000" w:rsidRDefault="00700E66">
      <w:pPr>
        <w:pStyle w:val="BodyText"/>
        <w:jc w:val="center"/>
        <w:rPr>
          <w:rStyle w:val="Strong"/>
          <w:rFonts w:ascii="Arial" w:hAnsi="Arial" w:cs="Lucidasans"/>
          <w:color w:val="000080"/>
          <w:sz w:val="20"/>
          <w:szCs w:val="20"/>
          <w:lang/>
        </w:rPr>
      </w:pPr>
      <w:r>
        <w:rPr>
          <w:rStyle w:val="Strong"/>
          <w:rFonts w:ascii="Arial" w:hAnsi="Arial" w:cs="Lucidasans"/>
          <w:color w:val="000080"/>
          <w:sz w:val="20"/>
          <w:szCs w:val="20"/>
          <w:lang/>
        </w:rPr>
        <w:t>SUPERINTENDENCIA DE SERVICIOS PÚBLICOS DOMICILIARIOS</w:t>
      </w:r>
    </w:p>
    <w:p w:rsidR="00000000" w:rsidRDefault="00700E66">
      <w:pPr>
        <w:pStyle w:val="BodyText"/>
        <w:jc w:val="center"/>
        <w:rPr>
          <w:rStyle w:val="Strong"/>
          <w:rFonts w:ascii="Arial" w:hAnsi="Arial" w:cs="Lucidasans"/>
          <w:color w:val="000000"/>
          <w:sz w:val="20"/>
          <w:szCs w:val="20"/>
          <w:lang/>
        </w:rPr>
      </w:pPr>
      <w:r>
        <w:rPr>
          <w:rStyle w:val="Strong"/>
          <w:rFonts w:ascii="Arial" w:hAnsi="Arial" w:cs="Lucidasans"/>
          <w:color w:val="000000"/>
          <w:sz w:val="20"/>
          <w:szCs w:val="20"/>
          <w:lang/>
        </w:rPr>
        <w:t>CONCEPTO JURÍDICO No.</w:t>
      </w:r>
      <w:r>
        <w:rPr>
          <w:rStyle w:val="Strong"/>
          <w:rFonts w:ascii="Arial" w:hAnsi="Arial" w:cs="Lucidasans"/>
          <w:color w:val="000000"/>
          <w:sz w:val="20"/>
          <w:szCs w:val="20"/>
          <w:lang/>
        </w:rPr>
        <w:t xml:space="preserve"> 527 </w:t>
      </w:r>
      <w:r>
        <w:rPr>
          <w:rStyle w:val="Strong"/>
          <w:rFonts w:ascii="Arial" w:hAnsi="Arial" w:cs="Lucidasans"/>
          <w:color w:val="000000"/>
          <w:sz w:val="20"/>
          <w:szCs w:val="20"/>
          <w:lang/>
        </w:rPr>
        <w:t xml:space="preserve">DE 2011 </w:t>
      </w:r>
    </w:p>
    <w:p w:rsidR="00000000" w:rsidRDefault="00700E66">
      <w:pPr>
        <w:pStyle w:val="BodyText"/>
        <w:spacing w:line="244" w:lineRule="atLeast"/>
        <w:jc w:val="center"/>
        <w:rPr>
          <w:rFonts w:ascii="Arial" w:hAnsi="Arial" w:cs="Lucidasans"/>
          <w:color w:val="800000"/>
          <w:sz w:val="20"/>
          <w:szCs w:val="20"/>
          <w:lang/>
        </w:rPr>
      </w:pPr>
      <w:r>
        <w:rPr>
          <w:rFonts w:ascii="Arial" w:hAnsi="Arial" w:cs="Lucidasans"/>
          <w:color w:val="800000"/>
          <w:sz w:val="20"/>
          <w:szCs w:val="20"/>
          <w:lang/>
        </w:rPr>
        <w:t>(septiembre 09)</w:t>
      </w:r>
    </w:p>
    <w:p w:rsidR="00000000" w:rsidRDefault="00700E66">
      <w:pPr>
        <w:pStyle w:val="BodyText"/>
        <w:spacing w:line="244" w:lineRule="atLeast"/>
        <w:jc w:val="center"/>
        <w:rPr>
          <w:rFonts w:ascii="Arial" w:hAnsi="Arial" w:cs="Lucidasans"/>
          <w:sz w:val="20"/>
          <w:szCs w:val="20"/>
          <w:lang/>
        </w:rPr>
      </w:pPr>
    </w:p>
    <w:p w:rsidR="00000000" w:rsidRDefault="00700E66">
      <w:pPr>
        <w:pStyle w:val="BodyText"/>
        <w:spacing w:after="0" w:line="198" w:lineRule="atLeast"/>
        <w:rPr>
          <w:rFonts w:ascii="Arial" w:hAnsi="Arial" w:cs="Lucidasans"/>
          <w:sz w:val="20"/>
          <w:szCs w:val="20"/>
          <w:lang/>
        </w:rPr>
      </w:pPr>
      <w:r>
        <w:rPr>
          <w:rFonts w:ascii="Arial" w:hAnsi="Arial" w:cs="Lucidasans"/>
          <w:sz w:val="20"/>
          <w:szCs w:val="20"/>
          <w:lang/>
        </w:rPr>
        <w:t> </w:t>
      </w:r>
    </w:p>
    <w:p w:rsidR="00000000" w:rsidRDefault="00700E66">
      <w:pPr>
        <w:pStyle w:val="BodyText"/>
        <w:spacing w:after="0" w:line="198" w:lineRule="atLeast"/>
        <w:rPr>
          <w:rFonts w:ascii="Arial" w:hAnsi="Arial" w:cs="Lucidasans"/>
          <w:color w:val="000000"/>
          <w:position w:val="8"/>
          <w:sz w:val="20"/>
          <w:szCs w:val="20"/>
          <w:lang/>
        </w:rPr>
      </w:pPr>
      <w:r>
        <w:rPr>
          <w:rStyle w:val="Strong"/>
          <w:rFonts w:ascii="Arial" w:hAnsi="Arial" w:cs="Lucidasans"/>
          <w:color w:val="000000"/>
          <w:sz w:val="20"/>
          <w:szCs w:val="20"/>
          <w:lang/>
        </w:rPr>
        <w:t>Ref. Su solicitud de concepto</w:t>
      </w:r>
      <w:r>
        <w:rPr>
          <w:rFonts w:ascii="Arial" w:hAnsi="Arial" w:cs="Lucidasans"/>
          <w:color w:val="000000"/>
          <w:position w:val="8"/>
          <w:sz w:val="20"/>
          <w:szCs w:val="20"/>
          <w:lang/>
        </w:rPr>
        <w:t>1</w:t>
      </w:r>
    </w:p>
    <w:p w:rsidR="00000000" w:rsidRDefault="00700E66">
      <w:pPr>
        <w:pStyle w:val="BodyText"/>
        <w:spacing w:after="0" w:line="198" w:lineRule="atLeast"/>
        <w:jc w:val="both"/>
        <w:rPr>
          <w:rFonts w:ascii="Arial" w:hAnsi="Arial" w:cs="Lucidasans"/>
          <w:color w:val="000000"/>
          <w:sz w:val="20"/>
          <w:szCs w:val="20"/>
          <w:lang/>
        </w:rPr>
      </w:pPr>
    </w:p>
    <w:p w:rsidR="00000000" w:rsidRDefault="00700E66">
      <w:pPr>
        <w:pStyle w:val="BodyText"/>
        <w:spacing w:after="0" w:line="198" w:lineRule="atLeast"/>
        <w:jc w:val="both"/>
        <w:rPr>
          <w:rStyle w:val="Emphasis"/>
          <w:rFonts w:ascii="Arial" w:hAnsi="Arial" w:cs="Lucidasans"/>
          <w:color w:val="000000"/>
          <w:sz w:val="20"/>
          <w:szCs w:val="20"/>
          <w:lang/>
        </w:rPr>
      </w:pPr>
      <w:r>
        <w:rPr>
          <w:rStyle w:val="Emphasis"/>
          <w:rFonts w:ascii="Arial" w:hAnsi="Arial" w:cs="Lucidasans"/>
          <w:color w:val="000000"/>
          <w:sz w:val="20"/>
          <w:szCs w:val="20"/>
          <w:lang/>
        </w:rPr>
        <w:t>La consulta se basa en el proceso de actualización estatutaria que lleva a cabo una asociación de usuarios que prest</w:t>
      </w:r>
      <w:r>
        <w:rPr>
          <w:rStyle w:val="Emphasis"/>
          <w:rFonts w:ascii="Arial" w:hAnsi="Arial" w:cs="Lucidasans"/>
          <w:color w:val="000000"/>
          <w:sz w:val="20"/>
          <w:szCs w:val="20"/>
          <w:lang/>
        </w:rPr>
        <w:t xml:space="preserve">a el servicio público de acueducto y alcantarillado y solicita a esta Oficina Asesora Jurídica aclarar las siguientes inquietudes: </w:t>
      </w:r>
    </w:p>
    <w:p w:rsidR="00000000" w:rsidRDefault="00700E66">
      <w:pPr>
        <w:pStyle w:val="BodyText"/>
        <w:numPr>
          <w:ilvl w:val="0"/>
          <w:numId w:val="1"/>
        </w:numPr>
        <w:tabs>
          <w:tab w:val="left" w:pos="707"/>
        </w:tabs>
        <w:spacing w:after="0" w:line="198" w:lineRule="atLeast"/>
        <w:jc w:val="both"/>
        <w:rPr>
          <w:rStyle w:val="Emphasis"/>
          <w:rFonts w:ascii="Arial" w:hAnsi="Arial" w:cs="Lucidasans"/>
          <w:color w:val="000000"/>
          <w:sz w:val="20"/>
          <w:szCs w:val="20"/>
          <w:lang/>
        </w:rPr>
      </w:pPr>
      <w:r>
        <w:rPr>
          <w:rStyle w:val="Emphasis"/>
          <w:rFonts w:ascii="Arial" w:hAnsi="Arial" w:cs="Lucidasans"/>
          <w:color w:val="000000"/>
          <w:sz w:val="20"/>
          <w:szCs w:val="20"/>
          <w:lang/>
        </w:rPr>
        <w:t>(…) “ Un modelo de estatutos es simplemente eso, o deben ajustarse no a un modelo sino a una regla específica estructural de</w:t>
      </w:r>
      <w:r>
        <w:rPr>
          <w:rStyle w:val="Emphasis"/>
          <w:rFonts w:ascii="Arial" w:hAnsi="Arial" w:cs="Lucidasans"/>
          <w:color w:val="000000"/>
          <w:sz w:val="20"/>
          <w:szCs w:val="20"/>
          <w:lang/>
        </w:rPr>
        <w:t xml:space="preserve"> estatuto?</w:t>
      </w:r>
    </w:p>
    <w:p w:rsidR="00000000" w:rsidRDefault="00700E66">
      <w:pPr>
        <w:pStyle w:val="BodyText"/>
        <w:numPr>
          <w:ilvl w:val="0"/>
          <w:numId w:val="1"/>
        </w:numPr>
        <w:tabs>
          <w:tab w:val="left" w:pos="707"/>
        </w:tabs>
        <w:spacing w:after="0" w:line="198" w:lineRule="atLeast"/>
        <w:jc w:val="both"/>
        <w:rPr>
          <w:rStyle w:val="Emphasis"/>
          <w:rFonts w:ascii="Arial" w:hAnsi="Arial" w:cs="Lucidasans"/>
          <w:color w:val="000000"/>
          <w:sz w:val="20"/>
          <w:szCs w:val="20"/>
          <w:lang/>
        </w:rPr>
      </w:pPr>
      <w:r>
        <w:rPr>
          <w:rStyle w:val="Emphasis"/>
          <w:rFonts w:ascii="Arial" w:hAnsi="Arial" w:cs="Lucidasans"/>
          <w:color w:val="000000"/>
          <w:sz w:val="20"/>
          <w:szCs w:val="20"/>
          <w:lang/>
        </w:rPr>
        <w:t xml:space="preserve">Si esto es correcto, entonces la organización asociativa comunitaria puede escoger una estructura organizativa tipo ONG o COOPERATIVA, y en todo caso por su derecho de autonomía constitucional puede darse un cuerpo estatutario moderno(…) </w:t>
      </w:r>
    </w:p>
    <w:p w:rsidR="00000000" w:rsidRDefault="00700E66">
      <w:pPr>
        <w:pStyle w:val="BodyText"/>
        <w:numPr>
          <w:ilvl w:val="0"/>
          <w:numId w:val="1"/>
        </w:numPr>
        <w:tabs>
          <w:tab w:val="left" w:pos="707"/>
        </w:tabs>
        <w:spacing w:after="0" w:line="198" w:lineRule="atLeast"/>
        <w:jc w:val="both"/>
        <w:rPr>
          <w:rStyle w:val="Emphasis"/>
          <w:rFonts w:ascii="Arial" w:hAnsi="Arial" w:cs="Lucidasans"/>
          <w:color w:val="000000"/>
          <w:sz w:val="20"/>
          <w:szCs w:val="20"/>
          <w:lang/>
        </w:rPr>
      </w:pPr>
      <w:r>
        <w:rPr>
          <w:rStyle w:val="Emphasis"/>
          <w:rFonts w:ascii="Arial" w:hAnsi="Arial" w:cs="Lucidasans"/>
          <w:color w:val="000000"/>
          <w:sz w:val="20"/>
          <w:szCs w:val="20"/>
          <w:lang/>
        </w:rPr>
        <w:t>Dentro</w:t>
      </w:r>
      <w:r>
        <w:rPr>
          <w:rStyle w:val="Emphasis"/>
          <w:rFonts w:ascii="Arial" w:hAnsi="Arial" w:cs="Lucidasans"/>
          <w:color w:val="000000"/>
          <w:sz w:val="20"/>
          <w:szCs w:val="20"/>
          <w:lang/>
        </w:rPr>
        <w:t xml:space="preserve"> de esa estructura de poder y control (…) no necesita de acuerdo a la ley vigente nombrar un revisor fiscal, contador público titulado que es un gasto innecesario si la organización tiene dentro de su estructura administrativa un contador también titulado,</w:t>
      </w:r>
      <w:r>
        <w:rPr>
          <w:rStyle w:val="Emphasis"/>
          <w:rFonts w:ascii="Arial" w:hAnsi="Arial" w:cs="Lucidasans"/>
          <w:color w:val="000000"/>
          <w:sz w:val="20"/>
          <w:szCs w:val="20"/>
          <w:lang/>
        </w:rPr>
        <w:t xml:space="preserve"> quien responde y certifica las cuentas de los estados financieros.”</w:t>
      </w:r>
    </w:p>
    <w:p w:rsidR="00000000" w:rsidRDefault="00700E66">
      <w:pPr>
        <w:pStyle w:val="BodyText"/>
        <w:spacing w:after="0" w:line="198" w:lineRule="atLeast"/>
        <w:jc w:val="both"/>
        <w:rPr>
          <w:rFonts w:ascii="Arial" w:hAnsi="Arial" w:cs="Lucidasans"/>
          <w:color w:val="000000"/>
          <w:sz w:val="20"/>
          <w:szCs w:val="20"/>
          <w:lang/>
        </w:rPr>
      </w:pPr>
      <w:r>
        <w:rPr>
          <w:rFonts w:ascii="Arial" w:hAnsi="Arial" w:cs="Lucidasans"/>
          <w:color w:val="000000"/>
          <w:sz w:val="20"/>
          <w:szCs w:val="20"/>
          <w:lang/>
        </w:rPr>
        <w:t xml:space="preserve">Vale la pena aclarar, previa resolución a la consulta; que el presente documento tiene como fundamento el Artículo </w:t>
      </w:r>
      <w:r>
        <w:rPr>
          <w:rFonts w:ascii="Arial" w:hAnsi="Arial" w:cs="Lucidasans"/>
          <w:sz w:val="20"/>
          <w:szCs w:val="20"/>
          <w:lang/>
        </w:rPr>
        <w:t>25</w:t>
      </w:r>
      <w:r>
        <w:rPr>
          <w:rStyle w:val="Emphasis"/>
          <w:rFonts w:ascii="Arial" w:hAnsi="Arial" w:cs="Lucidasans"/>
          <w:color w:val="000000"/>
          <w:position w:val="8"/>
          <w:sz w:val="20"/>
          <w:szCs w:val="20"/>
          <w:lang/>
        </w:rPr>
        <w:t>2</w:t>
      </w:r>
      <w:r>
        <w:rPr>
          <w:rFonts w:ascii="Arial" w:hAnsi="Arial" w:cs="Lucidasans"/>
          <w:color w:val="000000"/>
          <w:sz w:val="20"/>
          <w:szCs w:val="20"/>
          <w:lang/>
        </w:rPr>
        <w:t xml:space="preserve"> </w:t>
      </w:r>
      <w:r>
        <w:rPr>
          <w:rFonts w:ascii="Arial" w:hAnsi="Arial" w:cs="Lucidasans"/>
          <w:color w:val="000000"/>
          <w:sz w:val="20"/>
          <w:szCs w:val="20"/>
          <w:lang/>
        </w:rPr>
        <w:t>del Código Contencioso Administrativo, es decir, que la respuesta al</w:t>
      </w:r>
      <w:r>
        <w:rPr>
          <w:rFonts w:ascii="Arial" w:hAnsi="Arial" w:cs="Lucidasans"/>
          <w:color w:val="000000"/>
          <w:sz w:val="20"/>
          <w:szCs w:val="20"/>
          <w:lang/>
        </w:rPr>
        <w:t xml:space="preserve"> derecho de petición formulado en la modalidad de consulta, como en el presente caso, es general y abstracta, que en ningún caso compromete la responsabilidad de la Oficina Asesora Jurídica de la Superintendencia de Servicios Públicos Domiciliarios, ya que</w:t>
      </w:r>
      <w:r>
        <w:rPr>
          <w:rFonts w:ascii="Arial" w:hAnsi="Arial" w:cs="Lucidasans"/>
          <w:color w:val="000000"/>
          <w:sz w:val="20"/>
          <w:szCs w:val="20"/>
          <w:lang/>
        </w:rPr>
        <w:t xml:space="preserve"> no es vinculante y no hace referencia a un caso particular y concreto.</w:t>
      </w:r>
    </w:p>
    <w:p w:rsidR="00000000" w:rsidRDefault="00700E66">
      <w:pPr>
        <w:pStyle w:val="BodyText"/>
        <w:spacing w:after="0" w:line="198" w:lineRule="atLeast"/>
        <w:jc w:val="both"/>
        <w:rPr>
          <w:rFonts w:ascii="Arial" w:hAnsi="Arial" w:cs="Lucidasans"/>
          <w:color w:val="000000"/>
          <w:sz w:val="20"/>
          <w:szCs w:val="20"/>
          <w:lang/>
        </w:rPr>
      </w:pPr>
      <w:r>
        <w:rPr>
          <w:rFonts w:ascii="Arial" w:hAnsi="Arial" w:cs="Lucidasans"/>
          <w:color w:val="000000"/>
          <w:sz w:val="20"/>
          <w:szCs w:val="20"/>
          <w:lang/>
        </w:rPr>
        <w:t xml:space="preserve">Adicionalmente, una vez analizadas las funciones a cargo de esta entidad, previstas en el artículo </w:t>
      </w:r>
      <w:r>
        <w:rPr>
          <w:rFonts w:ascii="Arial" w:hAnsi="Arial" w:cs="Lucidasans"/>
          <w:sz w:val="20"/>
          <w:szCs w:val="20"/>
          <w:lang/>
        </w:rPr>
        <w:t xml:space="preserve">79 </w:t>
      </w:r>
      <w:r>
        <w:rPr>
          <w:rFonts w:ascii="Arial" w:hAnsi="Arial" w:cs="Lucidasans"/>
          <w:color w:val="000000"/>
          <w:sz w:val="20"/>
          <w:szCs w:val="20"/>
          <w:lang/>
        </w:rPr>
        <w:t xml:space="preserve">de la </w:t>
      </w:r>
      <w:hyperlink r:id="rId6" w:history="1">
        <w:r>
          <w:rPr>
            <w:rStyle w:val="Hyperlink"/>
            <w:rFonts w:ascii="Arial" w:hAnsi="Arial"/>
            <w:lang/>
          </w:rPr>
          <w:t>Ley 142 de 1994</w:t>
        </w:r>
      </w:hyperlink>
      <w:r>
        <w:rPr>
          <w:rFonts w:ascii="Arial" w:hAnsi="Arial" w:cs="Lucidasans"/>
          <w:color w:val="000000"/>
          <w:sz w:val="20"/>
          <w:szCs w:val="20"/>
          <w:lang/>
        </w:rPr>
        <w:t>, esta entidad carece de competencia para indicarle una regla estructural de estatuto, o una forma asociativa específica dentro de las personas jurídicas sin ánimo de lucro ya que como se señaló, corresponde a la asociación de usuarios</w:t>
      </w:r>
      <w:r>
        <w:rPr>
          <w:rFonts w:ascii="Arial" w:hAnsi="Arial" w:cs="Lucidasans"/>
          <w:color w:val="000000"/>
          <w:sz w:val="20"/>
          <w:szCs w:val="20"/>
          <w:lang/>
        </w:rPr>
        <w:t xml:space="preserve"> en ejercicio de su autonomía constitucional, determinar la forma jurídica particular y cumplir los requisitos propios de cada régimen legal. </w:t>
      </w:r>
    </w:p>
    <w:p w:rsidR="00000000" w:rsidRDefault="00700E66">
      <w:pPr>
        <w:pStyle w:val="BodyText"/>
        <w:spacing w:after="0" w:line="198" w:lineRule="atLeast"/>
        <w:jc w:val="both"/>
        <w:rPr>
          <w:rFonts w:ascii="Arial" w:hAnsi="Arial" w:cs="Lucidasans"/>
          <w:color w:val="000000"/>
          <w:sz w:val="20"/>
          <w:szCs w:val="20"/>
          <w:lang/>
        </w:rPr>
      </w:pPr>
      <w:r>
        <w:rPr>
          <w:rFonts w:ascii="Arial" w:hAnsi="Arial" w:cs="Lucidasans"/>
          <w:color w:val="000000"/>
          <w:sz w:val="20"/>
          <w:szCs w:val="20"/>
          <w:lang/>
        </w:rPr>
        <w:t xml:space="preserve">Hecha la anterior aclaración, damos respuesta a su inquietud en los siguientes términos: </w:t>
      </w:r>
    </w:p>
    <w:p w:rsidR="00000000" w:rsidRDefault="00700E66">
      <w:pPr>
        <w:pStyle w:val="BodyText"/>
        <w:spacing w:after="0" w:line="198" w:lineRule="atLeast"/>
        <w:jc w:val="both"/>
        <w:rPr>
          <w:rFonts w:ascii="Arial" w:hAnsi="Arial" w:cs="Lucidasans"/>
          <w:color w:val="000000"/>
          <w:sz w:val="20"/>
          <w:szCs w:val="20"/>
          <w:lang/>
        </w:rPr>
      </w:pPr>
      <w:r>
        <w:rPr>
          <w:rFonts w:ascii="Arial" w:hAnsi="Arial" w:cs="Lucidasans"/>
          <w:color w:val="000000"/>
          <w:sz w:val="20"/>
          <w:szCs w:val="20"/>
          <w:lang/>
        </w:rPr>
        <w:t>Las comunidades organiz</w:t>
      </w:r>
      <w:r>
        <w:rPr>
          <w:rFonts w:ascii="Arial" w:hAnsi="Arial" w:cs="Lucidasans"/>
          <w:color w:val="000000"/>
          <w:sz w:val="20"/>
          <w:szCs w:val="20"/>
          <w:lang/>
        </w:rPr>
        <w:t xml:space="preserve">adas están autorizadas por la </w:t>
      </w:r>
      <w:hyperlink r:id="rId7" w:history="1">
        <w:r>
          <w:rPr>
            <w:rStyle w:val="Hyperlink"/>
            <w:rFonts w:ascii="Arial" w:hAnsi="Arial"/>
            <w:lang/>
          </w:rPr>
          <w:t>Ley 142 de 1994</w:t>
        </w:r>
      </w:hyperlink>
      <w:r>
        <w:rPr>
          <w:rFonts w:ascii="Arial" w:hAnsi="Arial" w:cs="Lucidasans"/>
          <w:color w:val="000000"/>
          <w:sz w:val="20"/>
          <w:szCs w:val="20"/>
          <w:lang/>
        </w:rPr>
        <w:t xml:space="preserve"> artículo </w:t>
      </w:r>
      <w:r>
        <w:rPr>
          <w:rFonts w:ascii="Arial" w:hAnsi="Arial" w:cs="Lucidasans"/>
          <w:sz w:val="20"/>
          <w:szCs w:val="20"/>
          <w:lang/>
        </w:rPr>
        <w:t xml:space="preserve">15,4 </w:t>
      </w:r>
      <w:r>
        <w:rPr>
          <w:rFonts w:ascii="Arial" w:hAnsi="Arial" w:cs="Lucidasans"/>
          <w:color w:val="000000"/>
          <w:sz w:val="20"/>
          <w:szCs w:val="20"/>
          <w:lang/>
        </w:rPr>
        <w:t>para prestar servicios públicos domiciliarios.</w:t>
      </w:r>
    </w:p>
    <w:p w:rsidR="00000000" w:rsidRDefault="00700E66">
      <w:pPr>
        <w:pStyle w:val="BodyText"/>
        <w:spacing w:after="0" w:line="198" w:lineRule="atLeast"/>
        <w:jc w:val="both"/>
        <w:rPr>
          <w:rFonts w:ascii="Arial" w:hAnsi="Arial" w:cs="Lucidasans"/>
          <w:color w:val="000000"/>
          <w:sz w:val="20"/>
          <w:szCs w:val="20"/>
          <w:lang/>
        </w:rPr>
      </w:pPr>
      <w:r>
        <w:rPr>
          <w:rFonts w:ascii="Arial" w:hAnsi="Arial" w:cs="Lucidasans"/>
          <w:color w:val="000000"/>
          <w:sz w:val="20"/>
          <w:szCs w:val="20"/>
          <w:lang/>
        </w:rPr>
        <w:t>Ahora bien, pueden adoptar cualquiera de las formas asociativas enm</w:t>
      </w:r>
      <w:r>
        <w:rPr>
          <w:rFonts w:ascii="Arial" w:hAnsi="Arial" w:cs="Lucidasans"/>
          <w:color w:val="000000"/>
          <w:sz w:val="20"/>
          <w:szCs w:val="20"/>
          <w:lang/>
        </w:rPr>
        <w:t>arcadas dentro de la modalidad de personas jurídicas sin ánimo de lucro, en virtud del ejercicio de la libre autonomía de la voluntad,</w:t>
      </w:r>
      <w:r>
        <w:rPr>
          <w:rFonts w:ascii="Arial" w:hAnsi="Arial" w:cs="Lucidasans"/>
          <w:color w:val="000000"/>
          <w:sz w:val="20"/>
          <w:szCs w:val="20"/>
          <w:lang/>
        </w:rPr>
        <w:t xml:space="preserve"> de los principios constitucionales de libertad de empresa (artículo </w:t>
      </w:r>
      <w:r>
        <w:rPr>
          <w:rFonts w:ascii="Arial" w:hAnsi="Arial" w:cs="Lucidasans"/>
          <w:sz w:val="20"/>
          <w:szCs w:val="20"/>
          <w:lang/>
        </w:rPr>
        <w:t>333)</w:t>
      </w:r>
      <w:r>
        <w:rPr>
          <w:rFonts w:ascii="Arial" w:hAnsi="Arial" w:cs="Lucidasans"/>
          <w:color w:val="000000"/>
          <w:sz w:val="20"/>
          <w:szCs w:val="20"/>
          <w:lang/>
        </w:rPr>
        <w:t>, de escogencia de profesión u oficio (artículo</w:t>
      </w:r>
      <w:r>
        <w:rPr>
          <w:rFonts w:ascii="Arial" w:hAnsi="Arial" w:cs="Lucidasans"/>
          <w:sz w:val="20"/>
          <w:szCs w:val="20"/>
          <w:lang/>
        </w:rPr>
        <w:t xml:space="preserve"> 2</w:t>
      </w:r>
      <w:r>
        <w:rPr>
          <w:rFonts w:ascii="Arial" w:hAnsi="Arial" w:cs="Lucidasans"/>
          <w:sz w:val="20"/>
          <w:szCs w:val="20"/>
          <w:lang/>
        </w:rPr>
        <w:t>5</w:t>
      </w:r>
      <w:r>
        <w:rPr>
          <w:rFonts w:ascii="Arial" w:hAnsi="Arial" w:cs="Lucidasans"/>
          <w:color w:val="000000"/>
          <w:sz w:val="20"/>
          <w:szCs w:val="20"/>
          <w:lang/>
        </w:rPr>
        <w:t>), y de la libre iniciativa privada, siempre que no vaya contra ley o la moral y orden públicos.</w:t>
      </w:r>
    </w:p>
    <w:p w:rsidR="00000000" w:rsidRDefault="00700E66">
      <w:pPr>
        <w:pStyle w:val="BodyText"/>
        <w:spacing w:after="0" w:line="198" w:lineRule="atLeast"/>
        <w:ind w:right="28"/>
        <w:jc w:val="both"/>
        <w:rPr>
          <w:rFonts w:ascii="Arial" w:hAnsi="Arial" w:cs="Lucidasans"/>
          <w:color w:val="000000"/>
          <w:sz w:val="20"/>
          <w:szCs w:val="20"/>
          <w:lang/>
        </w:rPr>
      </w:pPr>
      <w:r>
        <w:rPr>
          <w:rFonts w:ascii="Arial" w:hAnsi="Arial" w:cs="Lucidasans"/>
          <w:color w:val="000000"/>
          <w:sz w:val="20"/>
          <w:szCs w:val="20"/>
          <w:lang/>
        </w:rPr>
        <w:t>Ahora bien, hay que diferenciar entre las disposiciones del régimen de servicios públicos domiciliarios, aplicable a quien tienen la calidad de prestador de e</w:t>
      </w:r>
      <w:r>
        <w:rPr>
          <w:rFonts w:ascii="Arial" w:hAnsi="Arial" w:cs="Lucidasans"/>
          <w:color w:val="000000"/>
          <w:sz w:val="20"/>
          <w:szCs w:val="20"/>
          <w:lang/>
        </w:rPr>
        <w:t>ste tipo de servicios, de las disposiciones particulares que regulan cada tipo organizativo.</w:t>
      </w:r>
    </w:p>
    <w:p w:rsidR="00000000" w:rsidRDefault="00700E66">
      <w:pPr>
        <w:pStyle w:val="BodyText"/>
        <w:spacing w:after="0" w:line="198" w:lineRule="atLeast"/>
        <w:jc w:val="both"/>
        <w:rPr>
          <w:rFonts w:ascii="Arial" w:hAnsi="Arial" w:cs="Lucidasans"/>
          <w:color w:val="000000"/>
          <w:sz w:val="20"/>
          <w:szCs w:val="20"/>
          <w:lang/>
        </w:rPr>
      </w:pPr>
      <w:r>
        <w:rPr>
          <w:rFonts w:ascii="Arial" w:hAnsi="Arial" w:cs="Lucidasans"/>
          <w:color w:val="000000"/>
          <w:sz w:val="20"/>
          <w:szCs w:val="20"/>
          <w:lang/>
        </w:rPr>
        <w:t>Esto, debido a que dentro del género comunidades organizadas, caben como especie, las juntas de acción comunal, las administraciones públicas cooperativas, las aso</w:t>
      </w:r>
      <w:r>
        <w:rPr>
          <w:rFonts w:ascii="Arial" w:hAnsi="Arial" w:cs="Lucidasans"/>
          <w:color w:val="000000"/>
          <w:sz w:val="20"/>
          <w:szCs w:val="20"/>
          <w:lang/>
        </w:rPr>
        <w:t xml:space="preserve">ciaciones de usuarios, entre otras formas asociativas </w:t>
      </w:r>
      <w:r>
        <w:rPr>
          <w:rStyle w:val="Strong"/>
          <w:rFonts w:ascii="Arial" w:hAnsi="Arial" w:cs="Lucidasans"/>
          <w:color w:val="000000"/>
          <w:sz w:val="20"/>
          <w:szCs w:val="20"/>
          <w:lang/>
        </w:rPr>
        <w:t>cuyo régimen legal de constitución y funcionamiento esta estipulada en la ley de manera particular y corresponde a quiénes tienen la voluntad de asociarse, definir la figura a través de la cuál van a op</w:t>
      </w:r>
      <w:r>
        <w:rPr>
          <w:rStyle w:val="Strong"/>
          <w:rFonts w:ascii="Arial" w:hAnsi="Arial" w:cs="Lucidasans"/>
          <w:color w:val="000000"/>
          <w:sz w:val="20"/>
          <w:szCs w:val="20"/>
          <w:lang/>
        </w:rPr>
        <w:t>erar y en consecuencia, seguir el procedimiento que cada régimen señale para su constitución</w:t>
      </w:r>
      <w:r>
        <w:rPr>
          <w:rFonts w:ascii="Arial" w:hAnsi="Arial" w:cs="Lucidasans"/>
          <w:color w:val="000000"/>
          <w:sz w:val="20"/>
          <w:szCs w:val="20"/>
          <w:lang/>
        </w:rPr>
        <w:t>.</w:t>
      </w:r>
    </w:p>
    <w:p w:rsidR="00000000" w:rsidRDefault="00700E66">
      <w:pPr>
        <w:pStyle w:val="BodyText"/>
        <w:spacing w:after="0" w:line="198" w:lineRule="atLeast"/>
        <w:jc w:val="both"/>
        <w:rPr>
          <w:rFonts w:ascii="Arial" w:hAnsi="Arial" w:cs="Lucidasans"/>
          <w:color w:val="000000"/>
          <w:sz w:val="20"/>
          <w:szCs w:val="20"/>
          <w:lang/>
        </w:rPr>
      </w:pPr>
      <w:r>
        <w:rPr>
          <w:rFonts w:ascii="Arial" w:hAnsi="Arial" w:cs="Lucidasans"/>
          <w:color w:val="000000"/>
          <w:sz w:val="20"/>
          <w:szCs w:val="20"/>
          <w:lang/>
        </w:rPr>
        <w:t xml:space="preserve">Tratándose de comunidades organizadas (artículo </w:t>
      </w:r>
      <w:r>
        <w:rPr>
          <w:rFonts w:ascii="Arial" w:hAnsi="Arial" w:cs="Lucidasans"/>
          <w:sz w:val="20"/>
          <w:szCs w:val="20"/>
          <w:lang/>
        </w:rPr>
        <w:t>15,4</w:t>
      </w:r>
      <w:r>
        <w:rPr>
          <w:rFonts w:ascii="Arial" w:hAnsi="Arial" w:cs="Lucidasans"/>
          <w:color w:val="000000"/>
          <w:sz w:val="20"/>
          <w:szCs w:val="20"/>
          <w:lang/>
        </w:rPr>
        <w:t xml:space="preserve"> </w:t>
      </w:r>
      <w:hyperlink r:id="rId8" w:history="1">
        <w:r>
          <w:rPr>
            <w:rStyle w:val="Hyperlink"/>
            <w:rFonts w:ascii="Arial" w:hAnsi="Arial"/>
            <w:lang/>
          </w:rPr>
          <w:t>Ley 142 de 1994</w:t>
        </w:r>
      </w:hyperlink>
      <w:r>
        <w:rPr>
          <w:rFonts w:ascii="Arial" w:hAnsi="Arial" w:cs="Lucidasans"/>
          <w:color w:val="000000"/>
          <w:sz w:val="20"/>
          <w:szCs w:val="20"/>
          <w:lang/>
        </w:rPr>
        <w:t>), los requi</w:t>
      </w:r>
      <w:r>
        <w:rPr>
          <w:rFonts w:ascii="Arial" w:hAnsi="Arial" w:cs="Lucidasans"/>
          <w:color w:val="000000"/>
          <w:sz w:val="20"/>
          <w:szCs w:val="20"/>
          <w:lang/>
        </w:rPr>
        <w:t xml:space="preserve">sitos mínimos a cumplir para prestar servicios públicos domiciliarios, fuera de los especificados en el régimen legal particular de acuerdo a la forma que adopten, son: el deber de registrarse en la Cámara de </w:t>
      </w:r>
      <w:r>
        <w:rPr>
          <w:rFonts w:ascii="Arial" w:hAnsi="Arial" w:cs="Lucidasans"/>
          <w:color w:val="000000"/>
          <w:sz w:val="20"/>
          <w:szCs w:val="20"/>
          <w:lang/>
        </w:rPr>
        <w:t>Comercio con jurisdicción en su respectivo domi</w:t>
      </w:r>
      <w:r>
        <w:rPr>
          <w:rFonts w:ascii="Arial" w:hAnsi="Arial" w:cs="Lucidasans"/>
          <w:color w:val="000000"/>
          <w:sz w:val="20"/>
          <w:szCs w:val="20"/>
          <w:lang/>
        </w:rPr>
        <w:t xml:space="preserve">cilio (artículo </w:t>
      </w:r>
      <w:r>
        <w:rPr>
          <w:rFonts w:ascii="Arial" w:hAnsi="Arial" w:cs="Lucidasans"/>
          <w:sz w:val="20"/>
          <w:szCs w:val="20"/>
          <w:lang/>
        </w:rPr>
        <w:t xml:space="preserve">3 </w:t>
      </w:r>
      <w:hyperlink r:id="rId9" w:history="1">
        <w:r>
          <w:rPr>
            <w:rStyle w:val="Hyperlink"/>
            <w:rFonts w:ascii="Arial" w:hAnsi="Arial"/>
            <w:lang/>
          </w:rPr>
          <w:t>Decreto 421 de 2000</w:t>
        </w:r>
      </w:hyperlink>
      <w:r>
        <w:rPr>
          <w:rFonts w:ascii="Arial" w:hAnsi="Arial" w:cs="Lucidasans"/>
          <w:color w:val="000000"/>
          <w:sz w:val="20"/>
          <w:szCs w:val="20"/>
          <w:lang/>
        </w:rPr>
        <w:t>), registrarse ante la Superintendencia de Servicios Públicos Domiciliarios y la Comisión de Regulación de Agua Potable y Saneamiento Bás</w:t>
      </w:r>
      <w:r>
        <w:rPr>
          <w:rFonts w:ascii="Arial" w:hAnsi="Arial" w:cs="Lucidasans"/>
          <w:color w:val="000000"/>
          <w:sz w:val="20"/>
          <w:szCs w:val="20"/>
          <w:lang/>
        </w:rPr>
        <w:t>ico y obtener las respectivas concesiones, permisos y licencias a que se refieren los artículos</w:t>
      </w:r>
      <w:r>
        <w:rPr>
          <w:rFonts w:ascii="Arial" w:hAnsi="Arial" w:cs="Lucidasans"/>
          <w:sz w:val="20"/>
          <w:szCs w:val="20"/>
          <w:lang/>
        </w:rPr>
        <w:t xml:space="preserve"> 25 y 26 </w:t>
      </w:r>
      <w:r>
        <w:rPr>
          <w:rFonts w:ascii="Arial" w:hAnsi="Arial" w:cs="Lucidasans"/>
          <w:color w:val="000000"/>
          <w:sz w:val="20"/>
          <w:szCs w:val="20"/>
          <w:lang/>
        </w:rPr>
        <w:t xml:space="preserve">de la </w:t>
      </w:r>
      <w:hyperlink r:id="rId10" w:history="1">
        <w:r>
          <w:rPr>
            <w:rStyle w:val="Hyperlink"/>
            <w:rFonts w:ascii="Arial" w:hAnsi="Arial"/>
            <w:lang/>
          </w:rPr>
          <w:t>Ley 142 de 1994</w:t>
        </w:r>
      </w:hyperlink>
      <w:r>
        <w:rPr>
          <w:rFonts w:ascii="Arial" w:hAnsi="Arial" w:cs="Lucidasans"/>
          <w:color w:val="000000"/>
          <w:sz w:val="20"/>
          <w:szCs w:val="20"/>
          <w:lang/>
        </w:rPr>
        <w:t>.</w:t>
      </w:r>
    </w:p>
    <w:p w:rsidR="00000000" w:rsidRDefault="00700E66">
      <w:pPr>
        <w:pStyle w:val="BodyText"/>
        <w:spacing w:after="0" w:line="198" w:lineRule="atLeast"/>
        <w:ind w:right="28"/>
        <w:jc w:val="both"/>
        <w:rPr>
          <w:rFonts w:ascii="Arial" w:hAnsi="Arial" w:cs="Lucidasans"/>
          <w:color w:val="000000"/>
          <w:sz w:val="20"/>
          <w:szCs w:val="20"/>
          <w:lang/>
        </w:rPr>
      </w:pPr>
      <w:r>
        <w:rPr>
          <w:rFonts w:ascii="Arial" w:hAnsi="Arial" w:cs="Lucidasans"/>
          <w:color w:val="000000"/>
          <w:sz w:val="20"/>
          <w:szCs w:val="20"/>
          <w:lang/>
        </w:rPr>
        <w:t>En caso de pretenderse conformar una cooperativ</w:t>
      </w:r>
      <w:r>
        <w:rPr>
          <w:rFonts w:ascii="Arial" w:hAnsi="Arial" w:cs="Lucidasans"/>
          <w:color w:val="000000"/>
          <w:sz w:val="20"/>
          <w:szCs w:val="20"/>
          <w:lang/>
        </w:rPr>
        <w:t>a prestadora de servicios públicos, está deberá tener en cuenta las disposiciones particulares contenidas en la Ley 79 de 1989 y la Ley 454 de 1994.</w:t>
      </w:r>
    </w:p>
    <w:p w:rsidR="00000000" w:rsidRDefault="00700E66">
      <w:pPr>
        <w:pStyle w:val="BodyText"/>
        <w:spacing w:after="0" w:line="198" w:lineRule="atLeast"/>
        <w:jc w:val="both"/>
        <w:rPr>
          <w:rFonts w:ascii="Arial" w:hAnsi="Arial" w:cs="Lucidasans"/>
          <w:color w:val="000000"/>
          <w:sz w:val="20"/>
          <w:szCs w:val="20"/>
          <w:lang/>
        </w:rPr>
      </w:pPr>
      <w:r>
        <w:rPr>
          <w:rFonts w:ascii="Arial" w:hAnsi="Arial" w:cs="Lucidasans"/>
          <w:color w:val="000000"/>
          <w:sz w:val="20"/>
          <w:szCs w:val="20"/>
          <w:lang/>
        </w:rPr>
        <w:t>Ahora bien, esta Oficina Asesora Jurídica ya se ha pronunciado sobre los requisitos y particularidades de l</w:t>
      </w:r>
      <w:r>
        <w:rPr>
          <w:rFonts w:ascii="Arial" w:hAnsi="Arial" w:cs="Lucidasans"/>
          <w:color w:val="000000"/>
          <w:sz w:val="20"/>
          <w:szCs w:val="20"/>
          <w:lang/>
        </w:rPr>
        <w:t xml:space="preserve">a constitución de comunidades organizadas prestadoras de servicios públicos domiciliarios y debido a la pertinencia para la consulta planteada, nos permitimos ratificar lo expuesto en Concepto </w:t>
      </w:r>
      <w:r>
        <w:rPr>
          <w:rFonts w:ascii="Arial" w:hAnsi="Arial" w:cs="Lucidasans"/>
          <w:sz w:val="20"/>
          <w:szCs w:val="20"/>
          <w:lang/>
        </w:rPr>
        <w:t>SSPD-OAJ-2011-</w:t>
      </w:r>
      <w:r>
        <w:rPr>
          <w:rFonts w:ascii="Arial" w:hAnsi="Arial" w:cs="Lucidasans"/>
          <w:sz w:val="20"/>
          <w:szCs w:val="20"/>
          <w:lang/>
        </w:rPr>
        <w:lastRenderedPageBreak/>
        <w:t>414</w:t>
      </w:r>
      <w:r>
        <w:rPr>
          <w:rFonts w:ascii="Arial" w:hAnsi="Arial" w:cs="Lucidasans"/>
          <w:color w:val="000000"/>
          <w:sz w:val="20"/>
          <w:szCs w:val="20"/>
          <w:lang/>
        </w:rPr>
        <w:t>, que señaló:</w:t>
      </w:r>
    </w:p>
    <w:p w:rsidR="00000000" w:rsidRDefault="00700E66">
      <w:pPr>
        <w:pStyle w:val="BodyText"/>
        <w:spacing w:after="0" w:line="198" w:lineRule="atLeast"/>
        <w:ind w:left="573" w:right="629"/>
        <w:jc w:val="both"/>
        <w:rPr>
          <w:rStyle w:val="Emphasis"/>
          <w:rFonts w:ascii="Arial" w:hAnsi="Arial" w:cs="Lucidasans"/>
          <w:color w:val="000000"/>
          <w:sz w:val="20"/>
          <w:szCs w:val="20"/>
          <w:lang/>
        </w:rPr>
      </w:pPr>
      <w:r>
        <w:rPr>
          <w:rFonts w:ascii="Arial" w:hAnsi="Arial" w:cs="Lucidasans"/>
          <w:color w:val="000000"/>
          <w:sz w:val="20"/>
          <w:szCs w:val="20"/>
          <w:lang/>
        </w:rPr>
        <w:t>“</w:t>
      </w:r>
      <w:r>
        <w:rPr>
          <w:rStyle w:val="Emphasis"/>
          <w:rFonts w:ascii="Arial" w:hAnsi="Arial" w:cs="Lucidasans"/>
          <w:color w:val="000000"/>
          <w:sz w:val="20"/>
          <w:szCs w:val="20"/>
          <w:lang/>
        </w:rPr>
        <w:t xml:space="preserve">(…) la Ley 142 ha dispuesto en </w:t>
      </w:r>
      <w:r>
        <w:rPr>
          <w:rStyle w:val="Emphasis"/>
          <w:rFonts w:ascii="Arial" w:hAnsi="Arial" w:cs="Lucidasans"/>
          <w:color w:val="000000"/>
          <w:sz w:val="20"/>
          <w:szCs w:val="20"/>
          <w:lang/>
        </w:rPr>
        <w:t xml:space="preserve">los artículos </w:t>
      </w:r>
      <w:r>
        <w:rPr>
          <w:rFonts w:ascii="Arial" w:hAnsi="Arial" w:cs="Lucidasans"/>
          <w:sz w:val="20"/>
          <w:szCs w:val="20"/>
          <w:lang/>
        </w:rPr>
        <w:t>15.4 y 20</w:t>
      </w:r>
      <w:r>
        <w:rPr>
          <w:rStyle w:val="Emphasis"/>
          <w:rFonts w:ascii="Arial" w:hAnsi="Arial" w:cs="Lucidasans"/>
          <w:color w:val="000000"/>
          <w:sz w:val="20"/>
          <w:szCs w:val="20"/>
          <w:lang/>
        </w:rPr>
        <w:t xml:space="preserve">, aspectos particulares y especiales de la constitución de las comunidades organizadas; el </w:t>
      </w:r>
      <w:hyperlink r:id="rId11" w:history="1">
        <w:r>
          <w:rPr>
            <w:rStyle w:val="Hyperlink"/>
            <w:rFonts w:ascii="Arial" w:hAnsi="Arial"/>
            <w:lang/>
          </w:rPr>
          <w:t>Decreto 421 de 2000</w:t>
        </w:r>
      </w:hyperlink>
      <w:r>
        <w:rPr>
          <w:rStyle w:val="Emphasis"/>
          <w:rFonts w:ascii="Arial" w:hAnsi="Arial" w:cs="Lucidasans"/>
          <w:color w:val="000000"/>
          <w:sz w:val="20"/>
          <w:szCs w:val="20"/>
          <w:lang/>
        </w:rPr>
        <w:t xml:space="preserve"> de manera consecuente con la ley reglame</w:t>
      </w:r>
      <w:r>
        <w:rPr>
          <w:rStyle w:val="Emphasis"/>
          <w:rFonts w:ascii="Arial" w:hAnsi="Arial" w:cs="Lucidasans"/>
          <w:color w:val="000000"/>
          <w:sz w:val="20"/>
          <w:szCs w:val="20"/>
          <w:lang/>
        </w:rPr>
        <w:t>ntó lo específico en materia de acueducto y saneamiento básico, y la Corte Constitucional en Sentencia</w:t>
      </w:r>
      <w:r>
        <w:rPr>
          <w:rFonts w:ascii="Arial" w:hAnsi="Arial" w:cs="Lucidasans"/>
          <w:sz w:val="20"/>
          <w:szCs w:val="20"/>
          <w:lang/>
        </w:rPr>
        <w:t xml:space="preserve"> C-741</w:t>
      </w:r>
      <w:r>
        <w:rPr>
          <w:rStyle w:val="Emphasis"/>
          <w:rFonts w:ascii="Arial" w:hAnsi="Arial" w:cs="Lucidasans"/>
          <w:color w:val="000000"/>
          <w:sz w:val="20"/>
          <w:szCs w:val="20"/>
          <w:lang/>
        </w:rPr>
        <w:t xml:space="preserve"> de 2003 desarrolló elementos concretos a los distintos regímenes que admite la noción “comunidades organizadas” conforme al estudio de constitucion</w:t>
      </w:r>
      <w:r>
        <w:rPr>
          <w:rStyle w:val="Emphasis"/>
          <w:rFonts w:ascii="Arial" w:hAnsi="Arial" w:cs="Lucidasans"/>
          <w:color w:val="000000"/>
          <w:sz w:val="20"/>
          <w:szCs w:val="20"/>
          <w:lang/>
        </w:rPr>
        <w:t xml:space="preserve">alidad que la Corte realizó frente al artículo 15 numeral </w:t>
      </w:r>
      <w:r>
        <w:rPr>
          <w:rFonts w:ascii="Arial" w:hAnsi="Arial" w:cs="Lucidasans"/>
          <w:sz w:val="20"/>
          <w:szCs w:val="20"/>
          <w:lang/>
        </w:rPr>
        <w:t xml:space="preserve">4 </w:t>
      </w:r>
      <w:r>
        <w:rPr>
          <w:rStyle w:val="Emphasis"/>
          <w:rFonts w:ascii="Arial" w:hAnsi="Arial" w:cs="Lucidasans"/>
          <w:color w:val="000000"/>
          <w:sz w:val="20"/>
          <w:szCs w:val="20"/>
          <w:lang/>
        </w:rPr>
        <w:t xml:space="preserve">de la </w:t>
      </w:r>
      <w:hyperlink r:id="rId12" w:history="1">
        <w:r>
          <w:rPr>
            <w:rStyle w:val="Hyperlink"/>
            <w:rFonts w:ascii="Arial" w:hAnsi="Arial"/>
            <w:lang/>
          </w:rPr>
          <w:t>Ley 142 de 1994</w:t>
        </w:r>
      </w:hyperlink>
      <w:r>
        <w:rPr>
          <w:rStyle w:val="Emphasis"/>
          <w:rFonts w:ascii="Arial" w:hAnsi="Arial" w:cs="Lucidasans"/>
          <w:color w:val="000000"/>
          <w:sz w:val="20"/>
          <w:szCs w:val="20"/>
          <w:lang/>
        </w:rPr>
        <w:t>.</w:t>
      </w:r>
    </w:p>
    <w:p w:rsidR="00000000" w:rsidRDefault="00700E66">
      <w:pPr>
        <w:pStyle w:val="BodyText"/>
        <w:spacing w:after="0" w:line="198" w:lineRule="atLeast"/>
        <w:ind w:left="573" w:right="629"/>
        <w:jc w:val="both"/>
        <w:rPr>
          <w:rStyle w:val="Emphasis"/>
          <w:rFonts w:ascii="Arial" w:hAnsi="Arial" w:cs="Lucidasans"/>
          <w:color w:val="000000"/>
          <w:sz w:val="20"/>
          <w:szCs w:val="20"/>
          <w:lang/>
        </w:rPr>
      </w:pPr>
      <w:r>
        <w:rPr>
          <w:rStyle w:val="Emphasis"/>
          <w:rFonts w:ascii="Arial" w:hAnsi="Arial" w:cs="Lucidasans"/>
          <w:color w:val="000000"/>
          <w:sz w:val="20"/>
          <w:szCs w:val="20"/>
          <w:lang/>
        </w:rPr>
        <w:t>Así, la Corte en el fallo referido, con el fin de emplear el término más amplio posible que</w:t>
      </w:r>
      <w:r>
        <w:rPr>
          <w:rStyle w:val="Emphasis"/>
          <w:rFonts w:ascii="Arial" w:hAnsi="Arial" w:cs="Lucidasans"/>
          <w:color w:val="000000"/>
          <w:sz w:val="20"/>
          <w:szCs w:val="20"/>
          <w:lang/>
        </w:rPr>
        <w:t xml:space="preserve"> abarque las personas jurídicas sin ánimo de lucro que puedan prestar servicios públicos, empleó el término organizaciones solidarias término para referirse a: las fundaciones; asociaciones de beneficio común; las cooperativas; los organismos de segundo y </w:t>
      </w:r>
      <w:r>
        <w:rPr>
          <w:rStyle w:val="Emphasis"/>
          <w:rFonts w:ascii="Arial" w:hAnsi="Arial" w:cs="Lucidasans"/>
          <w:color w:val="000000"/>
          <w:sz w:val="20"/>
          <w:szCs w:val="20"/>
          <w:lang/>
        </w:rPr>
        <w:t>tercer grado que agrupen cooperativas u otras formas asociativas y solidarias de propiedad; las instituciones auxiliares de la economía solidaria; las empresas comunitarias; las empresas solidarias de salud; las precooperativas; los fondos de empleados; la</w:t>
      </w:r>
      <w:r>
        <w:rPr>
          <w:rStyle w:val="Emphasis"/>
          <w:rFonts w:ascii="Arial" w:hAnsi="Arial" w:cs="Lucidasans"/>
          <w:color w:val="000000"/>
          <w:sz w:val="20"/>
          <w:szCs w:val="20"/>
          <w:lang/>
        </w:rPr>
        <w:t xml:space="preserve">s asociaciones mutualistas; las empresas de servicios en las formas de administraciones públicas cooperativas; las empresas asociativas de trabajo; y todas aquellas formas </w:t>
      </w:r>
      <w:r>
        <w:rPr>
          <w:rStyle w:val="Strong"/>
          <w:rFonts w:ascii="Arial" w:hAnsi="Arial" w:cs="Lucidasans"/>
          <w:color w:val="000000"/>
          <w:sz w:val="20"/>
          <w:szCs w:val="20"/>
          <w:lang/>
        </w:rPr>
        <w:t>asociativas solidarias</w:t>
      </w:r>
      <w:r>
        <w:rPr>
          <w:rStyle w:val="Emphasis"/>
          <w:rFonts w:ascii="Arial" w:hAnsi="Arial" w:cs="Lucidasans"/>
          <w:color w:val="000000"/>
          <w:sz w:val="20"/>
          <w:szCs w:val="20"/>
          <w:lang/>
        </w:rPr>
        <w:t xml:space="preserve"> a que hace referencia el parágrafo 2º del artículo</w:t>
      </w:r>
      <w:r>
        <w:rPr>
          <w:rFonts w:ascii="Arial" w:hAnsi="Arial" w:cs="Lucidasans"/>
          <w:sz w:val="20"/>
          <w:szCs w:val="20"/>
          <w:lang/>
        </w:rPr>
        <w:t xml:space="preserve"> 6 </w:t>
      </w:r>
      <w:r>
        <w:rPr>
          <w:rStyle w:val="Emphasis"/>
          <w:rFonts w:ascii="Arial" w:hAnsi="Arial" w:cs="Lucidasans"/>
          <w:color w:val="000000"/>
          <w:sz w:val="20"/>
          <w:szCs w:val="20"/>
          <w:lang/>
        </w:rPr>
        <w:t xml:space="preserve">de la </w:t>
      </w:r>
      <w:hyperlink r:id="rId13" w:history="1">
        <w:r>
          <w:rPr>
            <w:rStyle w:val="Hyperlink"/>
            <w:rFonts w:ascii="Arial" w:hAnsi="Arial"/>
            <w:lang/>
          </w:rPr>
          <w:t>Ley 454 de 1998</w:t>
        </w:r>
      </w:hyperlink>
      <w:r>
        <w:rPr>
          <w:rStyle w:val="Emphasis"/>
          <w:rFonts w:ascii="Arial" w:hAnsi="Arial" w:cs="Lucidasans"/>
          <w:color w:val="000000"/>
          <w:sz w:val="20"/>
          <w:szCs w:val="20"/>
          <w:lang/>
        </w:rPr>
        <w:t xml:space="preserve">. </w:t>
      </w:r>
    </w:p>
    <w:p w:rsidR="00000000" w:rsidRDefault="00700E66">
      <w:pPr>
        <w:pStyle w:val="BodyText"/>
        <w:spacing w:after="0" w:line="198" w:lineRule="atLeast"/>
        <w:ind w:left="573" w:right="629"/>
        <w:jc w:val="both"/>
        <w:rPr>
          <w:rStyle w:val="Emphasis"/>
          <w:rFonts w:ascii="Arial" w:hAnsi="Arial" w:cs="Lucidasans"/>
          <w:sz w:val="20"/>
          <w:szCs w:val="20"/>
          <w:lang/>
        </w:rPr>
      </w:pPr>
      <w:r>
        <w:rPr>
          <w:rStyle w:val="Emphasis"/>
          <w:rFonts w:ascii="Arial" w:hAnsi="Arial" w:cs="Lucidasans"/>
          <w:sz w:val="20"/>
          <w:szCs w:val="20"/>
          <w:lang/>
        </w:rPr>
        <w:t xml:space="preserve">Al respecto, conforme a lo previsto en la </w:t>
      </w:r>
      <w:hyperlink r:id="rId14" w:history="1">
        <w:r>
          <w:rPr>
            <w:rStyle w:val="Hyperlink"/>
            <w:rFonts w:ascii="Arial" w:hAnsi="Arial"/>
            <w:lang/>
          </w:rPr>
          <w:t>Ley 142 de 1994</w:t>
        </w:r>
      </w:hyperlink>
      <w:r>
        <w:rPr>
          <w:rStyle w:val="Emphasis"/>
          <w:rFonts w:ascii="Arial" w:hAnsi="Arial" w:cs="Lucidasans"/>
          <w:sz w:val="20"/>
          <w:szCs w:val="20"/>
          <w:lang/>
        </w:rPr>
        <w:t xml:space="preserve"> y en la Circular 01 de 1996 de </w:t>
      </w:r>
      <w:r>
        <w:rPr>
          <w:rStyle w:val="Emphasis"/>
          <w:rFonts w:ascii="Arial" w:hAnsi="Arial" w:cs="Lucidasans"/>
          <w:sz w:val="20"/>
          <w:szCs w:val="20"/>
          <w:lang/>
        </w:rPr>
        <w:t>la Comisión de Regulación de Agua Potable y Saneamiento Básico referente a la prestación de los servicios públicos domiciliarios en municipios menores y zonas rurales dirigida a los alcaldes y personas prestadoras de servicios públicos dichos lugares, pued</w:t>
      </w:r>
      <w:r>
        <w:rPr>
          <w:rStyle w:val="Emphasis"/>
          <w:rFonts w:ascii="Arial" w:hAnsi="Arial" w:cs="Lucidasans"/>
          <w:sz w:val="20"/>
          <w:szCs w:val="20"/>
          <w:lang/>
        </w:rPr>
        <w:t>en prestar servicios públicos domiciliarios de agua potable y saneamiento básico tanto las organizaciones comunitarias (como juntas de acción comunal, juntas administradoras y asociaciones de usuarios) como las organizaciones de carácter asociativo: precoo</w:t>
      </w:r>
      <w:r>
        <w:rPr>
          <w:rStyle w:val="Emphasis"/>
          <w:rFonts w:ascii="Arial" w:hAnsi="Arial" w:cs="Lucidasans"/>
          <w:sz w:val="20"/>
          <w:szCs w:val="20"/>
          <w:lang/>
        </w:rPr>
        <w:t>perativas, cooperativas (</w:t>
      </w:r>
      <w:hyperlink r:id="rId15" w:history="1">
        <w:r>
          <w:rPr>
            <w:rStyle w:val="Hyperlink"/>
            <w:rFonts w:ascii="Arial" w:hAnsi="Arial"/>
            <w:lang/>
          </w:rPr>
          <w:t>Ley 454 de 1998</w:t>
        </w:r>
      </w:hyperlink>
      <w:r>
        <w:rPr>
          <w:rStyle w:val="Emphasis"/>
          <w:rFonts w:ascii="Arial" w:hAnsi="Arial" w:cs="Lucidasans"/>
          <w:sz w:val="20"/>
          <w:szCs w:val="20"/>
          <w:lang/>
        </w:rPr>
        <w:t>) y administración pública cooperativa (Decreto 1482 de 1989), tema que ha sido desarrollado en detalle en la Cartilla “Organicemos Nuestra Empresa</w:t>
      </w:r>
      <w:r>
        <w:rPr>
          <w:rStyle w:val="Emphasis"/>
          <w:rFonts w:ascii="Arial" w:hAnsi="Arial" w:cs="Lucidasans"/>
          <w:sz w:val="20"/>
          <w:szCs w:val="20"/>
          <w:lang/>
        </w:rPr>
        <w:t xml:space="preserve"> de Acueducto y Alcantarillado” publicada por el Ministerio de Ambiente, Vivienda y Desarrollo Territorial.</w:t>
      </w:r>
    </w:p>
    <w:p w:rsidR="00000000" w:rsidRDefault="00700E66">
      <w:pPr>
        <w:pStyle w:val="BodyText"/>
        <w:spacing w:after="0" w:line="198" w:lineRule="atLeast"/>
        <w:ind w:left="573" w:right="612"/>
        <w:jc w:val="both"/>
        <w:rPr>
          <w:rStyle w:val="Emphasis"/>
          <w:rFonts w:ascii="Arial" w:hAnsi="Arial" w:cs="Lucidasans"/>
          <w:sz w:val="20"/>
          <w:szCs w:val="20"/>
          <w:lang/>
        </w:rPr>
      </w:pPr>
      <w:r>
        <w:rPr>
          <w:rStyle w:val="Emphasis"/>
          <w:rFonts w:ascii="Arial" w:hAnsi="Arial" w:cs="Lucidasans"/>
          <w:sz w:val="20"/>
          <w:szCs w:val="20"/>
          <w:lang/>
        </w:rPr>
        <w:t xml:space="preserve">Estas organizaciones se rigen entre otras disposiciones por los artículos </w:t>
      </w:r>
      <w:r>
        <w:rPr>
          <w:rFonts w:ascii="Arial" w:hAnsi="Arial" w:cs="Lucidasans"/>
          <w:sz w:val="20"/>
          <w:szCs w:val="20"/>
          <w:lang/>
        </w:rPr>
        <w:t>40 a 45 y 143 a 148</w:t>
      </w:r>
      <w:r>
        <w:rPr>
          <w:rStyle w:val="Emphasis"/>
          <w:rFonts w:ascii="Arial" w:hAnsi="Arial" w:cs="Lucidasans"/>
          <w:sz w:val="20"/>
          <w:szCs w:val="20"/>
          <w:lang/>
        </w:rPr>
        <w:t xml:space="preserve"> del Decreto 2150 de 1995, en cuanto a la obtención de </w:t>
      </w:r>
      <w:r>
        <w:rPr>
          <w:rStyle w:val="Emphasis"/>
          <w:rFonts w:ascii="Arial" w:hAnsi="Arial" w:cs="Lucidasans"/>
          <w:sz w:val="20"/>
          <w:szCs w:val="20"/>
          <w:lang/>
        </w:rPr>
        <w:t xml:space="preserve">la personería jurídica, los Decretos 777 y 1403 de 1992 para la contratación para la ejecución de proyectos de inversión. </w:t>
      </w:r>
    </w:p>
    <w:p w:rsidR="00000000" w:rsidRDefault="00700E66">
      <w:pPr>
        <w:pStyle w:val="BodyText"/>
        <w:jc w:val="both"/>
        <w:rPr>
          <w:rStyle w:val="Strong"/>
          <w:rFonts w:ascii="Arial" w:hAnsi="Arial" w:cs="Lucidasans"/>
          <w:color w:val="000000"/>
          <w:sz w:val="20"/>
          <w:szCs w:val="20"/>
          <w:lang/>
        </w:rPr>
      </w:pPr>
      <w:r>
        <w:rPr>
          <w:rStyle w:val="Emphasis"/>
          <w:rFonts w:ascii="Arial" w:hAnsi="Arial" w:cs="Lucidasans"/>
          <w:color w:val="000000"/>
          <w:sz w:val="20"/>
          <w:szCs w:val="20"/>
          <w:lang/>
        </w:rPr>
        <w:t xml:space="preserve">Teniendo en cuenta lo anterior, las comunidades organizadas pueden prestar servicios públicos, </w:t>
      </w:r>
      <w:r>
        <w:rPr>
          <w:rStyle w:val="Strong"/>
          <w:rFonts w:ascii="Arial" w:hAnsi="Arial" w:cs="Lucidasans"/>
          <w:color w:val="000000"/>
          <w:sz w:val="20"/>
          <w:szCs w:val="20"/>
          <w:lang/>
        </w:rPr>
        <w:t>siempre y cuando en sus estatutos este</w:t>
      </w:r>
      <w:r>
        <w:rPr>
          <w:rStyle w:val="Strong"/>
          <w:rFonts w:ascii="Arial" w:hAnsi="Arial" w:cs="Lucidasans"/>
          <w:color w:val="000000"/>
          <w:sz w:val="20"/>
          <w:szCs w:val="20"/>
          <w:lang/>
        </w:rPr>
        <w:t xml:space="preserve"> previsto el desarrollo de tales actividades y observen la normatividad sobre servicios públicos consagrada en la </w:t>
      </w:r>
      <w:hyperlink r:id="rId16" w:history="1">
        <w:r>
          <w:rPr>
            <w:rStyle w:val="Hyperlink"/>
            <w:rFonts w:ascii="Arial" w:hAnsi="Arial"/>
            <w:lang/>
          </w:rPr>
          <w:t>Ley 142 de 1994</w:t>
        </w:r>
      </w:hyperlink>
      <w:r>
        <w:rPr>
          <w:rStyle w:val="Strong"/>
          <w:rFonts w:ascii="Arial" w:hAnsi="Arial" w:cs="Lucidasans"/>
          <w:color w:val="000000"/>
          <w:sz w:val="20"/>
          <w:szCs w:val="20"/>
          <w:lang/>
        </w:rPr>
        <w:t>, en la regulación expedida por las Comisione</w:t>
      </w:r>
      <w:r>
        <w:rPr>
          <w:rStyle w:val="Strong"/>
          <w:rFonts w:ascii="Arial" w:hAnsi="Arial" w:cs="Lucidasans"/>
          <w:color w:val="000000"/>
          <w:sz w:val="20"/>
          <w:szCs w:val="20"/>
          <w:lang/>
        </w:rPr>
        <w:t>s de Regulación y demás normas aplicables a los prestadores de servicios públicos”</w:t>
      </w:r>
    </w:p>
    <w:p w:rsidR="00000000" w:rsidRDefault="00700E66">
      <w:pPr>
        <w:pStyle w:val="BodyText"/>
        <w:jc w:val="both"/>
        <w:rPr>
          <w:rFonts w:ascii="Arial" w:hAnsi="Arial" w:cs="Lucidasans"/>
          <w:color w:val="000000"/>
          <w:sz w:val="20"/>
          <w:szCs w:val="20"/>
          <w:lang/>
        </w:rPr>
      </w:pPr>
      <w:r>
        <w:rPr>
          <w:rFonts w:ascii="Arial" w:hAnsi="Arial" w:cs="Lucidasans"/>
          <w:color w:val="000000"/>
          <w:sz w:val="20"/>
          <w:szCs w:val="20"/>
          <w:lang/>
        </w:rPr>
        <w:t>Ahora bien, respecto al tema de los revisores fiscales, las entidades prestadoras de servicios públicos domiciliarios constituidas como sociedades por acciones, de conformid</w:t>
      </w:r>
      <w:r>
        <w:rPr>
          <w:rFonts w:ascii="Arial" w:hAnsi="Arial" w:cs="Lucidasans"/>
          <w:color w:val="000000"/>
          <w:sz w:val="20"/>
          <w:szCs w:val="20"/>
          <w:lang/>
        </w:rPr>
        <w:t>ad con lo dispuesto en el numeral 15 del artículo</w:t>
      </w:r>
      <w:r>
        <w:rPr>
          <w:rFonts w:ascii="Arial" w:hAnsi="Arial" w:cs="Lucidasans"/>
          <w:sz w:val="20"/>
          <w:szCs w:val="20"/>
          <w:lang/>
        </w:rPr>
        <w:t xml:space="preserve"> 19 </w:t>
      </w:r>
      <w:r>
        <w:rPr>
          <w:rFonts w:ascii="Arial" w:hAnsi="Arial" w:cs="Lucidasans"/>
          <w:color w:val="000000"/>
          <w:sz w:val="20"/>
          <w:szCs w:val="20"/>
          <w:lang/>
        </w:rPr>
        <w:t xml:space="preserve">de la </w:t>
      </w:r>
      <w:hyperlink r:id="rId17" w:history="1">
        <w:r>
          <w:rPr>
            <w:rStyle w:val="Hyperlink"/>
            <w:rFonts w:ascii="Arial" w:hAnsi="Arial"/>
            <w:lang/>
          </w:rPr>
          <w:t>Ley 142 de 1994</w:t>
        </w:r>
      </w:hyperlink>
      <w:r>
        <w:rPr>
          <w:rStyle w:val="Strong"/>
          <w:rFonts w:ascii="Arial" w:hAnsi="Arial" w:cs="Lucidasans"/>
          <w:color w:val="000000"/>
          <w:sz w:val="20"/>
          <w:szCs w:val="20"/>
          <w:lang/>
        </w:rPr>
        <w:t>, se rigen en lo pertinente por las normas del Código de Comercio, incluyéndose dentro de tales asun</w:t>
      </w:r>
      <w:r>
        <w:rPr>
          <w:rStyle w:val="Strong"/>
          <w:rFonts w:ascii="Arial" w:hAnsi="Arial" w:cs="Lucidasans"/>
          <w:color w:val="000000"/>
          <w:sz w:val="20"/>
          <w:szCs w:val="20"/>
          <w:lang/>
        </w:rPr>
        <w:t>tos lo relativo a los revisores fiscales</w:t>
      </w:r>
      <w:r>
        <w:rPr>
          <w:rFonts w:ascii="Arial" w:hAnsi="Arial" w:cs="Lucidasans"/>
          <w:color w:val="000000"/>
          <w:sz w:val="20"/>
          <w:szCs w:val="20"/>
          <w:lang/>
        </w:rPr>
        <w:t>.</w:t>
      </w:r>
    </w:p>
    <w:p w:rsidR="00000000" w:rsidRDefault="00700E66">
      <w:pPr>
        <w:pStyle w:val="BodyText"/>
        <w:spacing w:after="0" w:line="198" w:lineRule="atLeast"/>
        <w:jc w:val="both"/>
        <w:rPr>
          <w:rFonts w:ascii="Arial" w:hAnsi="Arial" w:cs="Lucidasans"/>
          <w:color w:val="000000"/>
          <w:sz w:val="20"/>
          <w:szCs w:val="20"/>
          <w:lang/>
        </w:rPr>
      </w:pPr>
      <w:r>
        <w:rPr>
          <w:rFonts w:ascii="Arial" w:hAnsi="Arial" w:cs="Lucidasans"/>
          <w:sz w:val="20"/>
          <w:szCs w:val="20"/>
          <w:lang/>
        </w:rPr>
        <w:t xml:space="preserve">De tratarse de otra clase de prestador, como las comunidades organizadas, </w:t>
      </w:r>
      <w:r>
        <w:rPr>
          <w:rStyle w:val="Strong"/>
          <w:rFonts w:ascii="Arial" w:hAnsi="Arial" w:cs="Lucidasans"/>
          <w:sz w:val="20"/>
          <w:szCs w:val="20"/>
          <w:lang/>
        </w:rPr>
        <w:t xml:space="preserve">es necesario acudir al régimen legal especial en cada caso. </w:t>
      </w:r>
      <w:r>
        <w:rPr>
          <w:rFonts w:ascii="Arial" w:hAnsi="Arial" w:cs="Lucidasans"/>
          <w:color w:val="000000"/>
          <w:sz w:val="20"/>
          <w:szCs w:val="20"/>
          <w:lang/>
        </w:rPr>
        <w:t>En este sentido, corresponde al régimen legal específico a la forma asociativa a</w:t>
      </w:r>
      <w:r>
        <w:rPr>
          <w:rFonts w:ascii="Arial" w:hAnsi="Arial" w:cs="Lucidasans"/>
          <w:color w:val="000000"/>
          <w:sz w:val="20"/>
          <w:szCs w:val="20"/>
          <w:lang/>
        </w:rPr>
        <w:t xml:space="preserve"> adoptar, señalar la necesidad o no de tener un revisor fiscal.</w:t>
      </w:r>
    </w:p>
    <w:p w:rsidR="00000000" w:rsidRDefault="00700E66">
      <w:pPr>
        <w:pStyle w:val="BodyText"/>
        <w:spacing w:after="0" w:line="198" w:lineRule="atLeast"/>
        <w:jc w:val="both"/>
        <w:rPr>
          <w:rFonts w:ascii="Arial" w:hAnsi="Arial" w:cs="Lucidasans"/>
          <w:sz w:val="20"/>
          <w:szCs w:val="20"/>
          <w:lang/>
        </w:rPr>
      </w:pPr>
    </w:p>
    <w:p w:rsidR="00000000" w:rsidRDefault="00700E66">
      <w:pPr>
        <w:pStyle w:val="BodyText"/>
        <w:spacing w:after="0" w:line="198" w:lineRule="atLeast"/>
        <w:jc w:val="both"/>
        <w:rPr>
          <w:rFonts w:ascii="Arial" w:hAnsi="Arial" w:cs="Lucidasans"/>
          <w:sz w:val="20"/>
          <w:szCs w:val="20"/>
          <w:lang/>
        </w:rPr>
      </w:pPr>
    </w:p>
    <w:p w:rsidR="00000000" w:rsidRDefault="00700E66">
      <w:pPr>
        <w:pStyle w:val="BodyText"/>
        <w:spacing w:after="0" w:line="198" w:lineRule="atLeast"/>
        <w:jc w:val="both"/>
        <w:rPr>
          <w:rStyle w:val="Emphasis"/>
          <w:rFonts w:ascii="Arial" w:hAnsi="Arial" w:cs="Lucidasans"/>
          <w:i w:val="0"/>
          <w:color w:val="000000"/>
          <w:sz w:val="20"/>
          <w:szCs w:val="20"/>
          <w:lang/>
        </w:rPr>
      </w:pPr>
      <w:r>
        <w:rPr>
          <w:rStyle w:val="Emphasis"/>
          <w:rFonts w:ascii="Arial" w:hAnsi="Arial" w:cs="Lucidasans"/>
          <w:i w:val="0"/>
          <w:color w:val="000000"/>
          <w:sz w:val="20"/>
          <w:szCs w:val="20"/>
          <w:lang/>
        </w:rPr>
        <w:t>Cordialmente,</w:t>
      </w:r>
    </w:p>
    <w:p w:rsidR="00000000" w:rsidRDefault="00700E66">
      <w:pPr>
        <w:pStyle w:val="BodyText"/>
        <w:spacing w:after="0" w:line="198" w:lineRule="atLeast"/>
        <w:jc w:val="both"/>
        <w:rPr>
          <w:rFonts w:ascii="Arial" w:hAnsi="Arial" w:cs="Lucidasans"/>
          <w:sz w:val="20"/>
          <w:szCs w:val="20"/>
          <w:lang/>
        </w:rPr>
      </w:pPr>
    </w:p>
    <w:p w:rsidR="00000000" w:rsidRDefault="00700E66">
      <w:pPr>
        <w:pStyle w:val="BodyText"/>
        <w:spacing w:after="0" w:line="198" w:lineRule="atLeast"/>
        <w:jc w:val="both"/>
        <w:rPr>
          <w:rFonts w:ascii="Arial" w:hAnsi="Arial" w:cs="Lucidasans"/>
          <w:sz w:val="20"/>
          <w:szCs w:val="20"/>
          <w:lang/>
        </w:rPr>
      </w:pPr>
    </w:p>
    <w:p w:rsidR="00000000" w:rsidRDefault="00700E66">
      <w:pPr>
        <w:pStyle w:val="BodyText"/>
        <w:spacing w:after="0" w:line="198" w:lineRule="atLeast"/>
        <w:jc w:val="both"/>
        <w:rPr>
          <w:rStyle w:val="Strong"/>
          <w:rFonts w:ascii="Arial" w:hAnsi="Arial" w:cs="Lucidasans"/>
          <w:color w:val="000000"/>
          <w:sz w:val="20"/>
          <w:szCs w:val="20"/>
          <w:lang/>
        </w:rPr>
      </w:pPr>
      <w:r>
        <w:rPr>
          <w:rStyle w:val="Strong"/>
          <w:rFonts w:ascii="Arial" w:hAnsi="Arial" w:cs="Lucidasans"/>
          <w:color w:val="000000"/>
          <w:sz w:val="20"/>
          <w:szCs w:val="20"/>
          <w:lang/>
        </w:rPr>
        <w:t>Jefe Oficina Asesora Jurídica</w:t>
      </w:r>
    </w:p>
    <w:p w:rsidR="00000000" w:rsidRDefault="00700E66">
      <w:pPr>
        <w:pStyle w:val="BodyText"/>
        <w:spacing w:after="0" w:line="198" w:lineRule="atLeast"/>
        <w:jc w:val="both"/>
        <w:rPr>
          <w:rFonts w:ascii="Arial" w:hAnsi="Arial" w:cs="Lucidasans"/>
          <w:sz w:val="20"/>
          <w:szCs w:val="20"/>
          <w:lang/>
        </w:rPr>
      </w:pPr>
    </w:p>
    <w:p w:rsidR="00000000" w:rsidRDefault="00700E66">
      <w:pPr>
        <w:rPr>
          <w:rFonts w:ascii="Arial" w:hAnsi="Arial" w:cs="Lucidasans"/>
          <w:sz w:val="20"/>
          <w:szCs w:val="20"/>
          <w:lang/>
        </w:rPr>
        <w:sectPr w:rsidR="00000000">
          <w:footnotePr>
            <w:pos w:val="beneathText"/>
          </w:footnotePr>
          <w:pgSz w:w="11905" w:h="16837"/>
          <w:pgMar w:top="1134" w:right="1134" w:bottom="1134" w:left="1134" w:header="1134" w:footer="1134" w:gutter="0"/>
          <w:cols w:space="720"/>
          <w:docGrid w:linePitch="312"/>
        </w:sectPr>
      </w:pPr>
    </w:p>
    <w:p w:rsidR="00000000" w:rsidRDefault="00700E66">
      <w:pPr>
        <w:pStyle w:val="BodyText"/>
        <w:spacing w:after="0" w:line="141" w:lineRule="atLeast"/>
        <w:rPr>
          <w:rFonts w:ascii="Arial" w:hAnsi="Arial" w:cs="Lucidasans"/>
          <w:sz w:val="20"/>
          <w:szCs w:val="20"/>
          <w:lang/>
        </w:rPr>
      </w:pPr>
      <w:r>
        <w:rPr>
          <w:rFonts w:ascii="Arial" w:hAnsi="Arial" w:cs="Lucidasans"/>
          <w:sz w:val="20"/>
          <w:szCs w:val="20"/>
          <w:lang/>
        </w:rPr>
        <w:lastRenderedPageBreak/>
        <w:t xml:space="preserve">1Reparto No. </w:t>
      </w:r>
      <w:r>
        <w:rPr>
          <w:rFonts w:ascii="Arial" w:hAnsi="Arial" w:cs="Lucidasans"/>
          <w:color w:val="000000"/>
          <w:sz w:val="20"/>
          <w:szCs w:val="20"/>
          <w:lang/>
        </w:rPr>
        <w:t>1272</w:t>
      </w:r>
      <w:r>
        <w:rPr>
          <w:rFonts w:ascii="Arial" w:hAnsi="Arial" w:cs="Lucidasans"/>
          <w:sz w:val="20"/>
          <w:szCs w:val="20"/>
          <w:lang/>
        </w:rPr>
        <w:t>. Radicado No. 20115290412482</w:t>
      </w:r>
    </w:p>
    <w:p w:rsidR="00000000" w:rsidRDefault="00700E66">
      <w:pPr>
        <w:pStyle w:val="BodyText"/>
        <w:spacing w:after="0" w:line="141" w:lineRule="atLeast"/>
        <w:rPr>
          <w:rFonts w:ascii="Arial" w:hAnsi="Arial" w:cs="Lucidasans"/>
          <w:sz w:val="20"/>
          <w:szCs w:val="20"/>
          <w:lang/>
        </w:rPr>
      </w:pPr>
    </w:p>
    <w:p w:rsidR="00000000" w:rsidRDefault="00700E66">
      <w:pPr>
        <w:pStyle w:val="BodyText"/>
        <w:spacing w:after="0" w:line="141" w:lineRule="atLeast"/>
        <w:rPr>
          <w:rFonts w:ascii="Arial" w:hAnsi="Arial" w:cs="Lucidasans"/>
          <w:sz w:val="20"/>
          <w:szCs w:val="20"/>
          <w:lang/>
        </w:rPr>
      </w:pPr>
    </w:p>
    <w:p w:rsidR="00000000" w:rsidRDefault="00700E66">
      <w:pPr>
        <w:rPr>
          <w:rFonts w:ascii="Arial" w:hAnsi="Arial" w:cs="Lucidasans"/>
          <w:color w:val="000000"/>
          <w:sz w:val="20"/>
          <w:szCs w:val="20"/>
          <w:lang/>
        </w:rPr>
        <w:sectPr w:rsidR="00000000">
          <w:footnotePr>
            <w:pos w:val="beneathText"/>
          </w:footnotePr>
          <w:type w:val="continuous"/>
          <w:pgSz w:w="11905" w:h="16837"/>
          <w:pgMar w:top="1134" w:right="1134" w:bottom="1134" w:left="1134" w:header="1134" w:footer="1134" w:gutter="0"/>
          <w:cols w:space="720"/>
          <w:docGrid w:linePitch="312"/>
        </w:sectPr>
      </w:pPr>
    </w:p>
    <w:p w:rsidR="00000000" w:rsidRDefault="00700E66">
      <w:pPr>
        <w:pStyle w:val="BodyText"/>
        <w:spacing w:after="0"/>
        <w:jc w:val="both"/>
        <w:rPr>
          <w:rFonts w:ascii="Arial" w:hAnsi="Arial" w:cs="Lucidasans"/>
          <w:color w:val="000000"/>
          <w:sz w:val="20"/>
          <w:szCs w:val="20"/>
          <w:lang/>
        </w:rPr>
      </w:pPr>
      <w:r>
        <w:rPr>
          <w:rFonts w:ascii="Arial" w:hAnsi="Arial" w:cs="Lucidasans"/>
          <w:color w:val="000000"/>
          <w:sz w:val="20"/>
          <w:szCs w:val="20"/>
          <w:lang/>
        </w:rPr>
        <w:lastRenderedPageBreak/>
        <w:t>2 ARTICULO 25. CONSULTAS. El derecho de petición incluye el de formular consultas escritas o</w:t>
      </w:r>
      <w:r>
        <w:rPr>
          <w:rFonts w:ascii="Arial" w:hAnsi="Arial" w:cs="Lucidasans"/>
          <w:color w:val="000000"/>
          <w:sz w:val="20"/>
          <w:szCs w:val="20"/>
          <w:lang/>
        </w:rPr>
        <w:t xml:space="preserve"> verbales a las autoridades, en relación con las materias a su cargo, y sin perjuicio de lo que dispongan normas especiales. </w:t>
      </w:r>
    </w:p>
    <w:p w:rsidR="00000000" w:rsidRDefault="00700E66">
      <w:pPr>
        <w:pStyle w:val="BodyText"/>
        <w:jc w:val="both"/>
        <w:rPr>
          <w:rFonts w:ascii="Arial" w:hAnsi="Arial" w:cs="Lucidasans"/>
          <w:color w:val="000000"/>
          <w:sz w:val="20"/>
          <w:szCs w:val="20"/>
          <w:lang/>
        </w:rPr>
        <w:sectPr w:rsidR="00000000">
          <w:footnotePr>
            <w:pos w:val="beneathText"/>
          </w:footnotePr>
          <w:type w:val="continuous"/>
          <w:pgSz w:w="11905" w:h="16837"/>
          <w:pgMar w:top="1134" w:right="1134" w:bottom="1134" w:left="1134" w:header="1134" w:footer="1134" w:gutter="0"/>
          <w:cols w:space="720"/>
          <w:docGrid w:linePitch="312"/>
        </w:sectPr>
      </w:pPr>
      <w:r>
        <w:rPr>
          <w:rFonts w:ascii="Arial" w:hAnsi="Arial" w:cs="Lucidasans"/>
          <w:color w:val="000000"/>
          <w:sz w:val="20"/>
          <w:szCs w:val="20"/>
          <w:lang/>
        </w:rPr>
        <w:t>Estas consultas deberán tramitarse con economía, celeridad, eficacia e imparcialidad y resolverse en un plazo máximo de treinta (3</w:t>
      </w:r>
      <w:r>
        <w:rPr>
          <w:rFonts w:ascii="Arial" w:hAnsi="Arial" w:cs="Lucidasans"/>
          <w:color w:val="000000"/>
          <w:sz w:val="20"/>
          <w:szCs w:val="20"/>
          <w:lang/>
        </w:rPr>
        <w:t xml:space="preserve">0) días. Las respuestas en estos casos </w:t>
      </w:r>
      <w:r>
        <w:rPr>
          <w:rFonts w:ascii="Arial" w:hAnsi="Arial" w:cs="Lucidasans"/>
          <w:color w:val="000000"/>
          <w:sz w:val="20"/>
          <w:szCs w:val="20"/>
          <w:u w:val="single"/>
          <w:lang/>
        </w:rPr>
        <w:t>no</w:t>
      </w:r>
      <w:r>
        <w:rPr>
          <w:rFonts w:ascii="Arial" w:hAnsi="Arial" w:cs="Lucidasans"/>
          <w:color w:val="000000"/>
          <w:sz w:val="20"/>
          <w:szCs w:val="20"/>
          <w:lang/>
        </w:rPr>
        <w:t xml:space="preserve"> comprometerán la responsabilidad de las entidades que las atienden, </w:t>
      </w:r>
      <w:r>
        <w:rPr>
          <w:rFonts w:ascii="Arial" w:hAnsi="Arial" w:cs="Lucidasans"/>
          <w:color w:val="000000"/>
          <w:sz w:val="20"/>
          <w:szCs w:val="20"/>
          <w:u w:val="single"/>
          <w:lang/>
        </w:rPr>
        <w:t>ni</w:t>
      </w:r>
      <w:r>
        <w:rPr>
          <w:rFonts w:ascii="Arial" w:hAnsi="Arial" w:cs="Lucidasans"/>
          <w:color w:val="000000"/>
          <w:sz w:val="20"/>
          <w:szCs w:val="20"/>
          <w:lang/>
        </w:rPr>
        <w:t xml:space="preserve"> serán de obligatorio cumplimiento o ejecución. </w:t>
      </w:r>
    </w:p>
    <w:p w:rsidR="00700E66" w:rsidRDefault="00700E66">
      <w:pPr>
        <w:rPr>
          <w:rFonts w:ascii="Arial" w:hAnsi="Arial" w:cs="Lucidasans"/>
          <w:sz w:val="20"/>
          <w:szCs w:val="20"/>
          <w:lang/>
        </w:rPr>
      </w:pPr>
    </w:p>
    <w:sectPr w:rsidR="00700E66">
      <w:footnotePr>
        <w:pos w:val="beneathText"/>
      </w:footnotePr>
      <w:type w:val="continuous"/>
      <w:pgSz w:w="11905" w:h="16837"/>
      <w:pgMar w:top="1134" w:right="1134" w:bottom="1134" w:left="1134" w:header="1134" w:footer="1134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Albany AMT">
    <w:altName w:val="Arial"/>
    <w:charset w:val="00"/>
    <w:family w:val="swiss"/>
    <w:pitch w:val="variable"/>
  </w:font>
  <w:font w:name="Lucida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6B"/>
    <w:rsid w:val="00700E66"/>
    <w:rsid w:val="008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horndale AMT" w:eastAsia="DejaVu Sans" w:hAnsi="Thorndale AMT"/>
      <w:kern w:val="1"/>
      <w:sz w:val="24"/>
      <w:szCs w:val="24"/>
      <w:lang w:val="es-ES_trad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character" w:customStyle="1" w:styleId="Carcterdenumeracin">
    <w:name w:val="Carácter de numeración"/>
  </w:style>
  <w:style w:type="paragraph" w:customStyle="1" w:styleId="Encabezado">
    <w:name w:val="Encabezado"/>
    <w:basedOn w:val="Normal"/>
    <w:next w:val="BodyText"/>
    <w:pPr>
      <w:keepNext/>
      <w:spacing w:before="240" w:after="120"/>
    </w:pPr>
    <w:rPr>
      <w:rFonts w:ascii="Albany AMT" w:eastAsia="Albany AMT" w:hAnsi="Albany AMT" w:cs="Lucida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Lucida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horndale AMT" w:eastAsia="DejaVu Sans" w:hAnsi="Thorndale AMT"/>
      <w:kern w:val="1"/>
      <w:sz w:val="24"/>
      <w:szCs w:val="24"/>
      <w:lang w:val="es-ES_trad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character" w:customStyle="1" w:styleId="Carcterdenumeracin">
    <w:name w:val="Carácter de numeración"/>
  </w:style>
  <w:style w:type="paragraph" w:customStyle="1" w:styleId="Encabezado">
    <w:name w:val="Encabezado"/>
    <w:basedOn w:val="Normal"/>
    <w:next w:val="BodyText"/>
    <w:pPr>
      <w:keepNext/>
      <w:spacing w:before="240" w:after="120"/>
    </w:pPr>
    <w:rPr>
      <w:rFonts w:ascii="Albany AMT" w:eastAsia="Albany AMT" w:hAnsi="Albany AMT" w:cs="Lucida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Lucida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icieroficial.com/entes/congreso_rep/LEY142-1994.htm" TargetMode="External"/><Relationship Id="rId13" Type="http://schemas.openxmlformats.org/officeDocument/2006/relationships/hyperlink" Target="http://www.noticieroficial.com/leyes/LEY454-1998.ht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ticieroficial.com/entes/congreso_rep/LEY142-1994.htm" TargetMode="External"/><Relationship Id="rId12" Type="http://schemas.openxmlformats.org/officeDocument/2006/relationships/hyperlink" Target="http://www.noticieroficial.com/entes/congreso_rep/LEY142-1994.htm" TargetMode="External"/><Relationship Id="rId17" Type="http://schemas.openxmlformats.org/officeDocument/2006/relationships/hyperlink" Target="http://www.noticieroficial.com/entes/congreso_rep/LEY142-1994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ticieroficial.com/entes/congreso_rep/LEY142-1994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oticieroficial.com/entes/congreso_rep/LEY142-1994.htm" TargetMode="External"/><Relationship Id="rId11" Type="http://schemas.openxmlformats.org/officeDocument/2006/relationships/hyperlink" Target="http://www.noticieroficial.com/entes/ministerios/MIND421-200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ticieroficial.com/leyes/LEY454-1998.htm" TargetMode="External"/><Relationship Id="rId10" Type="http://schemas.openxmlformats.org/officeDocument/2006/relationships/hyperlink" Target="http://www.noticieroficial.com/entes/congreso_rep/LEY142-1994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oticieroficial.com/entes/ministerios/MIND421-2000.HTM" TargetMode="External"/><Relationship Id="rId14" Type="http://schemas.openxmlformats.org/officeDocument/2006/relationships/hyperlink" Target="http://www.noticieroficial.com/entes/congreso_rep/LEY142-199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1521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Jezreel</dc:creator>
  <cp:lastModifiedBy>Jezreel</cp:lastModifiedBy>
  <cp:revision>2</cp:revision>
  <cp:lastPrinted>2113-01-01T05:00:00Z</cp:lastPrinted>
  <dcterms:created xsi:type="dcterms:W3CDTF">2012-01-21T17:04:00Z</dcterms:created>
  <dcterms:modified xsi:type="dcterms:W3CDTF">2012-01-21T17:04:00Z</dcterms:modified>
</cp:coreProperties>
</file>