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00E66">
      <w:pPr>
        <w:pStyle w:val="BodyText"/>
        <w:jc w:val="center"/>
        <w:rPr>
          <w:rFonts w:ascii="Arial" w:hAnsi="Arial" w:cs="Lucidasans"/>
          <w:sz w:val="20"/>
          <w:szCs w:val="20"/>
          <w:lang/>
        </w:rPr>
      </w:pPr>
      <w:bookmarkStart w:id="0" w:name="_GoBack"/>
      <w:bookmarkEnd w:id="0"/>
    </w:p>
    <w:p w:rsidR="00000000" w:rsidRDefault="00700E66">
      <w:pPr>
        <w:pStyle w:val="BodyText"/>
        <w:jc w:val="center"/>
        <w:rPr>
          <w:rStyle w:val="Strong"/>
          <w:rFonts w:ascii="Arial" w:hAnsi="Arial" w:cs="Lucidasans"/>
          <w:color w:val="000080"/>
          <w:sz w:val="20"/>
          <w:szCs w:val="20"/>
          <w:lang/>
        </w:rPr>
      </w:pPr>
      <w:r>
        <w:rPr>
          <w:rStyle w:val="Strong"/>
          <w:rFonts w:ascii="Arial" w:hAnsi="Arial" w:cs="Lucidasans"/>
          <w:color w:val="000080"/>
          <w:sz w:val="20"/>
          <w:szCs w:val="20"/>
          <w:lang/>
        </w:rPr>
        <w:t>SUPERINTENDENCIA DE SERVICIOS PÚBLICOS DOMICILIARIOS</w:t>
      </w:r>
    </w:p>
    <w:p w:rsidR="00000000" w:rsidRDefault="00700E66">
      <w:pPr>
        <w:pStyle w:val="BodyText"/>
        <w:jc w:val="center"/>
        <w:rPr>
          <w:rStyle w:val="Strong"/>
          <w:rFonts w:ascii="Arial" w:hAnsi="Arial" w:cs="Lucidasans"/>
          <w:color w:val="000000"/>
          <w:sz w:val="20"/>
          <w:szCs w:val="20"/>
          <w:lang/>
        </w:rPr>
      </w:pP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CONCEPTO JURÍDICO No.</w:t>
      </w: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 xml:space="preserve"> 527 </w:t>
      </w: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 xml:space="preserve">DE 2011 </w:t>
      </w:r>
    </w:p>
    <w:p w:rsidR="00000000" w:rsidRDefault="00700E66">
      <w:pPr>
        <w:pStyle w:val="BodyText"/>
        <w:spacing w:line="244" w:lineRule="atLeast"/>
        <w:jc w:val="center"/>
        <w:rPr>
          <w:rFonts w:ascii="Arial" w:hAnsi="Arial" w:cs="Lucidasans"/>
          <w:color w:val="800000"/>
          <w:sz w:val="20"/>
          <w:szCs w:val="20"/>
          <w:lang/>
        </w:rPr>
      </w:pPr>
      <w:r>
        <w:rPr>
          <w:rFonts w:ascii="Arial" w:hAnsi="Arial" w:cs="Lucidasans"/>
          <w:color w:val="800000"/>
          <w:sz w:val="20"/>
          <w:szCs w:val="20"/>
          <w:lang/>
        </w:rPr>
        <w:t>(septiembre 09)</w:t>
      </w:r>
    </w:p>
    <w:p w:rsidR="00000000" w:rsidRDefault="00700E66">
      <w:pPr>
        <w:pStyle w:val="BodyText"/>
        <w:spacing w:line="244" w:lineRule="atLeast"/>
        <w:jc w:val="center"/>
        <w:rPr>
          <w:rFonts w:ascii="Arial" w:hAnsi="Arial" w:cs="Lucidasans"/>
          <w:sz w:val="20"/>
          <w:szCs w:val="20"/>
          <w:lang/>
        </w:rPr>
      </w:pPr>
    </w:p>
    <w:p w:rsidR="00000000" w:rsidRDefault="00700E66">
      <w:pPr>
        <w:pStyle w:val="BodyText"/>
        <w:spacing w:after="0" w:line="198" w:lineRule="atLeast"/>
        <w:rPr>
          <w:rFonts w:ascii="Arial" w:hAnsi="Arial" w:cs="Lucidasans"/>
          <w:sz w:val="20"/>
          <w:szCs w:val="20"/>
          <w:lang/>
        </w:rPr>
      </w:pPr>
      <w:r>
        <w:rPr>
          <w:rFonts w:ascii="Arial" w:hAnsi="Arial" w:cs="Lucidasans"/>
          <w:sz w:val="20"/>
          <w:szCs w:val="20"/>
          <w:lang/>
        </w:rPr>
        <w:t> </w:t>
      </w:r>
    </w:p>
    <w:p w:rsidR="00000000" w:rsidRDefault="00700E66">
      <w:pPr>
        <w:pStyle w:val="BodyText"/>
        <w:spacing w:after="0" w:line="198" w:lineRule="atLeast"/>
        <w:rPr>
          <w:rFonts w:ascii="Arial" w:hAnsi="Arial" w:cs="Lucidasans"/>
          <w:color w:val="000000"/>
          <w:position w:val="8"/>
          <w:sz w:val="20"/>
          <w:szCs w:val="20"/>
          <w:lang/>
        </w:rPr>
      </w:pP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Ref. Su solicitud de concepto</w:t>
      </w:r>
      <w:r>
        <w:rPr>
          <w:rFonts w:ascii="Arial" w:hAnsi="Arial" w:cs="Lucidasans"/>
          <w:color w:val="000000"/>
          <w:position w:val="8"/>
          <w:sz w:val="20"/>
          <w:szCs w:val="20"/>
          <w:lang/>
        </w:rPr>
        <w:t>1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</w:p>
    <w:p w:rsidR="00000000" w:rsidRDefault="00700E66">
      <w:pPr>
        <w:pStyle w:val="BodyText"/>
        <w:spacing w:after="0" w:line="198" w:lineRule="atLeast"/>
        <w:jc w:val="both"/>
        <w:rPr>
          <w:rStyle w:val="Emphasis"/>
          <w:rFonts w:ascii="Arial" w:hAnsi="Arial" w:cs="Lucidasans"/>
          <w:color w:val="000000"/>
          <w:sz w:val="20"/>
          <w:szCs w:val="20"/>
          <w:lang/>
        </w:rPr>
      </w:pP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>La consulta se basa en el proceso de actualización estatutaria que lleva a cabo una asociación de usuarios que prest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a el servicio público de acueducto y alcantarillado y solicita a esta Oficina Asesora Jurídica aclarar las siguientes inquietudes: </w:t>
      </w:r>
    </w:p>
    <w:p w:rsidR="00000000" w:rsidRDefault="00700E66">
      <w:pPr>
        <w:pStyle w:val="BodyText"/>
        <w:numPr>
          <w:ilvl w:val="0"/>
          <w:numId w:val="1"/>
        </w:numPr>
        <w:tabs>
          <w:tab w:val="left" w:pos="707"/>
        </w:tabs>
        <w:spacing w:after="0" w:line="198" w:lineRule="atLeast"/>
        <w:jc w:val="both"/>
        <w:rPr>
          <w:rStyle w:val="Emphasis"/>
          <w:rFonts w:ascii="Arial" w:hAnsi="Arial" w:cs="Lucidasans"/>
          <w:color w:val="000000"/>
          <w:sz w:val="20"/>
          <w:szCs w:val="20"/>
          <w:lang/>
        </w:rPr>
      </w:pP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>(…) “ Un modelo de estatutos es simplemente eso, o deben ajustarse no a un modelo sino a una regla específica estructural de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 estatuto?</w:t>
      </w:r>
    </w:p>
    <w:p w:rsidR="00000000" w:rsidRDefault="00700E66">
      <w:pPr>
        <w:pStyle w:val="BodyText"/>
        <w:numPr>
          <w:ilvl w:val="0"/>
          <w:numId w:val="1"/>
        </w:numPr>
        <w:tabs>
          <w:tab w:val="left" w:pos="707"/>
        </w:tabs>
        <w:spacing w:after="0" w:line="198" w:lineRule="atLeast"/>
        <w:jc w:val="both"/>
        <w:rPr>
          <w:rStyle w:val="Emphasis"/>
          <w:rFonts w:ascii="Arial" w:hAnsi="Arial" w:cs="Lucidasans"/>
          <w:color w:val="000000"/>
          <w:sz w:val="20"/>
          <w:szCs w:val="20"/>
          <w:lang/>
        </w:rPr>
      </w:pP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Si esto es correcto, entonces la organización asociativa comunitaria puede escoger una estructura organizativa tipo ONG o COOPERATIVA, y en todo caso por su derecho de autonomía constitucional puede darse un cuerpo estatutario moderno(…) </w:t>
      </w:r>
    </w:p>
    <w:p w:rsidR="00000000" w:rsidRDefault="00700E66">
      <w:pPr>
        <w:pStyle w:val="BodyText"/>
        <w:numPr>
          <w:ilvl w:val="0"/>
          <w:numId w:val="1"/>
        </w:numPr>
        <w:tabs>
          <w:tab w:val="left" w:pos="707"/>
        </w:tabs>
        <w:spacing w:after="0" w:line="198" w:lineRule="atLeast"/>
        <w:jc w:val="both"/>
        <w:rPr>
          <w:rStyle w:val="Emphasis"/>
          <w:rFonts w:ascii="Arial" w:hAnsi="Arial" w:cs="Lucidasans"/>
          <w:color w:val="000000"/>
          <w:sz w:val="20"/>
          <w:szCs w:val="20"/>
          <w:lang/>
        </w:rPr>
      </w:pP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>Dentro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 de esa estructura de poder y control (…) no necesita de acuerdo a la ley vigente nombrar un revisor fiscal, contador público titulado que es un gasto innecesario si la organización tiene dentro de su estructura administrativa un contador también titulado,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 quien responde y certifica las cuentas de los estados financieros.”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 xml:space="preserve">Vale la pena aclarar, previa resolución a la consulta; que el presente documento tiene como fundamento el Artículo </w:t>
      </w:r>
      <w:r>
        <w:rPr>
          <w:rFonts w:ascii="Arial" w:hAnsi="Arial" w:cs="Lucidasans"/>
          <w:sz w:val="20"/>
          <w:szCs w:val="20"/>
          <w:lang/>
        </w:rPr>
        <w:t>25</w:t>
      </w:r>
      <w:r>
        <w:rPr>
          <w:rStyle w:val="Emphasis"/>
          <w:rFonts w:ascii="Arial" w:hAnsi="Arial" w:cs="Lucidasans"/>
          <w:color w:val="000000"/>
          <w:position w:val="8"/>
          <w:sz w:val="20"/>
          <w:szCs w:val="20"/>
          <w:lang/>
        </w:rPr>
        <w:t>2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</w:t>
      </w:r>
      <w:r>
        <w:rPr>
          <w:rFonts w:ascii="Arial" w:hAnsi="Arial" w:cs="Lucidasans"/>
          <w:color w:val="000000"/>
          <w:sz w:val="20"/>
          <w:szCs w:val="20"/>
          <w:lang/>
        </w:rPr>
        <w:t>del Código Contencioso Administrativo, es decir, que la respuesta al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derecho de petición formulado en la modalidad de consulta, como en el presente caso, es general y abstracta, que en ningún caso compromete la responsabilidad de la Oficina Asesora Jurídica de la Superintendencia de Servicios Públicos Domiciliarios, ya que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no es vinculante y no hace referencia a un caso particular y concreto.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 xml:space="preserve">Adicionalmente, una vez analizadas las funciones a cargo de esta entidad, previstas en el artículo </w:t>
      </w:r>
      <w:r>
        <w:rPr>
          <w:rFonts w:ascii="Arial" w:hAnsi="Arial" w:cs="Lucidasans"/>
          <w:sz w:val="20"/>
          <w:szCs w:val="20"/>
          <w:lang/>
        </w:rPr>
        <w:t xml:space="preserve">79 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de la </w:t>
      </w:r>
      <w:hyperlink r:id="rId6" w:history="1">
        <w:r>
          <w:rPr>
            <w:rStyle w:val="Hyperlink"/>
            <w:rFonts w:ascii="Arial" w:hAnsi="Arial"/>
            <w:lang/>
          </w:rPr>
          <w:t>Ley 142 de 1994</w:t>
        </w:r>
      </w:hyperlink>
      <w:r>
        <w:rPr>
          <w:rFonts w:ascii="Arial" w:hAnsi="Arial" w:cs="Lucidasans"/>
          <w:color w:val="000000"/>
          <w:sz w:val="20"/>
          <w:szCs w:val="20"/>
          <w:lang/>
        </w:rPr>
        <w:t>, esta entidad carece de competencia para indicarle una regla estructural de estatuto, o una forma asociativa específica dentro de las personas jurídicas sin ánimo de lucro ya que como se señaló, corresponde a la asociación de usuarios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en ejercicio de su autonomía constitucional, determinar la forma jurídica particular y cumplir los requisitos propios de cada régimen legal. 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 xml:space="preserve">Hecha la anterior aclaración, damos respuesta a su inquietud en los siguientes términos: 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>Las comunidades organiz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adas están autorizadas por la </w:t>
      </w:r>
      <w:hyperlink r:id="rId7" w:history="1">
        <w:r>
          <w:rPr>
            <w:rStyle w:val="Hyperlink"/>
            <w:rFonts w:ascii="Arial" w:hAnsi="Arial"/>
            <w:lang/>
          </w:rPr>
          <w:t>Ley 142 de 1994</w:t>
        </w:r>
      </w:hyperlink>
      <w:r>
        <w:rPr>
          <w:rFonts w:ascii="Arial" w:hAnsi="Arial" w:cs="Lucidasans"/>
          <w:color w:val="000000"/>
          <w:sz w:val="20"/>
          <w:szCs w:val="20"/>
          <w:lang/>
        </w:rPr>
        <w:t xml:space="preserve"> artículo </w:t>
      </w:r>
      <w:r>
        <w:rPr>
          <w:rFonts w:ascii="Arial" w:hAnsi="Arial" w:cs="Lucidasans"/>
          <w:sz w:val="20"/>
          <w:szCs w:val="20"/>
          <w:lang/>
        </w:rPr>
        <w:t xml:space="preserve">15,4 </w:t>
      </w:r>
      <w:r>
        <w:rPr>
          <w:rFonts w:ascii="Arial" w:hAnsi="Arial" w:cs="Lucidasans"/>
          <w:color w:val="000000"/>
          <w:sz w:val="20"/>
          <w:szCs w:val="20"/>
          <w:lang/>
        </w:rPr>
        <w:t>para prestar servicios públicos domiciliarios.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>Ahora bien, pueden adoptar cualquiera de las formas asociativas enm</w:t>
      </w:r>
      <w:r>
        <w:rPr>
          <w:rFonts w:ascii="Arial" w:hAnsi="Arial" w:cs="Lucidasans"/>
          <w:color w:val="000000"/>
          <w:sz w:val="20"/>
          <w:szCs w:val="20"/>
          <w:lang/>
        </w:rPr>
        <w:t>arcadas dentro de la modalidad de personas jurídicas sin ánimo de lucro, en virtud del ejercicio de la libre autonomía de la voluntad,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de los principios constitucionales de libertad de empresa (artículo </w:t>
      </w:r>
      <w:r>
        <w:rPr>
          <w:rFonts w:ascii="Arial" w:hAnsi="Arial" w:cs="Lucidasans"/>
          <w:sz w:val="20"/>
          <w:szCs w:val="20"/>
          <w:lang/>
        </w:rPr>
        <w:t>333)</w:t>
      </w:r>
      <w:r>
        <w:rPr>
          <w:rFonts w:ascii="Arial" w:hAnsi="Arial" w:cs="Lucidasans"/>
          <w:color w:val="000000"/>
          <w:sz w:val="20"/>
          <w:szCs w:val="20"/>
          <w:lang/>
        </w:rPr>
        <w:t>, de escogencia de profesión u oficio (artículo</w:t>
      </w:r>
      <w:r>
        <w:rPr>
          <w:rFonts w:ascii="Arial" w:hAnsi="Arial" w:cs="Lucidasans"/>
          <w:sz w:val="20"/>
          <w:szCs w:val="20"/>
          <w:lang/>
        </w:rPr>
        <w:t xml:space="preserve"> 2</w:t>
      </w:r>
      <w:r>
        <w:rPr>
          <w:rFonts w:ascii="Arial" w:hAnsi="Arial" w:cs="Lucidasans"/>
          <w:sz w:val="20"/>
          <w:szCs w:val="20"/>
          <w:lang/>
        </w:rPr>
        <w:t>5</w:t>
      </w:r>
      <w:r>
        <w:rPr>
          <w:rFonts w:ascii="Arial" w:hAnsi="Arial" w:cs="Lucidasans"/>
          <w:color w:val="000000"/>
          <w:sz w:val="20"/>
          <w:szCs w:val="20"/>
          <w:lang/>
        </w:rPr>
        <w:t>), y de la libre iniciativa privada, siempre que no vaya contra ley o la moral y orden públicos.</w:t>
      </w:r>
    </w:p>
    <w:p w:rsidR="00000000" w:rsidRDefault="00700E66">
      <w:pPr>
        <w:pStyle w:val="BodyText"/>
        <w:spacing w:after="0" w:line="198" w:lineRule="atLeast"/>
        <w:ind w:right="28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>Ahora bien, hay que diferenciar entre las disposiciones del régimen de servicios públicos domiciliarios, aplicable a quien tienen la calidad de prestador de e</w:t>
      </w:r>
      <w:r>
        <w:rPr>
          <w:rFonts w:ascii="Arial" w:hAnsi="Arial" w:cs="Lucidasans"/>
          <w:color w:val="000000"/>
          <w:sz w:val="20"/>
          <w:szCs w:val="20"/>
          <w:lang/>
        </w:rPr>
        <w:t>ste tipo de servicios, de las disposiciones particulares que regulan cada tipo organizativo.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>Esto, debido a que dentro del género comunidades organizadas, caben como especie, las juntas de acción comunal, las administraciones públicas cooperativas, las aso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ciaciones de usuarios, entre otras formas asociativas </w:t>
      </w: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cuyo régimen legal de constitución y funcionamiento esta estipulada en la ley de manera particular y corresponde a quiénes tienen la voluntad de asociarse, definir la figura a través de la cuál van a op</w:t>
      </w: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erar y en consecuencia, seguir el procedimiento que cada régimen señale para su constitución</w:t>
      </w:r>
      <w:r>
        <w:rPr>
          <w:rFonts w:ascii="Arial" w:hAnsi="Arial" w:cs="Lucidasans"/>
          <w:color w:val="000000"/>
          <w:sz w:val="20"/>
          <w:szCs w:val="20"/>
          <w:lang/>
        </w:rPr>
        <w:t>.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 xml:space="preserve">Tratándose de comunidades organizadas (artículo </w:t>
      </w:r>
      <w:r>
        <w:rPr>
          <w:rFonts w:ascii="Arial" w:hAnsi="Arial" w:cs="Lucidasans"/>
          <w:sz w:val="20"/>
          <w:szCs w:val="20"/>
          <w:lang/>
        </w:rPr>
        <w:t>15,4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</w:t>
      </w:r>
      <w:hyperlink r:id="rId8" w:history="1">
        <w:r>
          <w:rPr>
            <w:rStyle w:val="Hyperlink"/>
            <w:rFonts w:ascii="Arial" w:hAnsi="Arial"/>
            <w:lang/>
          </w:rPr>
          <w:t>Ley 142 de 1994</w:t>
        </w:r>
      </w:hyperlink>
      <w:r>
        <w:rPr>
          <w:rFonts w:ascii="Arial" w:hAnsi="Arial" w:cs="Lucidasans"/>
          <w:color w:val="000000"/>
          <w:sz w:val="20"/>
          <w:szCs w:val="20"/>
          <w:lang/>
        </w:rPr>
        <w:t>), los requi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sitos mínimos a cumplir para prestar servicios públicos domiciliarios, fuera de los especificados en el régimen legal particular de acuerdo a la forma que adopten, son: el deber de registrarse en la Cámara de </w:t>
      </w:r>
      <w:r>
        <w:rPr>
          <w:rFonts w:ascii="Arial" w:hAnsi="Arial" w:cs="Lucidasans"/>
          <w:color w:val="000000"/>
          <w:sz w:val="20"/>
          <w:szCs w:val="20"/>
          <w:lang/>
        </w:rPr>
        <w:t>Comercio con jurisdicción en su respectivo domi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cilio (artículo </w:t>
      </w:r>
      <w:r>
        <w:rPr>
          <w:rFonts w:ascii="Arial" w:hAnsi="Arial" w:cs="Lucidasans"/>
          <w:sz w:val="20"/>
          <w:szCs w:val="20"/>
          <w:lang/>
        </w:rPr>
        <w:t xml:space="preserve">3 </w:t>
      </w:r>
      <w:hyperlink r:id="rId9" w:history="1">
        <w:r>
          <w:rPr>
            <w:rStyle w:val="Hyperlink"/>
            <w:rFonts w:ascii="Arial" w:hAnsi="Arial"/>
            <w:lang/>
          </w:rPr>
          <w:t>Decreto 421 de 2000</w:t>
        </w:r>
      </w:hyperlink>
      <w:r>
        <w:rPr>
          <w:rFonts w:ascii="Arial" w:hAnsi="Arial" w:cs="Lucidasans"/>
          <w:color w:val="000000"/>
          <w:sz w:val="20"/>
          <w:szCs w:val="20"/>
          <w:lang/>
        </w:rPr>
        <w:t>), registrarse ante la Superintendencia de Servicios Públicos Domiciliarios y la Comisión de Regulación de Agua Potable y Saneamiento Bás</w:t>
      </w:r>
      <w:r>
        <w:rPr>
          <w:rFonts w:ascii="Arial" w:hAnsi="Arial" w:cs="Lucidasans"/>
          <w:color w:val="000000"/>
          <w:sz w:val="20"/>
          <w:szCs w:val="20"/>
          <w:lang/>
        </w:rPr>
        <w:t>ico y obtener las respectivas concesiones, permisos y licencias a que se refieren los artículos</w:t>
      </w:r>
      <w:r>
        <w:rPr>
          <w:rFonts w:ascii="Arial" w:hAnsi="Arial" w:cs="Lucidasans"/>
          <w:sz w:val="20"/>
          <w:szCs w:val="20"/>
          <w:lang/>
        </w:rPr>
        <w:t xml:space="preserve"> 25 y 26 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de la </w:t>
      </w:r>
      <w:hyperlink r:id="rId10" w:history="1">
        <w:r>
          <w:rPr>
            <w:rStyle w:val="Hyperlink"/>
            <w:rFonts w:ascii="Arial" w:hAnsi="Arial"/>
            <w:lang/>
          </w:rPr>
          <w:t>Ley 142 de 1994</w:t>
        </w:r>
      </w:hyperlink>
      <w:r>
        <w:rPr>
          <w:rFonts w:ascii="Arial" w:hAnsi="Arial" w:cs="Lucidasans"/>
          <w:color w:val="000000"/>
          <w:sz w:val="20"/>
          <w:szCs w:val="20"/>
          <w:lang/>
        </w:rPr>
        <w:t>.</w:t>
      </w:r>
    </w:p>
    <w:p w:rsidR="00000000" w:rsidRDefault="00700E66">
      <w:pPr>
        <w:pStyle w:val="BodyText"/>
        <w:spacing w:after="0" w:line="198" w:lineRule="atLeast"/>
        <w:ind w:right="28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>En caso de pretenderse conformar una cooperativ</w:t>
      </w:r>
      <w:r>
        <w:rPr>
          <w:rFonts w:ascii="Arial" w:hAnsi="Arial" w:cs="Lucidasans"/>
          <w:color w:val="000000"/>
          <w:sz w:val="20"/>
          <w:szCs w:val="20"/>
          <w:lang/>
        </w:rPr>
        <w:t>a prestadora de servicios públicos, está deberá tener en cuenta las disposiciones particulares contenidas en la Ley 79 de 1989 y la Ley 454 de 1994.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>Ahora bien, esta Oficina Asesora Jurídica ya se ha pronunciado sobre los requisitos y particularidades de l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a constitución de comunidades organizadas prestadoras de servicios públicos domiciliarios y debido a la pertinencia para la consulta planteada, nos permitimos ratificar lo expuesto en Concepto </w:t>
      </w:r>
      <w:r>
        <w:rPr>
          <w:rFonts w:ascii="Arial" w:hAnsi="Arial" w:cs="Lucidasans"/>
          <w:sz w:val="20"/>
          <w:szCs w:val="20"/>
          <w:lang/>
        </w:rPr>
        <w:t>SSPD-OAJ-2011-</w:t>
      </w:r>
      <w:r>
        <w:rPr>
          <w:rFonts w:ascii="Arial" w:hAnsi="Arial" w:cs="Lucidasans"/>
          <w:sz w:val="20"/>
          <w:szCs w:val="20"/>
          <w:lang/>
        </w:rPr>
        <w:lastRenderedPageBreak/>
        <w:t>414</w:t>
      </w:r>
      <w:r>
        <w:rPr>
          <w:rFonts w:ascii="Arial" w:hAnsi="Arial" w:cs="Lucidasans"/>
          <w:color w:val="000000"/>
          <w:sz w:val="20"/>
          <w:szCs w:val="20"/>
          <w:lang/>
        </w:rPr>
        <w:t>, que señaló:</w:t>
      </w:r>
    </w:p>
    <w:p w:rsidR="00000000" w:rsidRDefault="00700E66">
      <w:pPr>
        <w:pStyle w:val="BodyText"/>
        <w:spacing w:after="0" w:line="198" w:lineRule="atLeast"/>
        <w:ind w:left="573" w:right="629"/>
        <w:jc w:val="both"/>
        <w:rPr>
          <w:rStyle w:val="Emphasis"/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>“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(…) la Ley 142 ha dispuesto en 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los artículos </w:t>
      </w:r>
      <w:r>
        <w:rPr>
          <w:rFonts w:ascii="Arial" w:hAnsi="Arial" w:cs="Lucidasans"/>
          <w:sz w:val="20"/>
          <w:szCs w:val="20"/>
          <w:lang/>
        </w:rPr>
        <w:t>15.4 y 20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, aspectos particulares y especiales de la constitución de las comunidades organizadas; el </w:t>
      </w:r>
      <w:hyperlink r:id="rId11" w:history="1">
        <w:r>
          <w:rPr>
            <w:rStyle w:val="Hyperlink"/>
            <w:rFonts w:ascii="Arial" w:hAnsi="Arial"/>
            <w:lang/>
          </w:rPr>
          <w:t>Decreto 421 de 2000</w:t>
        </w:r>
      </w:hyperlink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 de manera consecuente con la ley reglame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>ntó lo específico en materia de acueducto y saneamiento básico, y la Corte Constitucional en Sentencia</w:t>
      </w:r>
      <w:r>
        <w:rPr>
          <w:rFonts w:ascii="Arial" w:hAnsi="Arial" w:cs="Lucidasans"/>
          <w:sz w:val="20"/>
          <w:szCs w:val="20"/>
          <w:lang/>
        </w:rPr>
        <w:t xml:space="preserve"> C-741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 de 2003 desarrolló elementos concretos a los distintos regímenes que admite la noción “comunidades organizadas” conforme al estudio de constitucion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alidad que la Corte realizó frente al artículo 15 numeral </w:t>
      </w:r>
      <w:r>
        <w:rPr>
          <w:rFonts w:ascii="Arial" w:hAnsi="Arial" w:cs="Lucidasans"/>
          <w:sz w:val="20"/>
          <w:szCs w:val="20"/>
          <w:lang/>
        </w:rPr>
        <w:t xml:space="preserve">4 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de la </w:t>
      </w:r>
      <w:hyperlink r:id="rId12" w:history="1">
        <w:r>
          <w:rPr>
            <w:rStyle w:val="Hyperlink"/>
            <w:rFonts w:ascii="Arial" w:hAnsi="Arial"/>
            <w:lang/>
          </w:rPr>
          <w:t>Ley 142 de 1994</w:t>
        </w:r>
      </w:hyperlink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>.</w:t>
      </w:r>
    </w:p>
    <w:p w:rsidR="00000000" w:rsidRDefault="00700E66">
      <w:pPr>
        <w:pStyle w:val="BodyText"/>
        <w:spacing w:after="0" w:line="198" w:lineRule="atLeast"/>
        <w:ind w:left="573" w:right="629"/>
        <w:jc w:val="both"/>
        <w:rPr>
          <w:rStyle w:val="Emphasis"/>
          <w:rFonts w:ascii="Arial" w:hAnsi="Arial" w:cs="Lucidasans"/>
          <w:color w:val="000000"/>
          <w:sz w:val="20"/>
          <w:szCs w:val="20"/>
          <w:lang/>
        </w:rPr>
      </w:pP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>Así, la Corte en el fallo referido, con el fin de emplear el término más amplio posible que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 abarque las personas jurídicas sin ánimo de lucro que puedan prestar servicios públicos, empleó el término organizaciones solidarias término para referirse a: las fundaciones; asociaciones de beneficio común; las cooperativas; los organismos de segundo y 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>tercer grado que agrupen cooperativas u otras formas asociativas y solidarias de propiedad; las instituciones auxiliares de la economía solidaria; las empresas comunitarias; las empresas solidarias de salud; las precooperativas; los fondos de empleados; la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s asociaciones mutualistas; las empresas de servicios en las formas de administraciones públicas cooperativas; las empresas asociativas de trabajo; y todas aquellas formas </w:t>
      </w: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asociativas solidarias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 a que hace referencia el parágrafo 2º del artículo</w:t>
      </w:r>
      <w:r>
        <w:rPr>
          <w:rFonts w:ascii="Arial" w:hAnsi="Arial" w:cs="Lucidasans"/>
          <w:sz w:val="20"/>
          <w:szCs w:val="20"/>
          <w:lang/>
        </w:rPr>
        <w:t xml:space="preserve"> 6 </w:t>
      </w: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de la </w:t>
      </w:r>
      <w:hyperlink r:id="rId13" w:history="1">
        <w:r>
          <w:rPr>
            <w:rStyle w:val="Hyperlink"/>
            <w:rFonts w:ascii="Arial" w:hAnsi="Arial"/>
            <w:lang/>
          </w:rPr>
          <w:t>Ley 454 de 1998</w:t>
        </w:r>
      </w:hyperlink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. </w:t>
      </w:r>
    </w:p>
    <w:p w:rsidR="00000000" w:rsidRDefault="00700E66">
      <w:pPr>
        <w:pStyle w:val="BodyText"/>
        <w:spacing w:after="0" w:line="198" w:lineRule="atLeast"/>
        <w:ind w:left="573" w:right="629"/>
        <w:jc w:val="both"/>
        <w:rPr>
          <w:rStyle w:val="Emphasis"/>
          <w:rFonts w:ascii="Arial" w:hAnsi="Arial" w:cs="Lucidasans"/>
          <w:sz w:val="20"/>
          <w:szCs w:val="20"/>
          <w:lang/>
        </w:rPr>
      </w:pPr>
      <w:r>
        <w:rPr>
          <w:rStyle w:val="Emphasis"/>
          <w:rFonts w:ascii="Arial" w:hAnsi="Arial" w:cs="Lucidasans"/>
          <w:sz w:val="20"/>
          <w:szCs w:val="20"/>
          <w:lang/>
        </w:rPr>
        <w:t xml:space="preserve">Al respecto, conforme a lo previsto en la </w:t>
      </w:r>
      <w:hyperlink r:id="rId14" w:history="1">
        <w:r>
          <w:rPr>
            <w:rStyle w:val="Hyperlink"/>
            <w:rFonts w:ascii="Arial" w:hAnsi="Arial"/>
            <w:lang/>
          </w:rPr>
          <w:t>Ley 142 de 1994</w:t>
        </w:r>
      </w:hyperlink>
      <w:r>
        <w:rPr>
          <w:rStyle w:val="Emphasis"/>
          <w:rFonts w:ascii="Arial" w:hAnsi="Arial" w:cs="Lucidasans"/>
          <w:sz w:val="20"/>
          <w:szCs w:val="20"/>
          <w:lang/>
        </w:rPr>
        <w:t xml:space="preserve"> y en la Circular 01 de 1996 de </w:t>
      </w:r>
      <w:r>
        <w:rPr>
          <w:rStyle w:val="Emphasis"/>
          <w:rFonts w:ascii="Arial" w:hAnsi="Arial" w:cs="Lucidasans"/>
          <w:sz w:val="20"/>
          <w:szCs w:val="20"/>
          <w:lang/>
        </w:rPr>
        <w:t>la Comisión de Regulación de Agua Potable y Saneamiento Básico referente a la prestación de los servicios públicos domiciliarios en municipios menores y zonas rurales dirigida a los alcaldes y personas prestadoras de servicios públicos dichos lugares, pued</w:t>
      </w:r>
      <w:r>
        <w:rPr>
          <w:rStyle w:val="Emphasis"/>
          <w:rFonts w:ascii="Arial" w:hAnsi="Arial" w:cs="Lucidasans"/>
          <w:sz w:val="20"/>
          <w:szCs w:val="20"/>
          <w:lang/>
        </w:rPr>
        <w:t>en prestar servicios públicos domiciliarios de agua potable y saneamiento básico tanto las organizaciones comunitarias (como juntas de acción comunal, juntas administradoras y asociaciones de usuarios) como las organizaciones de carácter asociativo: precoo</w:t>
      </w:r>
      <w:r>
        <w:rPr>
          <w:rStyle w:val="Emphasis"/>
          <w:rFonts w:ascii="Arial" w:hAnsi="Arial" w:cs="Lucidasans"/>
          <w:sz w:val="20"/>
          <w:szCs w:val="20"/>
          <w:lang/>
        </w:rPr>
        <w:t>perativas, cooperativas (</w:t>
      </w:r>
      <w:hyperlink r:id="rId15" w:history="1">
        <w:r>
          <w:rPr>
            <w:rStyle w:val="Hyperlink"/>
            <w:rFonts w:ascii="Arial" w:hAnsi="Arial"/>
            <w:lang/>
          </w:rPr>
          <w:t>Ley 454 de 1998</w:t>
        </w:r>
      </w:hyperlink>
      <w:r>
        <w:rPr>
          <w:rStyle w:val="Emphasis"/>
          <w:rFonts w:ascii="Arial" w:hAnsi="Arial" w:cs="Lucidasans"/>
          <w:sz w:val="20"/>
          <w:szCs w:val="20"/>
          <w:lang/>
        </w:rPr>
        <w:t>) y administración pública cooperativa (Decreto 1482 de 1989), tema que ha sido desarrollado en detalle en la Cartilla “Organicemos Nuestra Empresa</w:t>
      </w:r>
      <w:r>
        <w:rPr>
          <w:rStyle w:val="Emphasis"/>
          <w:rFonts w:ascii="Arial" w:hAnsi="Arial" w:cs="Lucidasans"/>
          <w:sz w:val="20"/>
          <w:szCs w:val="20"/>
          <w:lang/>
        </w:rPr>
        <w:t xml:space="preserve"> de Acueducto y Alcantarillado” publicada por el Ministerio de Ambiente, Vivienda y Desarrollo Territorial.</w:t>
      </w:r>
    </w:p>
    <w:p w:rsidR="00000000" w:rsidRDefault="00700E66">
      <w:pPr>
        <w:pStyle w:val="BodyText"/>
        <w:spacing w:after="0" w:line="198" w:lineRule="atLeast"/>
        <w:ind w:left="573" w:right="612"/>
        <w:jc w:val="both"/>
        <w:rPr>
          <w:rStyle w:val="Emphasis"/>
          <w:rFonts w:ascii="Arial" w:hAnsi="Arial" w:cs="Lucidasans"/>
          <w:sz w:val="20"/>
          <w:szCs w:val="20"/>
          <w:lang/>
        </w:rPr>
      </w:pPr>
      <w:r>
        <w:rPr>
          <w:rStyle w:val="Emphasis"/>
          <w:rFonts w:ascii="Arial" w:hAnsi="Arial" w:cs="Lucidasans"/>
          <w:sz w:val="20"/>
          <w:szCs w:val="20"/>
          <w:lang/>
        </w:rPr>
        <w:t xml:space="preserve">Estas organizaciones se rigen entre otras disposiciones por los artículos </w:t>
      </w:r>
      <w:r>
        <w:rPr>
          <w:rFonts w:ascii="Arial" w:hAnsi="Arial" w:cs="Lucidasans"/>
          <w:sz w:val="20"/>
          <w:szCs w:val="20"/>
          <w:lang/>
        </w:rPr>
        <w:t>40 a 45 y 143 a 148</w:t>
      </w:r>
      <w:r>
        <w:rPr>
          <w:rStyle w:val="Emphasis"/>
          <w:rFonts w:ascii="Arial" w:hAnsi="Arial" w:cs="Lucidasans"/>
          <w:sz w:val="20"/>
          <w:szCs w:val="20"/>
          <w:lang/>
        </w:rPr>
        <w:t xml:space="preserve"> del Decreto 2150 de 1995, en cuanto a la obtención de </w:t>
      </w:r>
      <w:r>
        <w:rPr>
          <w:rStyle w:val="Emphasis"/>
          <w:rFonts w:ascii="Arial" w:hAnsi="Arial" w:cs="Lucidasans"/>
          <w:sz w:val="20"/>
          <w:szCs w:val="20"/>
          <w:lang/>
        </w:rPr>
        <w:t xml:space="preserve">la personería jurídica, los Decretos 777 y 1403 de 1992 para la contratación para la ejecución de proyectos de inversión. </w:t>
      </w:r>
    </w:p>
    <w:p w:rsidR="00000000" w:rsidRDefault="00700E66">
      <w:pPr>
        <w:pStyle w:val="BodyText"/>
        <w:jc w:val="both"/>
        <w:rPr>
          <w:rStyle w:val="Strong"/>
          <w:rFonts w:ascii="Arial" w:hAnsi="Arial" w:cs="Lucidasans"/>
          <w:color w:val="000000"/>
          <w:sz w:val="20"/>
          <w:szCs w:val="20"/>
          <w:lang/>
        </w:rPr>
      </w:pPr>
      <w:r>
        <w:rPr>
          <w:rStyle w:val="Emphasis"/>
          <w:rFonts w:ascii="Arial" w:hAnsi="Arial" w:cs="Lucidasans"/>
          <w:color w:val="000000"/>
          <w:sz w:val="20"/>
          <w:szCs w:val="20"/>
          <w:lang/>
        </w:rPr>
        <w:t xml:space="preserve">Teniendo en cuenta lo anterior, las comunidades organizadas pueden prestar servicios públicos, </w:t>
      </w: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siempre y cuando en sus estatutos este</w:t>
      </w: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 xml:space="preserve"> previsto el desarrollo de tales actividades y observen la normatividad sobre servicios públicos consagrada en la </w:t>
      </w:r>
      <w:hyperlink r:id="rId16" w:history="1">
        <w:r>
          <w:rPr>
            <w:rStyle w:val="Hyperlink"/>
            <w:rFonts w:ascii="Arial" w:hAnsi="Arial"/>
            <w:lang/>
          </w:rPr>
          <w:t>Ley 142 de 1994</w:t>
        </w:r>
      </w:hyperlink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, en la regulación expedida por las Comisione</w:t>
      </w: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s de Regulación y demás normas aplicables a los prestadores de servicios públicos”</w:t>
      </w:r>
    </w:p>
    <w:p w:rsidR="00000000" w:rsidRDefault="00700E66">
      <w:pPr>
        <w:pStyle w:val="BodyTex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t>Ahora bien, respecto al tema de los revisores fiscales, las entidades prestadoras de servicios públicos domiciliarios constituidas como sociedades por acciones, de conformid</w:t>
      </w:r>
      <w:r>
        <w:rPr>
          <w:rFonts w:ascii="Arial" w:hAnsi="Arial" w:cs="Lucidasans"/>
          <w:color w:val="000000"/>
          <w:sz w:val="20"/>
          <w:szCs w:val="20"/>
          <w:lang/>
        </w:rPr>
        <w:t>ad con lo dispuesto en el numeral 15 del artículo</w:t>
      </w:r>
      <w:r>
        <w:rPr>
          <w:rFonts w:ascii="Arial" w:hAnsi="Arial" w:cs="Lucidasans"/>
          <w:sz w:val="20"/>
          <w:szCs w:val="20"/>
          <w:lang/>
        </w:rPr>
        <w:t xml:space="preserve"> 19 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de la </w:t>
      </w:r>
      <w:hyperlink r:id="rId17" w:history="1">
        <w:r>
          <w:rPr>
            <w:rStyle w:val="Hyperlink"/>
            <w:rFonts w:ascii="Arial" w:hAnsi="Arial"/>
            <w:lang/>
          </w:rPr>
          <w:t>Ley 142 de 1994</w:t>
        </w:r>
      </w:hyperlink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, se rigen en lo pertinente por las normas del Código de Comercio, incluyéndose dentro de tales asun</w:t>
      </w: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tos lo relativo a los revisores fiscales</w:t>
      </w:r>
      <w:r>
        <w:rPr>
          <w:rFonts w:ascii="Arial" w:hAnsi="Arial" w:cs="Lucidasans"/>
          <w:color w:val="000000"/>
          <w:sz w:val="20"/>
          <w:szCs w:val="20"/>
          <w:lang/>
        </w:rPr>
        <w:t>.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sz w:val="20"/>
          <w:szCs w:val="20"/>
          <w:lang/>
        </w:rPr>
        <w:t xml:space="preserve">De tratarse de otra clase de prestador, como las comunidades organizadas, </w:t>
      </w:r>
      <w:r>
        <w:rPr>
          <w:rStyle w:val="Strong"/>
          <w:rFonts w:ascii="Arial" w:hAnsi="Arial" w:cs="Lucidasans"/>
          <w:sz w:val="20"/>
          <w:szCs w:val="20"/>
          <w:lang/>
        </w:rPr>
        <w:t xml:space="preserve">es necesario acudir al régimen legal especial en cada caso. </w:t>
      </w:r>
      <w:r>
        <w:rPr>
          <w:rFonts w:ascii="Arial" w:hAnsi="Arial" w:cs="Lucidasans"/>
          <w:color w:val="000000"/>
          <w:sz w:val="20"/>
          <w:szCs w:val="20"/>
          <w:lang/>
        </w:rPr>
        <w:t>En este sentido, corresponde al régimen legal específico a la forma asociativa a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adoptar, señalar la necesidad o no de tener un revisor fiscal.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sz w:val="20"/>
          <w:szCs w:val="20"/>
          <w:lang/>
        </w:rPr>
      </w:pP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sz w:val="20"/>
          <w:szCs w:val="20"/>
          <w:lang/>
        </w:rPr>
      </w:pPr>
    </w:p>
    <w:p w:rsidR="00000000" w:rsidRDefault="00700E66">
      <w:pPr>
        <w:pStyle w:val="BodyText"/>
        <w:spacing w:after="0" w:line="198" w:lineRule="atLeast"/>
        <w:jc w:val="both"/>
        <w:rPr>
          <w:rStyle w:val="Emphasis"/>
          <w:rFonts w:ascii="Arial" w:hAnsi="Arial" w:cs="Lucidasans"/>
          <w:i w:val="0"/>
          <w:color w:val="000000"/>
          <w:sz w:val="20"/>
          <w:szCs w:val="20"/>
          <w:lang/>
        </w:rPr>
      </w:pPr>
      <w:r>
        <w:rPr>
          <w:rStyle w:val="Emphasis"/>
          <w:rFonts w:ascii="Arial" w:hAnsi="Arial" w:cs="Lucidasans"/>
          <w:i w:val="0"/>
          <w:color w:val="000000"/>
          <w:sz w:val="20"/>
          <w:szCs w:val="20"/>
          <w:lang/>
        </w:rPr>
        <w:t>Cordialmente,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sz w:val="20"/>
          <w:szCs w:val="20"/>
          <w:lang/>
        </w:rPr>
      </w:pP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sz w:val="20"/>
          <w:szCs w:val="20"/>
          <w:lang/>
        </w:rPr>
      </w:pPr>
    </w:p>
    <w:p w:rsidR="00000000" w:rsidRDefault="00700E66">
      <w:pPr>
        <w:pStyle w:val="BodyText"/>
        <w:spacing w:after="0" w:line="198" w:lineRule="atLeast"/>
        <w:jc w:val="both"/>
        <w:rPr>
          <w:rStyle w:val="Strong"/>
          <w:rFonts w:ascii="Arial" w:hAnsi="Arial" w:cs="Lucidasans"/>
          <w:color w:val="000000"/>
          <w:sz w:val="20"/>
          <w:szCs w:val="20"/>
          <w:lang/>
        </w:rPr>
      </w:pPr>
      <w:r>
        <w:rPr>
          <w:rStyle w:val="Strong"/>
          <w:rFonts w:ascii="Arial" w:hAnsi="Arial" w:cs="Lucidasans"/>
          <w:color w:val="000000"/>
          <w:sz w:val="20"/>
          <w:szCs w:val="20"/>
          <w:lang/>
        </w:rPr>
        <w:t>Jefe Oficina Asesora Jurídica</w:t>
      </w:r>
    </w:p>
    <w:p w:rsidR="00000000" w:rsidRDefault="00700E66">
      <w:pPr>
        <w:pStyle w:val="BodyText"/>
        <w:spacing w:after="0" w:line="198" w:lineRule="atLeast"/>
        <w:jc w:val="both"/>
        <w:rPr>
          <w:rFonts w:ascii="Arial" w:hAnsi="Arial" w:cs="Lucidasans"/>
          <w:sz w:val="20"/>
          <w:szCs w:val="20"/>
          <w:lang/>
        </w:rPr>
      </w:pPr>
    </w:p>
    <w:p w:rsidR="00000000" w:rsidRDefault="00700E66">
      <w:pPr>
        <w:rPr>
          <w:rFonts w:ascii="Arial" w:hAnsi="Arial" w:cs="Lucidasans"/>
          <w:sz w:val="20"/>
          <w:szCs w:val="20"/>
          <w:lang/>
        </w:rPr>
        <w:sectPr w:rsidR="00000000">
          <w:footnotePr>
            <w:pos w:val="beneathText"/>
          </w:footnotePr>
          <w:pgSz w:w="11905" w:h="16837"/>
          <w:pgMar w:top="1134" w:right="1134" w:bottom="1134" w:left="1134" w:header="1134" w:footer="1134" w:gutter="0"/>
          <w:cols w:space="720"/>
          <w:docGrid w:linePitch="312"/>
        </w:sectPr>
      </w:pPr>
    </w:p>
    <w:p w:rsidR="00000000" w:rsidRDefault="00700E66">
      <w:pPr>
        <w:pStyle w:val="BodyText"/>
        <w:spacing w:after="0" w:line="141" w:lineRule="atLeast"/>
        <w:rPr>
          <w:rFonts w:ascii="Arial" w:hAnsi="Arial" w:cs="Lucidasans"/>
          <w:sz w:val="20"/>
          <w:szCs w:val="20"/>
          <w:lang/>
        </w:rPr>
      </w:pPr>
      <w:r>
        <w:rPr>
          <w:rFonts w:ascii="Arial" w:hAnsi="Arial" w:cs="Lucidasans"/>
          <w:sz w:val="20"/>
          <w:szCs w:val="20"/>
          <w:lang/>
        </w:rPr>
        <w:lastRenderedPageBreak/>
        <w:t xml:space="preserve">1Reparto No. </w:t>
      </w:r>
      <w:r>
        <w:rPr>
          <w:rFonts w:ascii="Arial" w:hAnsi="Arial" w:cs="Lucidasans"/>
          <w:color w:val="000000"/>
          <w:sz w:val="20"/>
          <w:szCs w:val="20"/>
          <w:lang/>
        </w:rPr>
        <w:t>1272</w:t>
      </w:r>
      <w:r>
        <w:rPr>
          <w:rFonts w:ascii="Arial" w:hAnsi="Arial" w:cs="Lucidasans"/>
          <w:sz w:val="20"/>
          <w:szCs w:val="20"/>
          <w:lang/>
        </w:rPr>
        <w:t>. Radicado No. 20115290412482</w:t>
      </w:r>
    </w:p>
    <w:p w:rsidR="00000000" w:rsidRDefault="00700E66">
      <w:pPr>
        <w:pStyle w:val="BodyText"/>
        <w:spacing w:after="0" w:line="141" w:lineRule="atLeast"/>
        <w:rPr>
          <w:rFonts w:ascii="Arial" w:hAnsi="Arial" w:cs="Lucidasans"/>
          <w:sz w:val="20"/>
          <w:szCs w:val="20"/>
          <w:lang/>
        </w:rPr>
      </w:pPr>
    </w:p>
    <w:p w:rsidR="00000000" w:rsidRDefault="00700E66">
      <w:pPr>
        <w:pStyle w:val="BodyText"/>
        <w:spacing w:after="0" w:line="141" w:lineRule="atLeast"/>
        <w:rPr>
          <w:rFonts w:ascii="Arial" w:hAnsi="Arial" w:cs="Lucidasans"/>
          <w:sz w:val="20"/>
          <w:szCs w:val="20"/>
          <w:lang/>
        </w:rPr>
      </w:pPr>
    </w:p>
    <w:p w:rsidR="00000000" w:rsidRDefault="00700E66">
      <w:pPr>
        <w:rPr>
          <w:rFonts w:ascii="Arial" w:hAnsi="Arial" w:cs="Lucidasans"/>
          <w:color w:val="000000"/>
          <w:sz w:val="20"/>
          <w:szCs w:val="20"/>
          <w:lang/>
        </w:rPr>
        <w:sectPr w:rsidR="00000000">
          <w:footnotePr>
            <w:pos w:val="beneathText"/>
          </w:footnotePr>
          <w:type w:val="continuous"/>
          <w:pgSz w:w="11905" w:h="16837"/>
          <w:pgMar w:top="1134" w:right="1134" w:bottom="1134" w:left="1134" w:header="1134" w:footer="1134" w:gutter="0"/>
          <w:cols w:space="720"/>
          <w:docGrid w:linePitch="312"/>
        </w:sectPr>
      </w:pPr>
    </w:p>
    <w:p w:rsidR="00000000" w:rsidRDefault="00700E66">
      <w:pPr>
        <w:pStyle w:val="BodyText"/>
        <w:spacing w:after="0"/>
        <w:jc w:val="both"/>
        <w:rPr>
          <w:rFonts w:ascii="Arial" w:hAnsi="Arial" w:cs="Lucidasans"/>
          <w:color w:val="000000"/>
          <w:sz w:val="20"/>
          <w:szCs w:val="20"/>
          <w:lang/>
        </w:rPr>
      </w:pPr>
      <w:r>
        <w:rPr>
          <w:rFonts w:ascii="Arial" w:hAnsi="Arial" w:cs="Lucidasans"/>
          <w:color w:val="000000"/>
          <w:sz w:val="20"/>
          <w:szCs w:val="20"/>
          <w:lang/>
        </w:rPr>
        <w:lastRenderedPageBreak/>
        <w:t>2 ARTICULO 25. CONSULTAS. El derecho de petición incluye el de formular consultas escritas o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verbales a las autoridades, en relación con las materias a su cargo, y sin perjuicio de lo que dispongan normas especiales. </w:t>
      </w:r>
    </w:p>
    <w:p w:rsidR="00000000" w:rsidRDefault="00700E66">
      <w:pPr>
        <w:pStyle w:val="BodyText"/>
        <w:jc w:val="both"/>
        <w:rPr>
          <w:rFonts w:ascii="Arial" w:hAnsi="Arial" w:cs="Lucidasans"/>
          <w:color w:val="000000"/>
          <w:sz w:val="20"/>
          <w:szCs w:val="20"/>
          <w:lang/>
        </w:rPr>
        <w:sectPr w:rsidR="00000000">
          <w:footnotePr>
            <w:pos w:val="beneathText"/>
          </w:footnotePr>
          <w:type w:val="continuous"/>
          <w:pgSz w:w="11905" w:h="16837"/>
          <w:pgMar w:top="1134" w:right="1134" w:bottom="1134" w:left="1134" w:header="1134" w:footer="1134" w:gutter="0"/>
          <w:cols w:space="720"/>
          <w:docGrid w:linePitch="312"/>
        </w:sectPr>
      </w:pPr>
      <w:r>
        <w:rPr>
          <w:rFonts w:ascii="Arial" w:hAnsi="Arial" w:cs="Lucidasans"/>
          <w:color w:val="000000"/>
          <w:sz w:val="20"/>
          <w:szCs w:val="20"/>
          <w:lang/>
        </w:rPr>
        <w:t>Estas consultas deberán tramitarse con economía, celeridad, eficacia e imparcialidad y resolverse en un plazo máximo de treinta (3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0) días. Las respuestas en estos casos </w:t>
      </w:r>
      <w:r>
        <w:rPr>
          <w:rFonts w:ascii="Arial" w:hAnsi="Arial" w:cs="Lucidasans"/>
          <w:color w:val="000000"/>
          <w:sz w:val="20"/>
          <w:szCs w:val="20"/>
          <w:u w:val="single"/>
          <w:lang/>
        </w:rPr>
        <w:t>no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comprometerán la responsabilidad de las entidades que las atienden, </w:t>
      </w:r>
      <w:r>
        <w:rPr>
          <w:rFonts w:ascii="Arial" w:hAnsi="Arial" w:cs="Lucidasans"/>
          <w:color w:val="000000"/>
          <w:sz w:val="20"/>
          <w:szCs w:val="20"/>
          <w:u w:val="single"/>
          <w:lang/>
        </w:rPr>
        <w:t>ni</w:t>
      </w:r>
      <w:r>
        <w:rPr>
          <w:rFonts w:ascii="Arial" w:hAnsi="Arial" w:cs="Lucidasans"/>
          <w:color w:val="000000"/>
          <w:sz w:val="20"/>
          <w:szCs w:val="20"/>
          <w:lang/>
        </w:rPr>
        <w:t xml:space="preserve"> serán de obligatorio cumplimiento o ejecución. </w:t>
      </w:r>
    </w:p>
    <w:p w:rsidR="00700E66" w:rsidRDefault="00700E66">
      <w:pPr>
        <w:rPr>
          <w:rFonts w:ascii="Arial" w:hAnsi="Arial" w:cs="Lucidasans"/>
          <w:sz w:val="20"/>
          <w:szCs w:val="20"/>
          <w:lang/>
        </w:rPr>
      </w:pPr>
    </w:p>
    <w:sectPr w:rsidR="00700E66">
      <w:footnotePr>
        <w:pos w:val="beneathText"/>
      </w:footnotePr>
      <w:type w:val="continuous"/>
      <w:pgSz w:w="11905" w:h="16837"/>
      <w:pgMar w:top="1134" w:right="1134" w:bottom="1134" w:left="1134" w:header="1134" w:footer="1134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Albany AMT">
    <w:altName w:val="Arial"/>
    <w:charset w:val="00"/>
    <w:family w:val="swiss"/>
    <w:pitch w:val="variable"/>
  </w:font>
  <w:font w:name="Lucidasans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6B"/>
    <w:rsid w:val="00700E66"/>
    <w:rsid w:val="008C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DejaVu Sans" w:hAnsi="Thorndale AMT"/>
      <w:kern w:val="1"/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Carcterdenumeracin">
    <w:name w:val="Carácter de numeración"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Thorndale AMT" w:eastAsia="DejaVu Sans" w:hAnsi="Thorndale AMT"/>
      <w:kern w:val="1"/>
      <w:sz w:val="24"/>
      <w:szCs w:val="24"/>
      <w:lang w:val="es-ES_tradn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Strong">
    <w:name w:val="Strong"/>
    <w:qFormat/>
    <w:rPr>
      <w:b/>
      <w:bCs/>
    </w:rPr>
  </w:style>
  <w:style w:type="character" w:styleId="Hyperlink">
    <w:name w:val="Hyperlink"/>
    <w:semiHidden/>
    <w:rPr>
      <w:color w:val="000080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Carcterdenumeracin">
    <w:name w:val="Carácter de numeración"/>
  </w:style>
  <w:style w:type="paragraph" w:customStyle="1" w:styleId="Encabezado">
    <w:name w:val="Encabezado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ndice">
    <w:name w:val="Índice"/>
    <w:basedOn w:val="Normal"/>
    <w:pPr>
      <w:suppressLineNumbers/>
    </w:pPr>
    <w:rPr>
      <w:rFonts w:cs="Lucida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icieroficial.com/entes/congreso_rep/LEY142-1994.htm" TargetMode="External"/><Relationship Id="rId13" Type="http://schemas.openxmlformats.org/officeDocument/2006/relationships/hyperlink" Target="http://www.noticieroficial.com/leyes/LEY454-1998.ht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ticieroficial.com/entes/congreso_rep/LEY142-1994.htm" TargetMode="External"/><Relationship Id="rId12" Type="http://schemas.openxmlformats.org/officeDocument/2006/relationships/hyperlink" Target="http://www.noticieroficial.com/entes/congreso_rep/LEY142-1994.htm" TargetMode="External"/><Relationship Id="rId17" Type="http://schemas.openxmlformats.org/officeDocument/2006/relationships/hyperlink" Target="http://www.noticieroficial.com/entes/congreso_rep/LEY142-1994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ticieroficial.com/entes/congreso_rep/LEY142-199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ticieroficial.com/entes/congreso_rep/LEY142-1994.htm" TargetMode="External"/><Relationship Id="rId11" Type="http://schemas.openxmlformats.org/officeDocument/2006/relationships/hyperlink" Target="http://www.noticieroficial.com/entes/ministerios/MIND421-200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oticieroficial.com/leyes/LEY454-1998.htm" TargetMode="External"/><Relationship Id="rId10" Type="http://schemas.openxmlformats.org/officeDocument/2006/relationships/hyperlink" Target="http://www.noticieroficial.com/entes/congreso_rep/LEY142-1994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oticieroficial.com/entes/ministerios/MIND421-2000.HTM" TargetMode="External"/><Relationship Id="rId14" Type="http://schemas.openxmlformats.org/officeDocument/2006/relationships/hyperlink" Target="http://www.noticieroficial.com/entes/congreso_rep/LEY142-199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1521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Jezreel</dc:creator>
  <cp:lastModifiedBy>Jezreel</cp:lastModifiedBy>
  <cp:revision>2</cp:revision>
  <cp:lastPrinted>2113-01-01T05:00:00Z</cp:lastPrinted>
  <dcterms:created xsi:type="dcterms:W3CDTF">2012-01-21T17:04:00Z</dcterms:created>
  <dcterms:modified xsi:type="dcterms:W3CDTF">2012-01-21T17:04:00Z</dcterms:modified>
</cp:coreProperties>
</file>