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34" w:rsidRDefault="00070A34">
      <w:pPr>
        <w:rPr>
          <w:rFonts w:ascii="Arial" w:hAnsi="Arial"/>
          <w:sz w:val="20"/>
          <w:szCs w:val="20"/>
        </w:rPr>
      </w:pPr>
      <w:bookmarkStart w:id="0" w:name="_GoBack"/>
      <w:bookmarkEnd w:id="0"/>
    </w:p>
    <w:p w:rsidR="00070A34" w:rsidRDefault="00070A34">
      <w:pPr>
        <w:rPr>
          <w:rFonts w:ascii="Arial" w:hAnsi="Arial"/>
          <w:sz w:val="20"/>
          <w:szCs w:val="20"/>
        </w:rPr>
      </w:pPr>
    </w:p>
    <w:p w:rsidR="00070A34" w:rsidRDefault="00070A34">
      <w:pPr>
        <w:jc w:val="center"/>
        <w:rPr>
          <w:rFonts w:ascii="Arial" w:hAnsi="Arial"/>
          <w:b/>
          <w:bCs/>
          <w:color w:val="000080"/>
          <w:sz w:val="20"/>
          <w:szCs w:val="20"/>
        </w:rPr>
      </w:pPr>
      <w:r>
        <w:rPr>
          <w:rFonts w:ascii="Arial" w:hAnsi="Arial"/>
          <w:b/>
          <w:bCs/>
          <w:color w:val="000080"/>
          <w:sz w:val="20"/>
          <w:szCs w:val="20"/>
        </w:rPr>
        <w:t>CONTADURÍA GENERAL DE LA NACIÓN</w:t>
      </w:r>
    </w:p>
    <w:p w:rsidR="00070A34" w:rsidRDefault="00070A34">
      <w:pPr>
        <w:jc w:val="center"/>
        <w:rPr>
          <w:rFonts w:ascii="Arial" w:hAnsi="Arial"/>
          <w:b/>
          <w:bCs/>
          <w:sz w:val="20"/>
          <w:szCs w:val="20"/>
        </w:rPr>
      </w:pPr>
      <w:r>
        <w:rPr>
          <w:rFonts w:ascii="Arial" w:hAnsi="Arial"/>
          <w:b/>
          <w:bCs/>
          <w:sz w:val="20"/>
          <w:szCs w:val="20"/>
        </w:rPr>
        <w:t>CONCEPTO JURÍDICO No. 2000004881 DE 2012</w:t>
      </w:r>
    </w:p>
    <w:p w:rsidR="00070A34" w:rsidRDefault="00070A34">
      <w:pPr>
        <w:jc w:val="center"/>
        <w:rPr>
          <w:rFonts w:ascii="Arial" w:hAnsi="Arial"/>
          <w:color w:val="800000"/>
          <w:sz w:val="20"/>
          <w:szCs w:val="20"/>
        </w:rPr>
      </w:pPr>
      <w:r>
        <w:rPr>
          <w:rFonts w:ascii="Arial" w:hAnsi="Arial"/>
          <w:color w:val="800000"/>
          <w:sz w:val="20"/>
          <w:szCs w:val="20"/>
        </w:rPr>
        <w:t>(</w:t>
      </w:r>
      <w:proofErr w:type="gramStart"/>
      <w:r>
        <w:rPr>
          <w:rFonts w:ascii="Arial" w:hAnsi="Arial"/>
          <w:color w:val="800000"/>
          <w:sz w:val="20"/>
          <w:szCs w:val="20"/>
        </w:rPr>
        <w:t>marzo</w:t>
      </w:r>
      <w:proofErr w:type="gramEnd"/>
      <w:r>
        <w:rPr>
          <w:rFonts w:ascii="Arial" w:hAnsi="Arial"/>
          <w:color w:val="800000"/>
          <w:sz w:val="20"/>
          <w:szCs w:val="20"/>
        </w:rPr>
        <w:t xml:space="preserve"> 02)</w:t>
      </w:r>
    </w:p>
    <w:p w:rsidR="00070A34" w:rsidRDefault="00070A34">
      <w:pPr>
        <w:jc w:val="center"/>
        <w:rPr>
          <w:rFonts w:ascii="Arial" w:hAnsi="Arial"/>
          <w:sz w:val="20"/>
          <w:szCs w:val="20"/>
        </w:rPr>
      </w:pPr>
    </w:p>
    <w:p w:rsidR="00070A34" w:rsidRDefault="00070A34">
      <w:pPr>
        <w:jc w:val="both"/>
        <w:rPr>
          <w:rFonts w:ascii="Arial" w:hAnsi="Arial"/>
          <w:sz w:val="20"/>
          <w:szCs w:val="20"/>
        </w:rPr>
      </w:pPr>
    </w:p>
    <w:p w:rsidR="00070A34" w:rsidRDefault="00070A34">
      <w:pPr>
        <w:jc w:val="both"/>
        <w:rPr>
          <w:rFonts w:ascii="Arial" w:hAnsi="Arial"/>
          <w:sz w:val="20"/>
          <w:szCs w:val="20"/>
        </w:rPr>
      </w:pPr>
      <w:r>
        <w:rPr>
          <w:rFonts w:ascii="Arial" w:hAnsi="Arial"/>
          <w:b/>
          <w:bCs/>
          <w:sz w:val="20"/>
          <w:szCs w:val="20"/>
        </w:rPr>
        <w:t xml:space="preserve">Tema 1.1 </w:t>
      </w:r>
      <w:r>
        <w:rPr>
          <w:rFonts w:ascii="Arial" w:hAnsi="Arial"/>
          <w:sz w:val="20"/>
          <w:szCs w:val="20"/>
        </w:rPr>
        <w:t xml:space="preserve"> 1470 Otros deudores</w:t>
      </w:r>
    </w:p>
    <w:p w:rsidR="00070A34" w:rsidRDefault="00070A34">
      <w:pPr>
        <w:jc w:val="both"/>
        <w:rPr>
          <w:rFonts w:ascii="Arial" w:hAnsi="Arial"/>
          <w:sz w:val="20"/>
          <w:szCs w:val="20"/>
        </w:rPr>
      </w:pPr>
      <w:r>
        <w:rPr>
          <w:rFonts w:ascii="Arial" w:hAnsi="Arial"/>
          <w:b/>
          <w:bCs/>
          <w:sz w:val="20"/>
          <w:szCs w:val="20"/>
        </w:rPr>
        <w:t xml:space="preserve">          1.2</w:t>
      </w:r>
      <w:r>
        <w:rPr>
          <w:rFonts w:ascii="Arial" w:hAnsi="Arial"/>
          <w:sz w:val="20"/>
          <w:szCs w:val="20"/>
        </w:rPr>
        <w:t xml:space="preserve">   5720 Operaciones 1 de enlace</w:t>
      </w:r>
    </w:p>
    <w:p w:rsidR="00070A34" w:rsidRDefault="00070A34">
      <w:pPr>
        <w:jc w:val="both"/>
        <w:rPr>
          <w:rFonts w:ascii="Arial" w:hAnsi="Arial"/>
          <w:sz w:val="20"/>
          <w:szCs w:val="20"/>
        </w:rPr>
      </w:pPr>
    </w:p>
    <w:p w:rsidR="00070A34" w:rsidRDefault="00070A34">
      <w:pPr>
        <w:jc w:val="both"/>
        <w:rPr>
          <w:rFonts w:ascii="Arial" w:hAnsi="Arial"/>
          <w:sz w:val="20"/>
          <w:szCs w:val="20"/>
        </w:rPr>
      </w:pPr>
      <w:r>
        <w:rPr>
          <w:rFonts w:ascii="Arial" w:hAnsi="Arial"/>
          <w:b/>
          <w:bCs/>
          <w:sz w:val="20"/>
          <w:szCs w:val="20"/>
        </w:rPr>
        <w:t xml:space="preserve">Subtema 1. </w:t>
      </w:r>
      <w:r>
        <w:rPr>
          <w:rFonts w:ascii="Arial" w:hAnsi="Arial"/>
          <w:sz w:val="20"/>
          <w:szCs w:val="20"/>
        </w:rPr>
        <w:t xml:space="preserve">Reconocimiento por parte del Ministerio de Hacienda y Crédito Público de los recursos trasladados por FOGAFIN correspondientes a las reservas de la garantía por concepto de pensiones y cesantías a que se refiere el artículo 63 de la </w:t>
      </w:r>
      <w:hyperlink r:id="rId7" w:history="1">
        <w:r w:rsidR="00805363">
          <w:rPr>
            <w:rStyle w:val="Hyperlink"/>
            <w:rFonts w:ascii="Arial" w:hAnsi="Arial" w:cs="Arial"/>
            <w:i/>
            <w:iCs/>
            <w:kern w:val="2"/>
            <w:sz w:val="20"/>
            <w:szCs w:val="20"/>
          </w:rPr>
          <w:t>Ley 1450 de 2011</w:t>
        </w:r>
      </w:hyperlink>
      <w:r>
        <w:rPr>
          <w:rFonts w:ascii="Arial" w:hAnsi="Arial"/>
          <w:sz w:val="20"/>
          <w:szCs w:val="20"/>
        </w:rPr>
        <w:t xml:space="preserve"> </w:t>
      </w:r>
    </w:p>
    <w:p w:rsidR="00070A34" w:rsidRDefault="00070A34">
      <w:pPr>
        <w:rPr>
          <w:rFonts w:ascii="Arial" w:hAnsi="Arial"/>
          <w:sz w:val="20"/>
          <w:szCs w:val="20"/>
        </w:rPr>
      </w:pPr>
    </w:p>
    <w:p w:rsidR="00070A34" w:rsidRDefault="00070A34">
      <w:pPr>
        <w:rPr>
          <w:rFonts w:ascii="Arial" w:hAnsi="Arial"/>
          <w:b/>
          <w:bCs/>
          <w:sz w:val="20"/>
          <w:szCs w:val="20"/>
        </w:rPr>
      </w:pPr>
      <w:r>
        <w:rPr>
          <w:rFonts w:ascii="Arial" w:hAnsi="Arial"/>
          <w:b/>
          <w:bCs/>
          <w:sz w:val="20"/>
          <w:szCs w:val="20"/>
        </w:rPr>
        <w:t>ANTECEDENTES</w:t>
      </w:r>
    </w:p>
    <w:p w:rsidR="00070A34" w:rsidRDefault="00070A34">
      <w:pPr>
        <w:rPr>
          <w:rFonts w:ascii="Arial" w:hAnsi="Arial"/>
          <w:b/>
          <w:bCs/>
          <w:sz w:val="20"/>
          <w:szCs w:val="20"/>
        </w:rPr>
      </w:pPr>
    </w:p>
    <w:p w:rsidR="00070A34" w:rsidRDefault="00070A34">
      <w:pPr>
        <w:jc w:val="both"/>
        <w:rPr>
          <w:rFonts w:ascii="Arial" w:hAnsi="Arial"/>
          <w:sz w:val="20"/>
          <w:szCs w:val="20"/>
        </w:rPr>
      </w:pPr>
      <w:r>
        <w:rPr>
          <w:rFonts w:ascii="Arial" w:hAnsi="Arial"/>
          <w:sz w:val="20"/>
          <w:szCs w:val="20"/>
        </w:rPr>
        <w:t>Me refiero a su comunicación radicada con el expediente 20125500000422, mediante la cual informa que “(…) El artículo 163 de La ley 1450 del Plan Nacional de Desarrollo estableció: (…)</w:t>
      </w:r>
    </w:p>
    <w:p w:rsidR="00070A34" w:rsidRDefault="00070A34">
      <w:pPr>
        <w:jc w:val="both"/>
        <w:rPr>
          <w:rFonts w:ascii="Arial" w:hAnsi="Arial"/>
          <w:sz w:val="20"/>
          <w:szCs w:val="20"/>
        </w:rPr>
      </w:pPr>
    </w:p>
    <w:p w:rsidR="00070A34" w:rsidRDefault="00070A34">
      <w:pPr>
        <w:jc w:val="both"/>
        <w:rPr>
          <w:rFonts w:ascii="Arial" w:hAnsi="Arial"/>
          <w:sz w:val="20"/>
          <w:szCs w:val="20"/>
        </w:rPr>
      </w:pPr>
      <w:r>
        <w:rPr>
          <w:rFonts w:ascii="Arial" w:hAnsi="Arial"/>
          <w:sz w:val="20"/>
          <w:szCs w:val="20"/>
        </w:rPr>
        <w:t>Garantía de Fogafin y Fondo de Garantía de Pensión Mínima. Elimínese la garantía de FOGAFÍN a las Administradoras de Cesantías y a las de pensiones en el Régimen de Ahorro Individual con Solidaridad y la obligación a las Aseguradoras de inscribirse en el Fogafin. Las reservas existentes se trasladarán al Tesoro Nacional dada la condición de garante que tiene la Nación en ambos sistemas” y que “En cumplimiento de lo anterior FOGAFIN trasladó al Tesoro Nacional $742.163.964.436 con los cuales realizaron unidad de caja. Por lo anterior de manera atenta solicito concepto de esa entidad acerca de los registros contables que debe realizar el Tesoro Nacional y el Ministerio de Hacienda y Crédito Público por dicha operación”.</w:t>
      </w:r>
    </w:p>
    <w:p w:rsidR="00070A34" w:rsidRDefault="00070A34">
      <w:pPr>
        <w:jc w:val="both"/>
        <w:rPr>
          <w:rFonts w:ascii="Arial" w:hAnsi="Arial"/>
          <w:sz w:val="20"/>
          <w:szCs w:val="20"/>
        </w:rPr>
      </w:pPr>
    </w:p>
    <w:p w:rsidR="00070A34" w:rsidRDefault="00070A34">
      <w:pPr>
        <w:jc w:val="both"/>
        <w:rPr>
          <w:rFonts w:ascii="Arial" w:hAnsi="Arial"/>
          <w:sz w:val="20"/>
          <w:szCs w:val="20"/>
        </w:rPr>
      </w:pPr>
      <w:r>
        <w:rPr>
          <w:rFonts w:ascii="Arial" w:hAnsi="Arial"/>
          <w:sz w:val="20"/>
          <w:szCs w:val="20"/>
        </w:rPr>
        <w:t>Sobre el particular me permito manifestarle:</w:t>
      </w:r>
    </w:p>
    <w:p w:rsidR="00070A34" w:rsidRDefault="00070A34">
      <w:pPr>
        <w:jc w:val="both"/>
        <w:rPr>
          <w:rFonts w:ascii="Arial" w:hAnsi="Arial"/>
          <w:sz w:val="20"/>
          <w:szCs w:val="20"/>
        </w:rPr>
      </w:pPr>
    </w:p>
    <w:p w:rsidR="00070A34" w:rsidRDefault="00070A34">
      <w:pPr>
        <w:jc w:val="both"/>
        <w:rPr>
          <w:rFonts w:ascii="Arial" w:hAnsi="Arial"/>
          <w:b/>
          <w:bCs/>
          <w:sz w:val="20"/>
          <w:szCs w:val="20"/>
        </w:rPr>
      </w:pPr>
      <w:r>
        <w:rPr>
          <w:rFonts w:ascii="Arial" w:hAnsi="Arial"/>
          <w:b/>
          <w:bCs/>
          <w:sz w:val="20"/>
          <w:szCs w:val="20"/>
        </w:rPr>
        <w:t>CONSIDERACIONES</w:t>
      </w:r>
    </w:p>
    <w:p w:rsidR="00070A34" w:rsidRDefault="00070A34">
      <w:pPr>
        <w:jc w:val="both"/>
        <w:rPr>
          <w:rFonts w:ascii="Arial" w:hAnsi="Arial"/>
          <w:b/>
          <w:bCs/>
          <w:sz w:val="20"/>
          <w:szCs w:val="20"/>
        </w:rPr>
      </w:pPr>
    </w:p>
    <w:p w:rsidR="00070A34" w:rsidRDefault="00070A34">
      <w:pPr>
        <w:jc w:val="both"/>
        <w:rPr>
          <w:rFonts w:ascii="Arial" w:hAnsi="Arial"/>
          <w:sz w:val="20"/>
          <w:szCs w:val="20"/>
        </w:rPr>
      </w:pPr>
      <w:r>
        <w:rPr>
          <w:rFonts w:ascii="Arial" w:hAnsi="Arial"/>
          <w:sz w:val="20"/>
          <w:szCs w:val="20"/>
        </w:rPr>
        <w:t>El artículo 99 de la Ley 100 señala que “Las administradoras y aseguradoras, incluidas las de planes alternativos de pensiones, deberán constituir y mantener adecuadas garantías, para responder por el correcto manejo de las inversiones representativas de los recursos administrados en desarrollo de los planes de capitalización y de pensiones.</w:t>
      </w:r>
    </w:p>
    <w:p w:rsidR="00070A34" w:rsidRDefault="00070A34">
      <w:pPr>
        <w:jc w:val="both"/>
        <w:rPr>
          <w:rFonts w:ascii="Arial" w:hAnsi="Arial"/>
          <w:sz w:val="20"/>
          <w:szCs w:val="20"/>
        </w:rPr>
      </w:pPr>
    </w:p>
    <w:p w:rsidR="00070A34" w:rsidRDefault="00070A34">
      <w:pPr>
        <w:jc w:val="both"/>
        <w:rPr>
          <w:rFonts w:ascii="Arial" w:hAnsi="Arial"/>
          <w:sz w:val="20"/>
          <w:szCs w:val="20"/>
        </w:rPr>
      </w:pPr>
      <w:r>
        <w:rPr>
          <w:rFonts w:ascii="Arial" w:hAnsi="Arial"/>
          <w:sz w:val="20"/>
          <w:szCs w:val="20"/>
        </w:rPr>
        <w:t xml:space="preserve">Las administradoras deberán contar con la garantía del Fondo de Garantías de Instituciones Financieras, con cargo a sus propios recursos, para asegurar el reembolso del saldo de las cuentas individuales de ahorro pensional, en caso de disolución o liquidación de la respectiva administradora (…). </w:t>
      </w:r>
    </w:p>
    <w:p w:rsidR="00070A34" w:rsidRDefault="00070A34">
      <w:pPr>
        <w:jc w:val="both"/>
        <w:rPr>
          <w:rFonts w:ascii="Arial" w:hAnsi="Arial"/>
          <w:sz w:val="20"/>
          <w:szCs w:val="20"/>
        </w:rPr>
      </w:pPr>
    </w:p>
    <w:p w:rsidR="00070A34" w:rsidRDefault="00070A34">
      <w:pPr>
        <w:jc w:val="both"/>
        <w:rPr>
          <w:rFonts w:ascii="Arial" w:hAnsi="Arial"/>
          <w:sz w:val="20"/>
          <w:szCs w:val="20"/>
        </w:rPr>
      </w:pPr>
      <w:r>
        <w:rPr>
          <w:rFonts w:ascii="Arial" w:hAnsi="Arial"/>
          <w:sz w:val="20"/>
          <w:szCs w:val="20"/>
        </w:rPr>
        <w:t>Las garantías en ningún caso podrán ser inferiores a las establecidas por la Superintendencia Bancaria para las instituciones del régimen Financiero”</w:t>
      </w:r>
      <w:r>
        <w:rPr>
          <w:rStyle w:val="FootnoteReference"/>
          <w:rFonts w:ascii="Arial" w:hAnsi="Arial"/>
          <w:sz w:val="20"/>
          <w:szCs w:val="20"/>
        </w:rPr>
        <w:footnoteReference w:id="1"/>
      </w:r>
      <w:r>
        <w:rPr>
          <w:rFonts w:ascii="Arial" w:hAnsi="Arial"/>
          <w:sz w:val="20"/>
          <w:szCs w:val="20"/>
        </w:rPr>
        <w:t xml:space="preserve"> y el artículo 109 de la misma Ley indica que “Sin perjuicio del cumplimiento de las obligaciones a cargo de los reaseguradores, la Nación garantizará el pago de las pensiones en caso de menoscabo patrimonial o suspensiones de pago de la </w:t>
      </w:r>
    </w:p>
    <w:p w:rsidR="00070A34" w:rsidRDefault="00070A34">
      <w:pPr>
        <w:jc w:val="both"/>
        <w:rPr>
          <w:rFonts w:ascii="Arial" w:hAnsi="Arial"/>
          <w:sz w:val="20"/>
          <w:szCs w:val="20"/>
        </w:rPr>
      </w:pPr>
      <w:proofErr w:type="gramStart"/>
      <w:r>
        <w:rPr>
          <w:rFonts w:ascii="Arial" w:hAnsi="Arial"/>
          <w:sz w:val="20"/>
          <w:szCs w:val="20"/>
        </w:rPr>
        <w:t>compañía</w:t>
      </w:r>
      <w:proofErr w:type="gramEnd"/>
      <w:r>
        <w:rPr>
          <w:rFonts w:ascii="Arial" w:hAnsi="Arial"/>
          <w:sz w:val="20"/>
          <w:szCs w:val="20"/>
        </w:rPr>
        <w:t xml:space="preserve"> aseguradora responsable de su cancelación (…) Para este efecto, el Gobierno Nacional podrá permitir el acceso de la compañía aseguradora a la garantía del Fondo de Garantías de Instituciones Financieras. En este caso, la compañía aseguradora asumirá el costo respectivo” (Subrayados fuera de texto).</w:t>
      </w:r>
    </w:p>
    <w:p w:rsidR="00070A34" w:rsidRDefault="00070A34">
      <w:pPr>
        <w:jc w:val="both"/>
        <w:rPr>
          <w:rFonts w:ascii="Arial" w:hAnsi="Arial"/>
          <w:sz w:val="20"/>
          <w:szCs w:val="20"/>
        </w:rPr>
      </w:pPr>
    </w:p>
    <w:p w:rsidR="00070A34" w:rsidRDefault="00070A34">
      <w:pPr>
        <w:jc w:val="both"/>
        <w:rPr>
          <w:rFonts w:ascii="Arial" w:hAnsi="Arial"/>
          <w:sz w:val="20"/>
          <w:szCs w:val="20"/>
        </w:rPr>
      </w:pPr>
      <w:r>
        <w:rPr>
          <w:rFonts w:ascii="Arial" w:hAnsi="Arial"/>
          <w:sz w:val="20"/>
          <w:szCs w:val="20"/>
        </w:rPr>
        <w:t xml:space="preserve">Para efectos de hacer efectivas las garantías de pago de pensiones, previstas por la </w:t>
      </w:r>
      <w:hyperlink r:id="rId8" w:history="1">
        <w:r w:rsidR="00805363">
          <w:rPr>
            <w:rStyle w:val="Hyperlink"/>
            <w:rFonts w:ascii="Arial" w:hAnsi="Arial" w:cs="Arial"/>
            <w:i/>
            <w:iCs/>
            <w:sz w:val="20"/>
            <w:szCs w:val="20"/>
          </w:rPr>
          <w:t>Ley 100 de 1993</w:t>
        </w:r>
      </w:hyperlink>
      <w:r>
        <w:rPr>
          <w:rFonts w:ascii="Arial" w:hAnsi="Arial"/>
          <w:sz w:val="20"/>
          <w:szCs w:val="20"/>
        </w:rPr>
        <w:t xml:space="preserve">, el artículo 2 del </w:t>
      </w:r>
      <w:hyperlink r:id="rId9" w:history="1">
        <w:r w:rsidRPr="00805363">
          <w:rPr>
            <w:rStyle w:val="Hyperlink"/>
            <w:rFonts w:ascii="Arial" w:hAnsi="Arial"/>
            <w:sz w:val="20"/>
            <w:szCs w:val="20"/>
          </w:rPr>
          <w:t>Decreto 1515 de 1998</w:t>
        </w:r>
      </w:hyperlink>
      <w:r>
        <w:rPr>
          <w:rFonts w:ascii="Arial" w:hAnsi="Arial"/>
          <w:sz w:val="20"/>
          <w:szCs w:val="20"/>
        </w:rPr>
        <w:t xml:space="preserve"> señaló que “(…) en el caso de menoscabo patrimonial o suspensión de pagos de entidades aseguradoras de vida de conformidad con el artículo 109 de la misma ley, a partir de la fecha en que entre en vigencia la reglamentación de la Junta Directiva del Fondo de Garantías de Instituciones Financieras -Fogafin- sobre las sumas a pagar por concepto de garantía, dichas aseguradoras tendrán acceso al Fogafin. En virtud de lo anterior, corresponderá al Fondo atender por cuenta de la Nación y con cargo a las reservas de que disponga para tal fin, el pago de la garantía de pensión (…)”. (Subrayado fuera de texto).</w:t>
      </w:r>
    </w:p>
    <w:p w:rsidR="00070A34" w:rsidRDefault="00070A34">
      <w:pPr>
        <w:jc w:val="both"/>
        <w:rPr>
          <w:rFonts w:ascii="Arial" w:hAnsi="Arial"/>
          <w:sz w:val="20"/>
          <w:szCs w:val="20"/>
        </w:rPr>
      </w:pPr>
    </w:p>
    <w:p w:rsidR="00070A34" w:rsidRDefault="00070A34">
      <w:pPr>
        <w:jc w:val="both"/>
        <w:rPr>
          <w:rFonts w:ascii="Arial" w:hAnsi="Arial"/>
          <w:sz w:val="20"/>
          <w:szCs w:val="20"/>
        </w:rPr>
      </w:pPr>
      <w:r>
        <w:rPr>
          <w:rFonts w:ascii="Arial" w:hAnsi="Arial"/>
          <w:sz w:val="20"/>
          <w:szCs w:val="20"/>
        </w:rPr>
        <w:lastRenderedPageBreak/>
        <w:t>No obstante, el artículo 163 de la Ley 1450 establece: “Elimínese la garantía de FOGAFÍN a las Administradoras de Cesantías y a las pensiones en el Régimen de Ahorro Individual con Solidaridad</w:t>
      </w:r>
    </w:p>
    <w:p w:rsidR="00070A34" w:rsidRDefault="00070A34">
      <w:pPr>
        <w:jc w:val="both"/>
        <w:rPr>
          <w:rFonts w:ascii="Arial" w:hAnsi="Arial"/>
          <w:sz w:val="20"/>
          <w:szCs w:val="20"/>
        </w:rPr>
      </w:pPr>
      <w:proofErr w:type="gramStart"/>
      <w:r>
        <w:rPr>
          <w:rFonts w:ascii="Arial" w:hAnsi="Arial"/>
          <w:sz w:val="20"/>
          <w:szCs w:val="20"/>
        </w:rPr>
        <w:t>y</w:t>
      </w:r>
      <w:proofErr w:type="gramEnd"/>
      <w:r>
        <w:rPr>
          <w:rFonts w:ascii="Arial" w:hAnsi="Arial"/>
          <w:sz w:val="20"/>
          <w:szCs w:val="20"/>
        </w:rPr>
        <w:t xml:space="preserve"> la obligación a las Aseguradoras de inscribirse en el Fogafín (…).”</w:t>
      </w:r>
    </w:p>
    <w:p w:rsidR="00070A34" w:rsidRDefault="00070A34">
      <w:pPr>
        <w:jc w:val="both"/>
        <w:rPr>
          <w:rFonts w:ascii="Arial" w:hAnsi="Arial"/>
          <w:sz w:val="20"/>
          <w:szCs w:val="20"/>
        </w:rPr>
      </w:pPr>
    </w:p>
    <w:p w:rsidR="00070A34" w:rsidRDefault="00070A34">
      <w:pPr>
        <w:jc w:val="both"/>
        <w:rPr>
          <w:rFonts w:ascii="Arial" w:hAnsi="Arial"/>
          <w:sz w:val="20"/>
          <w:szCs w:val="20"/>
        </w:rPr>
      </w:pPr>
      <w:r>
        <w:rPr>
          <w:rFonts w:ascii="Arial" w:hAnsi="Arial"/>
          <w:sz w:val="20"/>
          <w:szCs w:val="20"/>
        </w:rPr>
        <w:t>En ese sentido, los recursos objeto de traslado se originan en el recaudo realizado por FOGAFIN con el fin de constituir una reserva que permita atender las eventuales garantías relacionadas con la disolución o liquidación de la respectiva administradora, de conformidad con lo señalado en la Ley.</w:t>
      </w:r>
    </w:p>
    <w:p w:rsidR="00070A34" w:rsidRDefault="00070A34">
      <w:pPr>
        <w:jc w:val="both"/>
        <w:rPr>
          <w:rFonts w:ascii="Arial" w:hAnsi="Arial"/>
          <w:sz w:val="20"/>
          <w:szCs w:val="20"/>
        </w:rPr>
      </w:pPr>
    </w:p>
    <w:p w:rsidR="00070A34" w:rsidRDefault="00070A34">
      <w:pPr>
        <w:jc w:val="both"/>
        <w:rPr>
          <w:rFonts w:ascii="Arial" w:hAnsi="Arial"/>
          <w:sz w:val="20"/>
          <w:szCs w:val="20"/>
        </w:rPr>
      </w:pPr>
      <w:r>
        <w:rPr>
          <w:rFonts w:ascii="Arial" w:hAnsi="Arial"/>
          <w:sz w:val="20"/>
          <w:szCs w:val="20"/>
        </w:rPr>
        <w:t xml:space="preserve">Dado que el mismo artículo 163 de la </w:t>
      </w:r>
      <w:hyperlink r:id="rId10" w:history="1">
        <w:r w:rsidR="00805363">
          <w:rPr>
            <w:rStyle w:val="Hyperlink"/>
            <w:rFonts w:ascii="Arial" w:hAnsi="Arial" w:cs="Arial"/>
            <w:i/>
            <w:iCs/>
            <w:kern w:val="2"/>
            <w:sz w:val="20"/>
            <w:szCs w:val="20"/>
          </w:rPr>
          <w:t>Ley 1450 de 2011</w:t>
        </w:r>
      </w:hyperlink>
      <w:r>
        <w:rPr>
          <w:rFonts w:ascii="Arial" w:hAnsi="Arial"/>
          <w:sz w:val="20"/>
          <w:szCs w:val="20"/>
        </w:rPr>
        <w:t xml:space="preserve"> señala que “Las reservas existentes se trasladarán al Tesoro Nacional dada la condición de garante que tiene la Nación en ambos sistemas”, es necesario remitirse al párrafo 310 del Plan General de Contabilidad Pública (PGCP), parte integral del Régimen de Contabilidad Pública (RCP), el cual señala que “(…) las cuentas de orden acreedoras contingentes se revelan teniendo en cuenta las posibles obligaciones provenientes de garantías, demandas y compromisos contractuales”. (Subrayados fuera de texto)</w:t>
      </w:r>
    </w:p>
    <w:p w:rsidR="00070A34" w:rsidRDefault="00070A34">
      <w:pPr>
        <w:jc w:val="both"/>
        <w:rPr>
          <w:rFonts w:ascii="Arial" w:hAnsi="Arial"/>
          <w:sz w:val="20"/>
          <w:szCs w:val="20"/>
        </w:rPr>
      </w:pPr>
    </w:p>
    <w:p w:rsidR="00070A34" w:rsidRDefault="00070A34">
      <w:pPr>
        <w:jc w:val="both"/>
        <w:rPr>
          <w:rFonts w:ascii="Arial" w:hAnsi="Arial"/>
          <w:sz w:val="20"/>
          <w:szCs w:val="20"/>
        </w:rPr>
      </w:pPr>
      <w:r>
        <w:rPr>
          <w:rFonts w:ascii="Arial" w:hAnsi="Arial"/>
          <w:sz w:val="20"/>
          <w:szCs w:val="20"/>
        </w:rPr>
        <w:t xml:space="preserve">En ese sentido, el Catálogo General de Cuentas (CGC), del Manual de Procedimientos, describe la cuenta 9121-OBLIGACIONES POTENCIALES indicando que “Representa el valor estimado por concepto de subvaluación y/o expectativas de nuevas obligaciones (…) </w:t>
      </w:r>
    </w:p>
    <w:p w:rsidR="00070A34" w:rsidRDefault="00070A34">
      <w:pPr>
        <w:jc w:val="both"/>
        <w:rPr>
          <w:rFonts w:ascii="Arial" w:hAnsi="Arial"/>
          <w:sz w:val="20"/>
          <w:szCs w:val="20"/>
        </w:rPr>
      </w:pPr>
    </w:p>
    <w:p w:rsidR="00070A34" w:rsidRDefault="00070A34">
      <w:pPr>
        <w:jc w:val="both"/>
        <w:rPr>
          <w:rFonts w:ascii="Arial" w:hAnsi="Arial"/>
          <w:sz w:val="20"/>
          <w:szCs w:val="20"/>
        </w:rPr>
      </w:pPr>
      <w:r>
        <w:rPr>
          <w:rFonts w:ascii="Arial" w:hAnsi="Arial"/>
          <w:sz w:val="20"/>
          <w:szCs w:val="20"/>
        </w:rPr>
        <w:t>La contrapartida corresponde a la subcuenta 990509-Obligaciones Potenciales”.</w:t>
      </w:r>
    </w:p>
    <w:p w:rsidR="00070A34" w:rsidRDefault="00070A34">
      <w:pPr>
        <w:jc w:val="both"/>
        <w:rPr>
          <w:rFonts w:ascii="Arial" w:hAnsi="Arial"/>
          <w:sz w:val="20"/>
          <w:szCs w:val="20"/>
        </w:rPr>
      </w:pPr>
    </w:p>
    <w:p w:rsidR="00070A34" w:rsidRDefault="00070A34">
      <w:pPr>
        <w:jc w:val="both"/>
        <w:rPr>
          <w:rFonts w:ascii="Arial" w:hAnsi="Arial"/>
          <w:sz w:val="20"/>
          <w:szCs w:val="20"/>
        </w:rPr>
      </w:pPr>
      <w:r>
        <w:rPr>
          <w:rFonts w:ascii="Arial" w:hAnsi="Arial"/>
          <w:sz w:val="20"/>
          <w:szCs w:val="20"/>
        </w:rPr>
        <w:t xml:space="preserve">Además, es necesario que el Ministerio de Hacienda y Crédito Público evalúe técnicamente, en aplicación de criterios jurídicos y económicos, si se generan obligaciones derivadas de la recepción de los recursos a que se refiere el del artículo 163 de la </w:t>
      </w:r>
      <w:hyperlink r:id="rId11" w:history="1">
        <w:r w:rsidR="00805363">
          <w:rPr>
            <w:rStyle w:val="Hyperlink"/>
            <w:rFonts w:ascii="Arial" w:hAnsi="Arial" w:cs="Arial"/>
            <w:i/>
            <w:iCs/>
            <w:kern w:val="2"/>
            <w:sz w:val="20"/>
            <w:szCs w:val="20"/>
          </w:rPr>
          <w:t>Ley 1450 de 2011</w:t>
        </w:r>
      </w:hyperlink>
      <w:r>
        <w:rPr>
          <w:rFonts w:ascii="Arial" w:hAnsi="Arial"/>
          <w:sz w:val="20"/>
          <w:szCs w:val="20"/>
        </w:rPr>
        <w:t>, caso en el cual deberá reconocer las provisiones que estime necesarias, considerando que los recursos recibidos se originaron en los recaudos ordenados en las normas legales con el propósito de respaldar las garantías de pensiones y cesantías que le corresponden a la Nación.</w:t>
      </w:r>
    </w:p>
    <w:p w:rsidR="00070A34" w:rsidRDefault="00070A34">
      <w:pPr>
        <w:jc w:val="both"/>
        <w:rPr>
          <w:rFonts w:ascii="Arial" w:hAnsi="Arial"/>
          <w:sz w:val="20"/>
          <w:szCs w:val="20"/>
        </w:rPr>
      </w:pPr>
    </w:p>
    <w:p w:rsidR="00070A34" w:rsidRDefault="00070A34">
      <w:pPr>
        <w:jc w:val="both"/>
        <w:rPr>
          <w:rFonts w:ascii="Arial" w:hAnsi="Arial"/>
          <w:sz w:val="20"/>
          <w:szCs w:val="20"/>
        </w:rPr>
      </w:pPr>
      <w:r>
        <w:rPr>
          <w:rFonts w:ascii="Arial" w:hAnsi="Arial"/>
          <w:sz w:val="20"/>
          <w:szCs w:val="20"/>
        </w:rPr>
        <w:t xml:space="preserve">En relación con el reconocimiento de los recursos recibidos de FOGAFIN, el párrafo 264 del PGCP señala que los “Los ingresos son los flujos de entrada de recursos generados por la entidad contable pública, susceptibles de incrementar el patrimonio público durante el periodo contable, bien sea por aumento de activos o por disminución de pasivos, expresados en forma cuantitativa y que reflejan el desarrollo de la actividad ordinaria y los ingresos de carácter extraordinario” y el párrafo 270 del mismo texto normativo señala que “Las operaciones interinstitucionales están conformadas por los fondos recibidos, las operaciones de enlace y las operaciones sin flujo de efectivo. </w:t>
      </w:r>
    </w:p>
    <w:p w:rsidR="00070A34" w:rsidRDefault="00070A34">
      <w:pPr>
        <w:jc w:val="both"/>
        <w:rPr>
          <w:rFonts w:ascii="Arial" w:hAnsi="Arial"/>
          <w:sz w:val="20"/>
          <w:szCs w:val="20"/>
        </w:rPr>
      </w:pPr>
    </w:p>
    <w:p w:rsidR="00070A34" w:rsidRDefault="00070A34">
      <w:pPr>
        <w:jc w:val="both"/>
        <w:rPr>
          <w:rFonts w:ascii="Arial" w:hAnsi="Arial"/>
          <w:sz w:val="20"/>
          <w:szCs w:val="20"/>
        </w:rPr>
      </w:pPr>
      <w:r>
        <w:rPr>
          <w:rFonts w:ascii="Arial" w:hAnsi="Arial"/>
          <w:sz w:val="20"/>
          <w:szCs w:val="20"/>
        </w:rPr>
        <w:t>Los fondos se reconocen por el valor recibido y las operaciones de enlace y sin flujo de efectivo, por el valor de la operación que las genera” y el párrafo 271 indica que los ingresos “(…)</w:t>
      </w:r>
    </w:p>
    <w:p w:rsidR="00070A34" w:rsidRDefault="00070A34">
      <w:pPr>
        <w:jc w:val="both"/>
        <w:rPr>
          <w:rFonts w:ascii="Arial" w:hAnsi="Arial"/>
          <w:sz w:val="20"/>
          <w:szCs w:val="20"/>
        </w:rPr>
      </w:pPr>
    </w:p>
    <w:p w:rsidR="00070A34" w:rsidRDefault="00070A34">
      <w:pPr>
        <w:jc w:val="both"/>
        <w:rPr>
          <w:rFonts w:ascii="Arial" w:hAnsi="Arial"/>
          <w:sz w:val="20"/>
          <w:szCs w:val="20"/>
        </w:rPr>
      </w:pPr>
      <w:r>
        <w:rPr>
          <w:rFonts w:ascii="Arial" w:hAnsi="Arial"/>
          <w:sz w:val="20"/>
          <w:szCs w:val="20"/>
        </w:rPr>
        <w:t>Se clasifican en ingresos fiscales, venta de bienes y servicios, transferencias, administración del sistema general de pensiones, operaciones interinstitucionales y otros ingresos” (Subrayado fuera de texto).</w:t>
      </w:r>
    </w:p>
    <w:p w:rsidR="00070A34" w:rsidRDefault="00070A34">
      <w:pPr>
        <w:jc w:val="both"/>
        <w:rPr>
          <w:rFonts w:ascii="Arial" w:hAnsi="Arial"/>
          <w:sz w:val="20"/>
          <w:szCs w:val="20"/>
        </w:rPr>
      </w:pPr>
    </w:p>
    <w:p w:rsidR="00070A34" w:rsidRDefault="00070A34">
      <w:pPr>
        <w:jc w:val="both"/>
        <w:rPr>
          <w:rFonts w:ascii="Arial" w:hAnsi="Arial"/>
          <w:sz w:val="20"/>
          <w:szCs w:val="20"/>
        </w:rPr>
      </w:pPr>
      <w:r>
        <w:rPr>
          <w:rFonts w:ascii="Arial" w:hAnsi="Arial"/>
          <w:sz w:val="20"/>
          <w:szCs w:val="20"/>
        </w:rPr>
        <w:t>En relación con los gastos, el párrafo 283 del mismo texto normativo establece que “El reconocimiento de las operaciones interinstitucionales debe efectuarse por el valor entregado tratándose de fondos y, en el caso de las operaciones de enlace y las operaciones sin flujo de efectivo, por el valor de la operación que las genere”.</w:t>
      </w:r>
    </w:p>
    <w:p w:rsidR="00070A34" w:rsidRDefault="00070A34">
      <w:pPr>
        <w:jc w:val="both"/>
        <w:rPr>
          <w:rFonts w:ascii="Arial" w:hAnsi="Arial"/>
          <w:sz w:val="20"/>
          <w:szCs w:val="20"/>
        </w:rPr>
      </w:pPr>
    </w:p>
    <w:p w:rsidR="00070A34" w:rsidRDefault="00070A34">
      <w:pPr>
        <w:jc w:val="both"/>
        <w:rPr>
          <w:rFonts w:ascii="Arial" w:hAnsi="Arial"/>
          <w:sz w:val="20"/>
          <w:szCs w:val="20"/>
        </w:rPr>
      </w:pPr>
      <w:r>
        <w:rPr>
          <w:rFonts w:ascii="Arial" w:hAnsi="Arial"/>
          <w:sz w:val="20"/>
          <w:szCs w:val="20"/>
        </w:rPr>
        <w:t>En relación con el reconocimiento de las operaciones de enlace, el CGC describe la cuenta 4720- OPERACIONES DE ENLACE, indicando que “Representa el valor de los recaudos efectuados por la Dirección General de Crédito Público y del Tesoro Nacional-DGCPTN, de los ingresos reconocidos por otra entidad contable pública del nivel nacional. (…)” y la cuenta 5720-OPERACIONES DE ENLACE, “Representa el valor de la disminución del derecho reconocido por una entidad contable pública del nivel nacional, cuyo recaudo es efectuado por la Dirección General de Crédito Público y del Tesoro Nacional-DGCPTN. (…)”</w:t>
      </w:r>
    </w:p>
    <w:p w:rsidR="00070A34" w:rsidRDefault="00070A34">
      <w:pPr>
        <w:jc w:val="both"/>
        <w:rPr>
          <w:rFonts w:ascii="Arial" w:hAnsi="Arial"/>
          <w:sz w:val="20"/>
          <w:szCs w:val="20"/>
        </w:rPr>
      </w:pPr>
    </w:p>
    <w:p w:rsidR="00070A34" w:rsidRDefault="00070A34">
      <w:pPr>
        <w:jc w:val="both"/>
        <w:rPr>
          <w:rFonts w:ascii="Arial" w:hAnsi="Arial"/>
          <w:b/>
          <w:bCs/>
          <w:sz w:val="20"/>
          <w:szCs w:val="20"/>
        </w:rPr>
      </w:pPr>
      <w:r>
        <w:rPr>
          <w:rFonts w:ascii="Arial" w:hAnsi="Arial"/>
          <w:b/>
          <w:bCs/>
          <w:sz w:val="20"/>
          <w:szCs w:val="20"/>
        </w:rPr>
        <w:t>CONCLUSIÓN</w:t>
      </w:r>
    </w:p>
    <w:p w:rsidR="00070A34" w:rsidRDefault="00070A34">
      <w:pPr>
        <w:jc w:val="both"/>
        <w:rPr>
          <w:rFonts w:ascii="Arial" w:hAnsi="Arial"/>
          <w:b/>
          <w:bCs/>
          <w:sz w:val="20"/>
          <w:szCs w:val="20"/>
        </w:rPr>
      </w:pPr>
    </w:p>
    <w:p w:rsidR="00070A34" w:rsidRDefault="00070A34">
      <w:pPr>
        <w:jc w:val="both"/>
        <w:rPr>
          <w:rFonts w:ascii="Arial" w:hAnsi="Arial"/>
          <w:sz w:val="20"/>
          <w:szCs w:val="20"/>
        </w:rPr>
      </w:pPr>
      <w:r>
        <w:rPr>
          <w:rFonts w:ascii="Arial" w:hAnsi="Arial"/>
          <w:sz w:val="20"/>
          <w:szCs w:val="20"/>
        </w:rPr>
        <w:t xml:space="preserve">De las consideraciones expuestas se concluye que los recursos trasladados por FOGAFIN correspondientes a las reservas de la garantía por concepto de pensiones y cesantías a que se refiere el artículo 63 de la </w:t>
      </w:r>
      <w:hyperlink r:id="rId12" w:history="1">
        <w:r w:rsidR="00805363">
          <w:rPr>
            <w:rStyle w:val="Hyperlink"/>
            <w:rFonts w:ascii="Arial" w:hAnsi="Arial" w:cs="Arial"/>
            <w:i/>
            <w:iCs/>
            <w:kern w:val="2"/>
            <w:sz w:val="20"/>
            <w:szCs w:val="20"/>
          </w:rPr>
          <w:t>Ley 1450 de 2011</w:t>
        </w:r>
      </w:hyperlink>
      <w:r>
        <w:rPr>
          <w:rFonts w:ascii="Arial" w:hAnsi="Arial"/>
          <w:sz w:val="20"/>
          <w:szCs w:val="20"/>
        </w:rPr>
        <w:t>, se reconocen en el Ministerio de Hacienda y Crédito Público con un débito en la subcuenta 147090-Otros deudores, de la cuenta 1470-OTROS DEUDORES, y un crédito en la subcuenta 481090-Otros ingresos extraordinarios, de la cuenta 4810-EXTRAORDINARIOS.</w:t>
      </w:r>
    </w:p>
    <w:p w:rsidR="00070A34" w:rsidRDefault="00070A34">
      <w:pPr>
        <w:jc w:val="both"/>
        <w:rPr>
          <w:rFonts w:ascii="Arial" w:hAnsi="Arial"/>
          <w:sz w:val="20"/>
          <w:szCs w:val="20"/>
        </w:rPr>
      </w:pPr>
    </w:p>
    <w:p w:rsidR="00070A34" w:rsidRDefault="00070A34">
      <w:pPr>
        <w:jc w:val="both"/>
        <w:rPr>
          <w:rFonts w:ascii="Arial" w:hAnsi="Arial"/>
          <w:sz w:val="20"/>
          <w:szCs w:val="20"/>
        </w:rPr>
      </w:pPr>
      <w:r>
        <w:rPr>
          <w:rFonts w:ascii="Arial" w:hAnsi="Arial"/>
          <w:sz w:val="20"/>
          <w:szCs w:val="20"/>
        </w:rPr>
        <w:lastRenderedPageBreak/>
        <w:t>Con el recaudo, el Tesoro Nacional debita la subcuenta y cuenta que corresponda, del grupo 11- EFECTIVO o del grupo 12-INVERSIONES E INSTRUMENTOS DERIVADOS, según sea el caso, y un crédito en la subcuenta 472080-Recaudos, de la cuenta 4720-OPERACIONES DE ENLACE.</w:t>
      </w:r>
    </w:p>
    <w:p w:rsidR="00070A34" w:rsidRDefault="00070A34">
      <w:pPr>
        <w:jc w:val="both"/>
        <w:rPr>
          <w:rFonts w:ascii="Arial" w:hAnsi="Arial"/>
          <w:sz w:val="20"/>
          <w:szCs w:val="20"/>
        </w:rPr>
      </w:pPr>
    </w:p>
    <w:p w:rsidR="00070A34" w:rsidRDefault="00070A34">
      <w:pPr>
        <w:jc w:val="both"/>
        <w:rPr>
          <w:rFonts w:ascii="Arial" w:hAnsi="Arial"/>
          <w:sz w:val="20"/>
          <w:szCs w:val="20"/>
        </w:rPr>
      </w:pPr>
      <w:r>
        <w:rPr>
          <w:rFonts w:ascii="Arial" w:hAnsi="Arial"/>
          <w:sz w:val="20"/>
          <w:szCs w:val="20"/>
        </w:rPr>
        <w:t>Por su parte, el Ministerio de Hacienda y Crédito Público debita la subcuenta 572080-Recaudos, de la cuenta 5720-OPERACIONES DE ENLACE, y un crédito en la subcuenta 147090-Otros deudores, de la cuenta 1470-OTROS DEUDORES.</w:t>
      </w:r>
    </w:p>
    <w:p w:rsidR="00070A34" w:rsidRDefault="00070A34">
      <w:pPr>
        <w:jc w:val="both"/>
        <w:rPr>
          <w:rFonts w:ascii="Arial" w:hAnsi="Arial"/>
          <w:sz w:val="20"/>
          <w:szCs w:val="20"/>
        </w:rPr>
      </w:pPr>
    </w:p>
    <w:p w:rsidR="00070A34" w:rsidRDefault="00070A34">
      <w:pPr>
        <w:jc w:val="both"/>
        <w:rPr>
          <w:rFonts w:ascii="Arial" w:hAnsi="Arial"/>
          <w:sz w:val="20"/>
          <w:szCs w:val="20"/>
        </w:rPr>
      </w:pPr>
      <w:r>
        <w:rPr>
          <w:rFonts w:ascii="Arial" w:hAnsi="Arial"/>
          <w:sz w:val="20"/>
          <w:szCs w:val="20"/>
        </w:rPr>
        <w:t>En relación con la garantía, el MHCP debe registrar el valor de su estimación en cuentas de orden acreedoras contingentes mediante un crédito en la subcuenta 912190-Otras obligaciones potenciales, de la cuenta 9121-OBLIGACIONES POTENCIALES, y un débito en la subcuenta 990509- Obligaciones Potenciales, de la cuenta 9905-RESPONSABILIDADES CONTINGENTES POR CONTRA (DB), revelando en notas a los estados contables la información que resulte pertinente para una adecuada interpretación y análisis de la información contable. Adicionalmente, debe realizar las evaluaciones que considere pertinentes para determinar si se deben reconocer provisiones derivadas de las garantías a cargo de la Nación por concepto de pensiones y cesantías, de conformidad con el entorno jurídico y económico en el que se presenta el traslado de los recursos</w:t>
      </w:r>
    </w:p>
    <w:p w:rsidR="00070A34" w:rsidRDefault="00070A34">
      <w:pPr>
        <w:jc w:val="both"/>
        <w:rPr>
          <w:rFonts w:ascii="Arial" w:hAnsi="Arial"/>
          <w:sz w:val="20"/>
          <w:szCs w:val="20"/>
        </w:rPr>
      </w:pPr>
      <w:r>
        <w:rPr>
          <w:rFonts w:ascii="Arial" w:hAnsi="Arial"/>
          <w:sz w:val="20"/>
          <w:szCs w:val="20"/>
        </w:rPr>
        <w:t xml:space="preserve">ordenado por el artículo 63 de la </w:t>
      </w:r>
      <w:hyperlink r:id="rId13" w:history="1">
        <w:r w:rsidR="00805363">
          <w:rPr>
            <w:rStyle w:val="Hyperlink"/>
            <w:rFonts w:ascii="Arial" w:hAnsi="Arial" w:cs="Arial"/>
            <w:i/>
            <w:iCs/>
            <w:kern w:val="2"/>
            <w:sz w:val="20"/>
            <w:szCs w:val="20"/>
          </w:rPr>
          <w:t>Ley 1450 de 2011</w:t>
        </w:r>
      </w:hyperlink>
      <w:r>
        <w:rPr>
          <w:rFonts w:ascii="Arial" w:hAnsi="Arial"/>
          <w:sz w:val="20"/>
          <w:szCs w:val="20"/>
        </w:rPr>
        <w:t>.</w:t>
      </w:r>
    </w:p>
    <w:p w:rsidR="00070A34" w:rsidRDefault="00070A34">
      <w:pPr>
        <w:jc w:val="both"/>
      </w:pPr>
    </w:p>
    <w:sectPr w:rsidR="00070A3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9F4" w:rsidRDefault="007D39F4">
      <w:r>
        <w:separator/>
      </w:r>
    </w:p>
  </w:endnote>
  <w:endnote w:type="continuationSeparator" w:id="0">
    <w:p w:rsidR="007D39F4" w:rsidRDefault="007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MS PMincho"/>
    <w:charset w:val="80"/>
    <w:family w:val="roman"/>
    <w:pitch w:val="variable"/>
  </w:font>
  <w:font w:name="FZSongTi">
    <w:altName w:val="MS Mincho"/>
    <w:charset w:val="80"/>
    <w:family w:val="auto"/>
    <w:pitch w:val="variable"/>
  </w:font>
  <w:font w:name="Lohit Hindi">
    <w:altName w:val="MS Mincho"/>
    <w:charset w:val="80"/>
    <w:family w:val="auto"/>
    <w:pitch w:val="variable"/>
  </w:font>
  <w:font w:name="Albany AMT">
    <w:altName w:val="Arial Unicode MS"/>
    <w:charset w:val="80"/>
    <w:family w:val="swiss"/>
    <w:pitch w:val="variable"/>
  </w:font>
  <w:font w:name="FZHeiTi">
    <w:charset w:val="8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9F4" w:rsidRDefault="007D39F4">
      <w:r>
        <w:separator/>
      </w:r>
    </w:p>
  </w:footnote>
  <w:footnote w:type="continuationSeparator" w:id="0">
    <w:p w:rsidR="007D39F4" w:rsidRDefault="007D39F4">
      <w:r>
        <w:continuationSeparator/>
      </w:r>
    </w:p>
  </w:footnote>
  <w:footnote w:id="1">
    <w:p w:rsidR="00070A34" w:rsidRDefault="00070A34">
      <w:pPr>
        <w:pStyle w:val="FootnoteText"/>
        <w:jc w:val="both"/>
      </w:pPr>
      <w:r>
        <w:rPr>
          <w:rStyle w:val="Smbolodenotaalpie"/>
          <w:rFonts w:ascii="Arial" w:hAnsi="Arial"/>
        </w:rPr>
        <w:footnoteRef/>
      </w:r>
      <w:r>
        <w:tab/>
        <w:t>Mediante el artículo 1o. del Decreto 4327 de 2005, "por el cual se fusiona la Superintendencia Bancaria de Colombia en la Superintendencia de Valores y se modifica su estructura", publicado en el Diario Oficial No. 46.104 de 26 de noviembre de 2005. Se denomina en adelante Superintendencia Financiera de Colombia.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63"/>
    <w:rsid w:val="00070A34"/>
    <w:rsid w:val="005B181C"/>
    <w:rsid w:val="007D39F4"/>
    <w:rsid w:val="008053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bolodenotaalpie">
    <w:name w:val="Símbolo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Smbolodenotafinal">
    <w:name w:val="Símbolo de nota final"/>
  </w:style>
  <w:style w:type="paragraph" w:customStyle="1" w:styleId="Encabezado1">
    <w:name w:val="Encabezado1"/>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FootnoteText">
    <w:name w:val="footnote text"/>
    <w:basedOn w:val="Normal"/>
    <w:pPr>
      <w:suppressLineNumbers/>
      <w:ind w:left="283" w:hanging="283"/>
    </w:pPr>
    <w:rPr>
      <w:sz w:val="20"/>
      <w:szCs w:val="20"/>
    </w:rPr>
  </w:style>
  <w:style w:type="character" w:styleId="Hyperlink">
    <w:name w:val="Hyperlink"/>
    <w:uiPriority w:val="99"/>
    <w:unhideWhenUsed/>
    <w:rsid w:val="008053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bolodenotaalpie">
    <w:name w:val="Símbolo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Smbolodenotafinal">
    <w:name w:val="Símbolo de nota final"/>
  </w:style>
  <w:style w:type="paragraph" w:customStyle="1" w:styleId="Encabezado1">
    <w:name w:val="Encabezado1"/>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FootnoteText">
    <w:name w:val="footnote text"/>
    <w:basedOn w:val="Normal"/>
    <w:pPr>
      <w:suppressLineNumbers/>
      <w:ind w:left="283" w:hanging="283"/>
    </w:pPr>
    <w:rPr>
      <w:sz w:val="20"/>
      <w:szCs w:val="20"/>
    </w:rPr>
  </w:style>
  <w:style w:type="character" w:styleId="Hyperlink">
    <w:name w:val="Hyperlink"/>
    <w:uiPriority w:val="99"/>
    <w:unhideWhenUsed/>
    <w:rsid w:val="00805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icieroficial.com/secCodigos.php/LEY_100_%20DE_1993.htm" TargetMode="External"/><Relationship Id="rId13" Type="http://schemas.openxmlformats.org/officeDocument/2006/relationships/hyperlink" Target="http://www.noticieroficial.com/leyes/LEY1450-2011.htm" TargetMode="External"/><Relationship Id="rId3" Type="http://schemas.openxmlformats.org/officeDocument/2006/relationships/settings" Target="settings.xml"/><Relationship Id="rId7" Type="http://schemas.openxmlformats.org/officeDocument/2006/relationships/hyperlink" Target="http://www.noticieroficial.com/leyes/LEY1450-2011.htm" TargetMode="External"/><Relationship Id="rId12" Type="http://schemas.openxmlformats.org/officeDocument/2006/relationships/hyperlink" Target="http://www.noticieroficial.com/leyes/LEY1450-201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oticieroficial.com/leyes/LEY1450-2011.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oticieroficial.com/leyes/LEY1450-2011.htm" TargetMode="External"/><Relationship Id="rId4" Type="http://schemas.openxmlformats.org/officeDocument/2006/relationships/webSettings" Target="webSettings.xml"/><Relationship Id="rId9" Type="http://schemas.openxmlformats.org/officeDocument/2006/relationships/hyperlink" Target="http://www.noticieroficial.com/entes/ministerios/MINHCPD1515-1998.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1526</Words>
  <Characters>8395</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9902</CharactersWithSpaces>
  <SharedDoc>false</SharedDoc>
  <HLinks>
    <vt:vector size="42" baseType="variant">
      <vt:variant>
        <vt:i4>1310797</vt:i4>
      </vt:variant>
      <vt:variant>
        <vt:i4>18</vt:i4>
      </vt:variant>
      <vt:variant>
        <vt:i4>0</vt:i4>
      </vt:variant>
      <vt:variant>
        <vt:i4>5</vt:i4>
      </vt:variant>
      <vt:variant>
        <vt:lpwstr>http://www.noticieroficial.com/leyes/LEY1450-2011.htm</vt:lpwstr>
      </vt:variant>
      <vt:variant>
        <vt:lpwstr/>
      </vt:variant>
      <vt:variant>
        <vt:i4>1310797</vt:i4>
      </vt:variant>
      <vt:variant>
        <vt:i4>15</vt:i4>
      </vt:variant>
      <vt:variant>
        <vt:i4>0</vt:i4>
      </vt:variant>
      <vt:variant>
        <vt:i4>5</vt:i4>
      </vt:variant>
      <vt:variant>
        <vt:lpwstr>http://www.noticieroficial.com/leyes/LEY1450-2011.htm</vt:lpwstr>
      </vt:variant>
      <vt:variant>
        <vt:lpwstr/>
      </vt:variant>
      <vt:variant>
        <vt:i4>1310797</vt:i4>
      </vt:variant>
      <vt:variant>
        <vt:i4>12</vt:i4>
      </vt:variant>
      <vt:variant>
        <vt:i4>0</vt:i4>
      </vt:variant>
      <vt:variant>
        <vt:i4>5</vt:i4>
      </vt:variant>
      <vt:variant>
        <vt:lpwstr>http://www.noticieroficial.com/leyes/LEY1450-2011.htm</vt:lpwstr>
      </vt:variant>
      <vt:variant>
        <vt:lpwstr/>
      </vt:variant>
      <vt:variant>
        <vt:i4>1310797</vt:i4>
      </vt:variant>
      <vt:variant>
        <vt:i4>9</vt:i4>
      </vt:variant>
      <vt:variant>
        <vt:i4>0</vt:i4>
      </vt:variant>
      <vt:variant>
        <vt:i4>5</vt:i4>
      </vt:variant>
      <vt:variant>
        <vt:lpwstr>http://www.noticieroficial.com/leyes/LEY1450-2011.htm</vt:lpwstr>
      </vt:variant>
      <vt:variant>
        <vt:lpwstr/>
      </vt:variant>
      <vt:variant>
        <vt:i4>7143549</vt:i4>
      </vt:variant>
      <vt:variant>
        <vt:i4>6</vt:i4>
      </vt:variant>
      <vt:variant>
        <vt:i4>0</vt:i4>
      </vt:variant>
      <vt:variant>
        <vt:i4>5</vt:i4>
      </vt:variant>
      <vt:variant>
        <vt:lpwstr>http://www.noticieroficial.com/entes/ministerios/MINHCPD1515-1998.html</vt:lpwstr>
      </vt:variant>
      <vt:variant>
        <vt:lpwstr/>
      </vt:variant>
      <vt:variant>
        <vt:i4>4915250</vt:i4>
      </vt:variant>
      <vt:variant>
        <vt:i4>3</vt:i4>
      </vt:variant>
      <vt:variant>
        <vt:i4>0</vt:i4>
      </vt:variant>
      <vt:variant>
        <vt:i4>5</vt:i4>
      </vt:variant>
      <vt:variant>
        <vt:lpwstr>http://www.noticieroficial.com/secCodigos.php/LEY_100_ DE_1993.htm</vt:lpwstr>
      </vt:variant>
      <vt:variant>
        <vt:lpwstr/>
      </vt:variant>
      <vt:variant>
        <vt:i4>1310797</vt:i4>
      </vt:variant>
      <vt:variant>
        <vt:i4>0</vt:i4>
      </vt:variant>
      <vt:variant>
        <vt:i4>0</vt:i4>
      </vt:variant>
      <vt:variant>
        <vt:i4>5</vt:i4>
      </vt:variant>
      <vt:variant>
        <vt:lpwstr>http://www.noticieroficial.com/leyes/LEY1450-2011.htm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Jezreel</cp:lastModifiedBy>
  <cp:revision>2</cp:revision>
  <cp:lastPrinted>1601-01-01T00:00:00Z</cp:lastPrinted>
  <dcterms:created xsi:type="dcterms:W3CDTF">2012-08-05T14:40:00Z</dcterms:created>
  <dcterms:modified xsi:type="dcterms:W3CDTF">2012-08-05T14:40:00Z</dcterms:modified>
</cp:coreProperties>
</file>