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4D9" w:rsidRDefault="008314D9">
      <w:pPr>
        <w:rPr>
          <w:rFonts w:ascii="Arial" w:hAnsi="Arial"/>
          <w:sz w:val="20"/>
          <w:szCs w:val="20"/>
        </w:rPr>
      </w:pPr>
      <w:bookmarkStart w:id="0" w:name="_GoBack"/>
      <w:bookmarkEnd w:id="0"/>
    </w:p>
    <w:p w:rsidR="008314D9" w:rsidRDefault="008314D9">
      <w:pPr>
        <w:jc w:val="center"/>
        <w:rPr>
          <w:rFonts w:ascii="Arial" w:hAnsi="Arial"/>
          <w:b/>
          <w:bCs/>
          <w:color w:val="000080"/>
          <w:sz w:val="20"/>
          <w:szCs w:val="20"/>
        </w:rPr>
      </w:pPr>
      <w:r>
        <w:rPr>
          <w:rFonts w:ascii="Arial" w:hAnsi="Arial"/>
          <w:b/>
          <w:bCs/>
          <w:color w:val="000080"/>
          <w:sz w:val="20"/>
          <w:szCs w:val="20"/>
        </w:rPr>
        <w:t>CONTADURÍA GENERAL DE LA NACIÓN</w:t>
      </w:r>
    </w:p>
    <w:p w:rsidR="008314D9" w:rsidRDefault="008314D9">
      <w:pPr>
        <w:jc w:val="center"/>
        <w:rPr>
          <w:rFonts w:ascii="Arial" w:hAnsi="Arial"/>
          <w:b/>
          <w:bCs/>
          <w:sz w:val="20"/>
          <w:szCs w:val="20"/>
        </w:rPr>
      </w:pPr>
      <w:r>
        <w:rPr>
          <w:rFonts w:ascii="Arial" w:hAnsi="Arial"/>
          <w:b/>
          <w:bCs/>
          <w:sz w:val="20"/>
          <w:szCs w:val="20"/>
        </w:rPr>
        <w:t>CONCEPTO JURÍDICO No. 1300002041 DE 2012</w:t>
      </w:r>
    </w:p>
    <w:p w:rsidR="008314D9" w:rsidRDefault="008314D9">
      <w:pPr>
        <w:jc w:val="center"/>
        <w:rPr>
          <w:rFonts w:ascii="Arial" w:hAnsi="Arial"/>
          <w:color w:val="800000"/>
          <w:sz w:val="20"/>
          <w:szCs w:val="20"/>
        </w:rPr>
      </w:pPr>
      <w:r>
        <w:rPr>
          <w:rFonts w:ascii="Arial" w:hAnsi="Arial"/>
          <w:color w:val="800000"/>
          <w:sz w:val="20"/>
          <w:szCs w:val="20"/>
        </w:rPr>
        <w:t>(febrero 09)</w:t>
      </w:r>
    </w:p>
    <w:p w:rsidR="008314D9" w:rsidRDefault="008314D9">
      <w:pPr>
        <w:jc w:val="center"/>
        <w:rPr>
          <w:rFonts w:ascii="Arial" w:hAnsi="Arial"/>
          <w:sz w:val="20"/>
          <w:szCs w:val="20"/>
        </w:rPr>
      </w:pPr>
    </w:p>
    <w:p w:rsidR="008314D9" w:rsidRDefault="008314D9">
      <w:pPr>
        <w:jc w:val="center"/>
        <w:rPr>
          <w:rFonts w:ascii="Arial" w:hAnsi="Arial"/>
          <w:sz w:val="20"/>
          <w:szCs w:val="20"/>
        </w:rPr>
      </w:pPr>
    </w:p>
    <w:p w:rsidR="008314D9" w:rsidRDefault="008314D9">
      <w:pPr>
        <w:rPr>
          <w:rFonts w:ascii="Arial" w:hAnsi="Arial"/>
          <w:sz w:val="20"/>
          <w:szCs w:val="20"/>
        </w:rPr>
      </w:pPr>
      <w:r>
        <w:rPr>
          <w:rFonts w:ascii="Arial" w:hAnsi="Arial"/>
          <w:b/>
          <w:bCs/>
          <w:sz w:val="20"/>
          <w:szCs w:val="20"/>
        </w:rPr>
        <w:t xml:space="preserve">Tema 1.1        </w:t>
      </w:r>
      <w:r>
        <w:rPr>
          <w:rFonts w:ascii="Arial" w:hAnsi="Arial"/>
          <w:sz w:val="20"/>
          <w:szCs w:val="20"/>
        </w:rPr>
        <w:t>1305 Vigencia 1 actual</w:t>
      </w:r>
    </w:p>
    <w:p w:rsidR="008314D9" w:rsidRDefault="008314D9">
      <w:pPr>
        <w:rPr>
          <w:rFonts w:ascii="Arial" w:hAnsi="Arial"/>
          <w:sz w:val="20"/>
          <w:szCs w:val="20"/>
        </w:rPr>
      </w:pPr>
    </w:p>
    <w:p w:rsidR="008314D9" w:rsidRDefault="008314D9">
      <w:pPr>
        <w:jc w:val="both"/>
        <w:rPr>
          <w:rFonts w:ascii="Arial" w:hAnsi="Arial"/>
          <w:sz w:val="20"/>
          <w:szCs w:val="20"/>
        </w:rPr>
      </w:pPr>
      <w:r>
        <w:rPr>
          <w:rFonts w:ascii="Arial" w:hAnsi="Arial"/>
          <w:b/>
          <w:bCs/>
          <w:sz w:val="20"/>
          <w:szCs w:val="20"/>
        </w:rPr>
        <w:t>Subtema 1.1.1</w:t>
      </w:r>
      <w:r>
        <w:rPr>
          <w:rFonts w:ascii="Arial" w:hAnsi="Arial"/>
          <w:sz w:val="20"/>
          <w:szCs w:val="20"/>
        </w:rPr>
        <w:t xml:space="preserve"> Reconocimiento contable del impuesto de industria y comercio</w:t>
      </w:r>
    </w:p>
    <w:p w:rsidR="008314D9" w:rsidRDefault="008314D9">
      <w:pPr>
        <w:jc w:val="both"/>
        <w:rPr>
          <w:rFonts w:ascii="Arial" w:hAnsi="Arial"/>
          <w:sz w:val="20"/>
          <w:szCs w:val="20"/>
        </w:rPr>
      </w:pPr>
    </w:p>
    <w:p w:rsidR="008314D9" w:rsidRDefault="008314D9">
      <w:pPr>
        <w:jc w:val="both"/>
        <w:rPr>
          <w:rFonts w:ascii="Arial" w:hAnsi="Arial"/>
          <w:sz w:val="20"/>
          <w:szCs w:val="20"/>
        </w:rPr>
      </w:pPr>
      <w:r>
        <w:rPr>
          <w:rFonts w:ascii="Arial" w:hAnsi="Arial"/>
          <w:b/>
          <w:bCs/>
          <w:sz w:val="20"/>
          <w:szCs w:val="20"/>
        </w:rPr>
        <w:t>Tema 1.1.</w:t>
      </w:r>
      <w:r>
        <w:rPr>
          <w:rFonts w:ascii="Arial" w:hAnsi="Arial"/>
          <w:sz w:val="20"/>
          <w:szCs w:val="20"/>
        </w:rPr>
        <w:t xml:space="preserve"> Normas técnicas relativas a las cuentas de actividad financiera, 2 económica, social y  ambiental/ Ingresos</w:t>
      </w:r>
    </w:p>
    <w:p w:rsidR="008314D9" w:rsidRDefault="008314D9">
      <w:pPr>
        <w:jc w:val="both"/>
        <w:rPr>
          <w:rFonts w:ascii="Arial" w:hAnsi="Arial"/>
          <w:sz w:val="20"/>
          <w:szCs w:val="20"/>
        </w:rPr>
      </w:pPr>
    </w:p>
    <w:p w:rsidR="008314D9" w:rsidRDefault="008314D9">
      <w:pPr>
        <w:jc w:val="both"/>
        <w:rPr>
          <w:rFonts w:ascii="Arial" w:hAnsi="Arial"/>
          <w:sz w:val="20"/>
          <w:szCs w:val="20"/>
        </w:rPr>
      </w:pPr>
      <w:r>
        <w:rPr>
          <w:rFonts w:ascii="Arial" w:hAnsi="Arial"/>
          <w:b/>
          <w:bCs/>
          <w:sz w:val="20"/>
          <w:szCs w:val="20"/>
        </w:rPr>
        <w:t>Subtema 1.1.1.</w:t>
      </w:r>
      <w:r>
        <w:rPr>
          <w:rFonts w:ascii="Arial" w:hAnsi="Arial"/>
          <w:sz w:val="20"/>
          <w:szCs w:val="20"/>
        </w:rPr>
        <w:t xml:space="preserve">  Clasificación de los ingresos desde la perspectiva contable </w:t>
      </w:r>
    </w:p>
    <w:p w:rsidR="008314D9" w:rsidRDefault="008314D9">
      <w:pPr>
        <w:jc w:val="both"/>
        <w:rPr>
          <w:rFonts w:ascii="Arial" w:hAnsi="Arial"/>
          <w:sz w:val="20"/>
          <w:szCs w:val="20"/>
        </w:rPr>
      </w:pPr>
    </w:p>
    <w:p w:rsidR="008314D9" w:rsidRDefault="008314D9">
      <w:pPr>
        <w:jc w:val="both"/>
        <w:rPr>
          <w:rFonts w:ascii="Arial" w:hAnsi="Arial"/>
          <w:sz w:val="20"/>
          <w:szCs w:val="20"/>
        </w:rPr>
      </w:pPr>
    </w:p>
    <w:p w:rsidR="008314D9" w:rsidRDefault="008314D9">
      <w:pPr>
        <w:jc w:val="both"/>
        <w:rPr>
          <w:rFonts w:ascii="Arial" w:hAnsi="Arial"/>
          <w:b/>
          <w:bCs/>
          <w:sz w:val="20"/>
          <w:szCs w:val="20"/>
        </w:rPr>
      </w:pPr>
      <w:r>
        <w:rPr>
          <w:rFonts w:ascii="Arial" w:hAnsi="Arial"/>
          <w:b/>
          <w:bCs/>
          <w:sz w:val="20"/>
          <w:szCs w:val="20"/>
        </w:rPr>
        <w:t>ANTECEDENTES</w:t>
      </w:r>
    </w:p>
    <w:p w:rsidR="008314D9" w:rsidRDefault="008314D9">
      <w:pPr>
        <w:jc w:val="both"/>
        <w:rPr>
          <w:rFonts w:ascii="Arial" w:hAnsi="Arial"/>
          <w:b/>
          <w:bCs/>
          <w:sz w:val="20"/>
          <w:szCs w:val="20"/>
        </w:rPr>
      </w:pPr>
    </w:p>
    <w:p w:rsidR="008314D9" w:rsidRDefault="008314D9">
      <w:pPr>
        <w:jc w:val="both"/>
        <w:rPr>
          <w:rFonts w:ascii="Arial" w:hAnsi="Arial"/>
          <w:sz w:val="20"/>
          <w:szCs w:val="20"/>
        </w:rPr>
      </w:pPr>
      <w:r>
        <w:rPr>
          <w:rFonts w:ascii="Arial" w:hAnsi="Arial"/>
          <w:sz w:val="20"/>
          <w:szCs w:val="20"/>
        </w:rPr>
        <w:t>Me refiero a su derecho de petición radicado con el número 2012-550-000293-2 en el cual consulta los siguientes aspectos:</w:t>
      </w:r>
    </w:p>
    <w:p w:rsidR="008314D9" w:rsidRDefault="008314D9">
      <w:pPr>
        <w:jc w:val="both"/>
        <w:rPr>
          <w:rFonts w:ascii="Arial" w:hAnsi="Arial"/>
          <w:sz w:val="20"/>
          <w:szCs w:val="20"/>
        </w:rPr>
      </w:pPr>
    </w:p>
    <w:p w:rsidR="008314D9" w:rsidRDefault="008314D9">
      <w:pPr>
        <w:jc w:val="both"/>
        <w:rPr>
          <w:rFonts w:ascii="Arial" w:hAnsi="Arial"/>
          <w:sz w:val="20"/>
          <w:szCs w:val="20"/>
        </w:rPr>
      </w:pPr>
      <w:r>
        <w:rPr>
          <w:rFonts w:ascii="Arial" w:hAnsi="Arial"/>
          <w:sz w:val="20"/>
          <w:szCs w:val="20"/>
        </w:rPr>
        <w:t>1. La totalidad de las empresas propiedad de la Nación son sujeto pasivo de impuestos territoriales en especial el de Industria y Comercio. No obstante, para su pago existen dos metodologías para liquidarlo y ellas son:</w:t>
      </w:r>
    </w:p>
    <w:p w:rsidR="008314D9" w:rsidRDefault="008314D9">
      <w:pPr>
        <w:jc w:val="both"/>
        <w:rPr>
          <w:rFonts w:ascii="Arial" w:hAnsi="Arial"/>
          <w:sz w:val="20"/>
          <w:szCs w:val="20"/>
        </w:rPr>
      </w:pPr>
    </w:p>
    <w:p w:rsidR="008314D9" w:rsidRDefault="008314D9">
      <w:pPr>
        <w:jc w:val="both"/>
        <w:rPr>
          <w:rFonts w:ascii="Arial" w:hAnsi="Arial"/>
          <w:sz w:val="20"/>
          <w:szCs w:val="20"/>
        </w:rPr>
      </w:pPr>
      <w:r>
        <w:rPr>
          <w:rFonts w:ascii="Arial" w:hAnsi="Arial"/>
          <w:sz w:val="20"/>
          <w:szCs w:val="20"/>
        </w:rPr>
        <w:t>a) Sobre el valor promedio facturado por la empresa.</w:t>
      </w:r>
    </w:p>
    <w:p w:rsidR="008314D9" w:rsidRDefault="008314D9">
      <w:pPr>
        <w:jc w:val="both"/>
        <w:rPr>
          <w:rFonts w:ascii="Arial" w:hAnsi="Arial"/>
          <w:sz w:val="20"/>
          <w:szCs w:val="20"/>
        </w:rPr>
      </w:pPr>
    </w:p>
    <w:p w:rsidR="008314D9" w:rsidRDefault="008314D9">
      <w:pPr>
        <w:jc w:val="both"/>
        <w:rPr>
          <w:rFonts w:ascii="Arial" w:hAnsi="Arial"/>
          <w:sz w:val="20"/>
          <w:szCs w:val="20"/>
        </w:rPr>
      </w:pPr>
      <w:r>
        <w:rPr>
          <w:rFonts w:ascii="Arial" w:hAnsi="Arial"/>
          <w:sz w:val="20"/>
          <w:szCs w:val="20"/>
        </w:rPr>
        <w:t>b) Sobre el promedio mensual de ingresos brutos del año inmediatamente anterior.</w:t>
      </w:r>
    </w:p>
    <w:p w:rsidR="008314D9" w:rsidRDefault="008314D9">
      <w:pPr>
        <w:jc w:val="both"/>
        <w:rPr>
          <w:rFonts w:ascii="Arial" w:hAnsi="Arial"/>
          <w:sz w:val="20"/>
          <w:szCs w:val="20"/>
        </w:rPr>
      </w:pPr>
    </w:p>
    <w:p w:rsidR="008314D9" w:rsidRDefault="008314D9">
      <w:pPr>
        <w:jc w:val="both"/>
        <w:rPr>
          <w:rFonts w:ascii="Arial" w:hAnsi="Arial"/>
          <w:sz w:val="20"/>
          <w:szCs w:val="20"/>
        </w:rPr>
      </w:pPr>
      <w:r>
        <w:rPr>
          <w:rFonts w:ascii="Arial" w:hAnsi="Arial"/>
          <w:sz w:val="20"/>
          <w:szCs w:val="20"/>
        </w:rPr>
        <w:t>Por lo anterior, solicita que se le indique desde el punto de vista contable cual es la diferencia entre dichas metodologías.</w:t>
      </w:r>
    </w:p>
    <w:p w:rsidR="008314D9" w:rsidRDefault="008314D9">
      <w:pPr>
        <w:jc w:val="both"/>
        <w:rPr>
          <w:rFonts w:ascii="Arial" w:hAnsi="Arial"/>
          <w:sz w:val="20"/>
          <w:szCs w:val="20"/>
        </w:rPr>
      </w:pPr>
    </w:p>
    <w:p w:rsidR="008314D9" w:rsidRDefault="008314D9">
      <w:pPr>
        <w:jc w:val="both"/>
        <w:rPr>
          <w:rFonts w:ascii="Arial" w:hAnsi="Arial"/>
          <w:sz w:val="20"/>
          <w:szCs w:val="20"/>
        </w:rPr>
      </w:pPr>
      <w:r>
        <w:rPr>
          <w:rFonts w:ascii="Arial" w:hAnsi="Arial"/>
          <w:sz w:val="20"/>
          <w:szCs w:val="20"/>
        </w:rPr>
        <w:t xml:space="preserve">2. Teniendo en cuenta que el segundo párrafo del artículo 210 de la </w:t>
      </w:r>
      <w:hyperlink r:id="rId5" w:history="1">
        <w:r w:rsidR="00AF56BA">
          <w:rPr>
            <w:rStyle w:val="Hyperlink"/>
            <w:rFonts w:ascii="Arial" w:hAnsi="Arial" w:cs="Arial"/>
            <w:i/>
            <w:iCs/>
            <w:kern w:val="2"/>
            <w:sz w:val="20"/>
            <w:szCs w:val="20"/>
          </w:rPr>
          <w:t>Ley 1450 de 2011</w:t>
        </w:r>
      </w:hyperlink>
      <w:r>
        <w:rPr>
          <w:rFonts w:ascii="Arial" w:hAnsi="Arial"/>
          <w:sz w:val="20"/>
          <w:szCs w:val="20"/>
        </w:rPr>
        <w:t xml:space="preserve"> establece: “Los departamentos y municipios dedicarán un porcentaje no inferior al 1% de sus ingresos corrientes para la adquisición y mantenimiento de dichas zonas”. Solicita que se le informe desde el </w:t>
      </w:r>
    </w:p>
    <w:p w:rsidR="008314D9" w:rsidRDefault="008314D9">
      <w:pPr>
        <w:jc w:val="both"/>
        <w:rPr>
          <w:rFonts w:ascii="Arial" w:hAnsi="Arial"/>
          <w:sz w:val="20"/>
          <w:szCs w:val="20"/>
        </w:rPr>
      </w:pPr>
      <w:r>
        <w:rPr>
          <w:rFonts w:ascii="Arial" w:hAnsi="Arial"/>
          <w:sz w:val="20"/>
          <w:szCs w:val="20"/>
        </w:rPr>
        <w:t>punto de vista contable cuales son los ingresos corrientes de una entidad territorial (municipio o departamento).</w:t>
      </w:r>
    </w:p>
    <w:p w:rsidR="008314D9" w:rsidRDefault="008314D9">
      <w:pPr>
        <w:jc w:val="both"/>
        <w:rPr>
          <w:rFonts w:ascii="Arial" w:hAnsi="Arial"/>
          <w:sz w:val="20"/>
          <w:szCs w:val="20"/>
        </w:rPr>
      </w:pPr>
    </w:p>
    <w:p w:rsidR="008314D9" w:rsidRDefault="008314D9">
      <w:pPr>
        <w:jc w:val="both"/>
        <w:rPr>
          <w:rFonts w:ascii="Arial" w:hAnsi="Arial"/>
          <w:sz w:val="20"/>
          <w:szCs w:val="20"/>
        </w:rPr>
      </w:pPr>
      <w:r>
        <w:rPr>
          <w:rFonts w:ascii="Arial" w:hAnsi="Arial"/>
          <w:sz w:val="20"/>
          <w:szCs w:val="20"/>
        </w:rPr>
        <w:t>Sobre el particular, me permito manifestarle:</w:t>
      </w:r>
    </w:p>
    <w:p w:rsidR="008314D9" w:rsidRDefault="008314D9">
      <w:pPr>
        <w:jc w:val="both"/>
        <w:rPr>
          <w:rFonts w:ascii="Arial" w:hAnsi="Arial"/>
          <w:sz w:val="20"/>
          <w:szCs w:val="20"/>
        </w:rPr>
      </w:pPr>
    </w:p>
    <w:p w:rsidR="008314D9" w:rsidRDefault="008314D9">
      <w:pPr>
        <w:jc w:val="both"/>
        <w:rPr>
          <w:rFonts w:ascii="Arial" w:hAnsi="Arial"/>
          <w:b/>
          <w:bCs/>
          <w:sz w:val="20"/>
          <w:szCs w:val="20"/>
        </w:rPr>
      </w:pPr>
      <w:r>
        <w:rPr>
          <w:rFonts w:ascii="Arial" w:hAnsi="Arial"/>
          <w:b/>
          <w:bCs/>
          <w:sz w:val="20"/>
          <w:szCs w:val="20"/>
        </w:rPr>
        <w:t>CONSIDERACIONES</w:t>
      </w:r>
    </w:p>
    <w:p w:rsidR="008314D9" w:rsidRDefault="008314D9">
      <w:pPr>
        <w:jc w:val="both"/>
        <w:rPr>
          <w:rFonts w:ascii="Arial" w:hAnsi="Arial"/>
          <w:b/>
          <w:bCs/>
          <w:sz w:val="20"/>
          <w:szCs w:val="20"/>
        </w:rPr>
      </w:pPr>
    </w:p>
    <w:p w:rsidR="008314D9" w:rsidRDefault="008314D9">
      <w:pPr>
        <w:jc w:val="both"/>
        <w:rPr>
          <w:rFonts w:ascii="Arial" w:hAnsi="Arial"/>
          <w:sz w:val="20"/>
          <w:szCs w:val="20"/>
        </w:rPr>
      </w:pPr>
      <w:r>
        <w:rPr>
          <w:rFonts w:ascii="Arial" w:hAnsi="Arial"/>
          <w:sz w:val="20"/>
          <w:szCs w:val="20"/>
        </w:rPr>
        <w:t xml:space="preserve">Pregunta 1. Impuesto de Industria y Comercio. </w:t>
      </w:r>
    </w:p>
    <w:p w:rsidR="008314D9" w:rsidRDefault="008314D9">
      <w:pPr>
        <w:jc w:val="both"/>
        <w:rPr>
          <w:rFonts w:ascii="Arial" w:hAnsi="Arial"/>
          <w:sz w:val="20"/>
          <w:szCs w:val="20"/>
        </w:rPr>
      </w:pPr>
    </w:p>
    <w:p w:rsidR="008314D9" w:rsidRDefault="008314D9">
      <w:pPr>
        <w:jc w:val="both"/>
        <w:rPr>
          <w:rFonts w:ascii="Arial" w:hAnsi="Arial"/>
          <w:sz w:val="20"/>
          <w:szCs w:val="20"/>
        </w:rPr>
      </w:pPr>
      <w:r>
        <w:rPr>
          <w:rFonts w:ascii="Arial" w:hAnsi="Arial"/>
          <w:sz w:val="20"/>
          <w:szCs w:val="20"/>
        </w:rPr>
        <w:t>En lo relacionado con la normatividad contable, los párrafos 148, 223 y 226 contenidos en el Plan General de Contabilidad Pública del Régimen de Contabilidad Pública, respecto a las rentas por cobrar y las cuentas por cobrar, indican:</w:t>
      </w:r>
    </w:p>
    <w:p w:rsidR="008314D9" w:rsidRDefault="008314D9">
      <w:pPr>
        <w:jc w:val="both"/>
        <w:rPr>
          <w:rFonts w:ascii="Arial" w:hAnsi="Arial"/>
          <w:sz w:val="20"/>
          <w:szCs w:val="20"/>
        </w:rPr>
      </w:pPr>
    </w:p>
    <w:p w:rsidR="008314D9" w:rsidRDefault="008314D9">
      <w:pPr>
        <w:jc w:val="both"/>
        <w:rPr>
          <w:rFonts w:ascii="Arial" w:hAnsi="Arial"/>
          <w:sz w:val="20"/>
          <w:szCs w:val="20"/>
        </w:rPr>
      </w:pPr>
      <w:r>
        <w:rPr>
          <w:rFonts w:ascii="Arial" w:hAnsi="Arial"/>
          <w:sz w:val="20"/>
          <w:szCs w:val="20"/>
        </w:rPr>
        <w:t>“9.1.1 Normas técnicas relativas a los activos</w:t>
      </w:r>
    </w:p>
    <w:p w:rsidR="008314D9" w:rsidRDefault="008314D9">
      <w:pPr>
        <w:jc w:val="both"/>
        <w:rPr>
          <w:rFonts w:ascii="Arial" w:hAnsi="Arial"/>
          <w:sz w:val="20"/>
          <w:szCs w:val="20"/>
        </w:rPr>
      </w:pPr>
    </w:p>
    <w:p w:rsidR="008314D9" w:rsidRDefault="008314D9">
      <w:pPr>
        <w:jc w:val="both"/>
        <w:rPr>
          <w:rFonts w:ascii="Arial" w:hAnsi="Arial"/>
          <w:sz w:val="20"/>
          <w:szCs w:val="20"/>
        </w:rPr>
      </w:pPr>
      <w:r>
        <w:rPr>
          <w:rFonts w:ascii="Arial" w:hAnsi="Arial"/>
          <w:sz w:val="20"/>
          <w:szCs w:val="20"/>
        </w:rPr>
        <w:t>(…)</w:t>
      </w:r>
    </w:p>
    <w:p w:rsidR="008314D9" w:rsidRDefault="008314D9">
      <w:pPr>
        <w:jc w:val="both"/>
        <w:rPr>
          <w:rFonts w:ascii="Arial" w:hAnsi="Arial"/>
          <w:sz w:val="20"/>
          <w:szCs w:val="20"/>
        </w:rPr>
      </w:pPr>
    </w:p>
    <w:p w:rsidR="008314D9" w:rsidRDefault="008314D9">
      <w:pPr>
        <w:jc w:val="both"/>
        <w:rPr>
          <w:rFonts w:ascii="Arial" w:hAnsi="Arial"/>
          <w:sz w:val="20"/>
          <w:szCs w:val="20"/>
        </w:rPr>
      </w:pPr>
      <w:r>
        <w:rPr>
          <w:rFonts w:ascii="Arial" w:hAnsi="Arial"/>
          <w:sz w:val="20"/>
          <w:szCs w:val="20"/>
        </w:rPr>
        <w:t>9.1.1.2 Rentas por cobrar</w:t>
      </w:r>
    </w:p>
    <w:p w:rsidR="008314D9" w:rsidRDefault="008314D9">
      <w:pPr>
        <w:jc w:val="both"/>
        <w:rPr>
          <w:rFonts w:ascii="Arial" w:hAnsi="Arial"/>
          <w:sz w:val="20"/>
          <w:szCs w:val="20"/>
        </w:rPr>
      </w:pPr>
    </w:p>
    <w:p w:rsidR="008314D9" w:rsidRDefault="008314D9">
      <w:pPr>
        <w:jc w:val="both"/>
        <w:rPr>
          <w:rFonts w:ascii="Arial" w:hAnsi="Arial"/>
          <w:sz w:val="20"/>
          <w:szCs w:val="20"/>
        </w:rPr>
      </w:pPr>
      <w:r>
        <w:rPr>
          <w:rFonts w:ascii="Arial" w:hAnsi="Arial"/>
          <w:sz w:val="20"/>
          <w:szCs w:val="20"/>
        </w:rPr>
        <w:t>148. Noción. Las rentas por cobrar están constituidas por los derechos tributarios pendientes de recaudo, exigidos sin contraprestación directa, que recaen sobre la renta o la riqueza, en función de la capacidad económica del sujeto pasivo, gravando la propiedad, la producción, la actividad o el consumo.</w:t>
      </w:r>
    </w:p>
    <w:p w:rsidR="008314D9" w:rsidRDefault="008314D9">
      <w:pPr>
        <w:jc w:val="both"/>
        <w:rPr>
          <w:rFonts w:ascii="Arial" w:hAnsi="Arial"/>
          <w:sz w:val="20"/>
          <w:szCs w:val="20"/>
        </w:rPr>
      </w:pPr>
    </w:p>
    <w:p w:rsidR="008314D9" w:rsidRDefault="008314D9">
      <w:pPr>
        <w:jc w:val="both"/>
        <w:rPr>
          <w:rFonts w:ascii="Arial" w:hAnsi="Arial"/>
          <w:sz w:val="20"/>
          <w:szCs w:val="20"/>
        </w:rPr>
      </w:pPr>
      <w:r>
        <w:rPr>
          <w:rFonts w:ascii="Arial" w:hAnsi="Arial"/>
          <w:sz w:val="20"/>
          <w:szCs w:val="20"/>
        </w:rPr>
        <w:t>(…)</w:t>
      </w:r>
    </w:p>
    <w:p w:rsidR="008314D9" w:rsidRDefault="008314D9">
      <w:pPr>
        <w:jc w:val="both"/>
        <w:rPr>
          <w:rFonts w:ascii="Arial" w:hAnsi="Arial"/>
          <w:sz w:val="20"/>
          <w:szCs w:val="20"/>
        </w:rPr>
      </w:pPr>
    </w:p>
    <w:p w:rsidR="008314D9" w:rsidRDefault="008314D9">
      <w:pPr>
        <w:jc w:val="both"/>
        <w:rPr>
          <w:rFonts w:ascii="Arial" w:hAnsi="Arial"/>
          <w:sz w:val="20"/>
          <w:szCs w:val="20"/>
        </w:rPr>
      </w:pPr>
      <w:r>
        <w:rPr>
          <w:rFonts w:ascii="Arial" w:hAnsi="Arial"/>
          <w:sz w:val="20"/>
          <w:szCs w:val="20"/>
        </w:rPr>
        <w:t>9.1.2 Normas técnicas relativas a los pasivos</w:t>
      </w:r>
    </w:p>
    <w:p w:rsidR="008314D9" w:rsidRDefault="008314D9">
      <w:pPr>
        <w:jc w:val="both"/>
        <w:rPr>
          <w:rFonts w:ascii="Arial" w:hAnsi="Arial"/>
          <w:sz w:val="20"/>
          <w:szCs w:val="20"/>
        </w:rPr>
      </w:pPr>
    </w:p>
    <w:p w:rsidR="008314D9" w:rsidRDefault="008314D9">
      <w:pPr>
        <w:jc w:val="both"/>
        <w:rPr>
          <w:rFonts w:ascii="Arial" w:hAnsi="Arial"/>
          <w:sz w:val="20"/>
          <w:szCs w:val="20"/>
        </w:rPr>
      </w:pPr>
      <w:r>
        <w:rPr>
          <w:rFonts w:ascii="Arial" w:hAnsi="Arial"/>
          <w:sz w:val="20"/>
          <w:szCs w:val="20"/>
        </w:rPr>
        <w:t>9.1.2.3 Cuentas por pagar</w:t>
      </w:r>
    </w:p>
    <w:p w:rsidR="008314D9" w:rsidRDefault="008314D9">
      <w:pPr>
        <w:jc w:val="both"/>
        <w:rPr>
          <w:rFonts w:ascii="Arial" w:hAnsi="Arial"/>
          <w:sz w:val="20"/>
          <w:szCs w:val="20"/>
        </w:rPr>
      </w:pPr>
    </w:p>
    <w:p w:rsidR="008314D9" w:rsidRDefault="008314D9">
      <w:pPr>
        <w:jc w:val="both"/>
        <w:rPr>
          <w:rFonts w:ascii="Arial" w:hAnsi="Arial"/>
          <w:sz w:val="20"/>
          <w:szCs w:val="20"/>
        </w:rPr>
      </w:pPr>
      <w:r>
        <w:rPr>
          <w:rFonts w:ascii="Arial" w:hAnsi="Arial"/>
          <w:sz w:val="20"/>
          <w:szCs w:val="20"/>
        </w:rPr>
        <w:t>223. Noción. Las cuentas por pagar son las obligaciones adquiridas por la entidad contable pública con terceros, relacionadas con sus operaciones en desarrollo de funciones de cometido estatal.</w:t>
      </w:r>
    </w:p>
    <w:p w:rsidR="008314D9" w:rsidRDefault="008314D9">
      <w:pPr>
        <w:jc w:val="both"/>
        <w:rPr>
          <w:rFonts w:ascii="Arial" w:hAnsi="Arial"/>
          <w:sz w:val="20"/>
          <w:szCs w:val="20"/>
        </w:rPr>
      </w:pPr>
    </w:p>
    <w:p w:rsidR="008314D9" w:rsidRDefault="008314D9">
      <w:pPr>
        <w:jc w:val="both"/>
        <w:rPr>
          <w:rFonts w:ascii="Arial" w:hAnsi="Arial"/>
          <w:sz w:val="20"/>
          <w:szCs w:val="20"/>
        </w:rPr>
      </w:pPr>
      <w:r>
        <w:rPr>
          <w:rFonts w:ascii="Arial" w:hAnsi="Arial"/>
          <w:sz w:val="20"/>
          <w:szCs w:val="20"/>
        </w:rPr>
        <w:t>(…)</w:t>
      </w:r>
    </w:p>
    <w:p w:rsidR="008314D9" w:rsidRDefault="008314D9">
      <w:pPr>
        <w:jc w:val="both"/>
        <w:rPr>
          <w:rFonts w:ascii="Arial" w:hAnsi="Arial"/>
          <w:sz w:val="20"/>
          <w:szCs w:val="20"/>
        </w:rPr>
      </w:pPr>
    </w:p>
    <w:p w:rsidR="008314D9" w:rsidRDefault="008314D9">
      <w:pPr>
        <w:jc w:val="both"/>
        <w:rPr>
          <w:rFonts w:ascii="Arial" w:hAnsi="Arial"/>
          <w:sz w:val="20"/>
          <w:szCs w:val="20"/>
        </w:rPr>
      </w:pPr>
      <w:r>
        <w:rPr>
          <w:rFonts w:ascii="Arial" w:hAnsi="Arial"/>
          <w:sz w:val="20"/>
          <w:szCs w:val="20"/>
        </w:rPr>
        <w:t>226. Las cuentas por pagar se revelan en función de los hechos que originan la obligación, tales como: Adquisición de bienes y servicios, transferencias, impuestos, depósitos, avances y anticipos y</w:t>
      </w:r>
    </w:p>
    <w:p w:rsidR="008314D9" w:rsidRDefault="008314D9">
      <w:pPr>
        <w:jc w:val="both"/>
        <w:rPr>
          <w:rFonts w:ascii="Arial" w:hAnsi="Arial"/>
          <w:sz w:val="20"/>
          <w:szCs w:val="20"/>
        </w:rPr>
      </w:pPr>
      <w:r>
        <w:rPr>
          <w:rFonts w:ascii="Arial" w:hAnsi="Arial"/>
          <w:sz w:val="20"/>
          <w:szCs w:val="20"/>
        </w:rPr>
        <w:t>costos de endeudamiento (…)” (Subrayado fuera de texto)</w:t>
      </w:r>
    </w:p>
    <w:p w:rsidR="008314D9" w:rsidRDefault="008314D9">
      <w:pPr>
        <w:jc w:val="both"/>
        <w:rPr>
          <w:rFonts w:ascii="Arial" w:hAnsi="Arial"/>
          <w:sz w:val="20"/>
          <w:szCs w:val="20"/>
        </w:rPr>
      </w:pPr>
    </w:p>
    <w:p w:rsidR="008314D9" w:rsidRDefault="008314D9">
      <w:pPr>
        <w:jc w:val="both"/>
        <w:rPr>
          <w:rFonts w:ascii="Arial" w:hAnsi="Arial"/>
          <w:sz w:val="20"/>
          <w:szCs w:val="20"/>
        </w:rPr>
      </w:pPr>
      <w:r>
        <w:rPr>
          <w:rFonts w:ascii="Arial" w:hAnsi="Arial"/>
          <w:sz w:val="20"/>
          <w:szCs w:val="20"/>
        </w:rPr>
        <w:t>Por su parte, el Catálogo General de Cuentas contenido en el Manual de Procedimientos del Régimen de Contabilidad Pública, describe las siguientes cuentas, así:</w:t>
      </w:r>
    </w:p>
    <w:p w:rsidR="008314D9" w:rsidRDefault="008314D9">
      <w:pPr>
        <w:jc w:val="both"/>
        <w:rPr>
          <w:rFonts w:ascii="Arial" w:hAnsi="Arial"/>
          <w:sz w:val="20"/>
          <w:szCs w:val="20"/>
        </w:rPr>
      </w:pPr>
    </w:p>
    <w:p w:rsidR="008314D9" w:rsidRDefault="008314D9">
      <w:pPr>
        <w:jc w:val="both"/>
        <w:rPr>
          <w:rFonts w:ascii="Arial" w:hAnsi="Arial"/>
          <w:sz w:val="20"/>
          <w:szCs w:val="20"/>
        </w:rPr>
      </w:pPr>
      <w:r>
        <w:rPr>
          <w:rFonts w:ascii="Arial" w:hAnsi="Arial"/>
          <w:sz w:val="20"/>
          <w:szCs w:val="20"/>
        </w:rPr>
        <w:t>1305-VIGENCIA ACTUAL: “Representa el valor de los ingresos tributarios, anticipos y retenciones pendientes de recaudo, determinados en las declaraciones tributarias y en las liquidaciones oficiales y actos administrativos en firme.</w:t>
      </w:r>
    </w:p>
    <w:p w:rsidR="008314D9" w:rsidRDefault="008314D9">
      <w:pPr>
        <w:jc w:val="both"/>
        <w:rPr>
          <w:rFonts w:ascii="Arial" w:hAnsi="Arial"/>
          <w:sz w:val="20"/>
          <w:szCs w:val="20"/>
        </w:rPr>
      </w:pPr>
    </w:p>
    <w:p w:rsidR="008314D9" w:rsidRDefault="008314D9">
      <w:pPr>
        <w:jc w:val="both"/>
        <w:rPr>
          <w:rFonts w:ascii="Arial" w:hAnsi="Arial"/>
          <w:sz w:val="20"/>
          <w:szCs w:val="20"/>
        </w:rPr>
      </w:pPr>
      <w:r>
        <w:rPr>
          <w:rFonts w:ascii="Arial" w:hAnsi="Arial"/>
          <w:sz w:val="20"/>
          <w:szCs w:val="20"/>
        </w:rPr>
        <w:t>La contrapartida corresponde a las subcuentas que integran las cuentas 2917-Anticipo de Impuestos y 4105-Tributarios”.</w:t>
      </w:r>
    </w:p>
    <w:p w:rsidR="008314D9" w:rsidRDefault="008314D9">
      <w:pPr>
        <w:jc w:val="both"/>
        <w:rPr>
          <w:rFonts w:ascii="Arial" w:hAnsi="Arial"/>
          <w:sz w:val="20"/>
          <w:szCs w:val="20"/>
        </w:rPr>
      </w:pPr>
    </w:p>
    <w:p w:rsidR="008314D9" w:rsidRDefault="008314D9">
      <w:pPr>
        <w:jc w:val="both"/>
        <w:rPr>
          <w:rFonts w:ascii="Arial" w:hAnsi="Arial"/>
          <w:sz w:val="20"/>
          <w:szCs w:val="20"/>
        </w:rPr>
      </w:pPr>
      <w:r>
        <w:rPr>
          <w:rFonts w:ascii="Arial" w:hAnsi="Arial"/>
          <w:sz w:val="20"/>
          <w:szCs w:val="20"/>
        </w:rPr>
        <w:t>2440-IMPUESTOS, CONTRIBUCIONES Y TASAS POR PAGAR: “Representa el valor de las obligaciones a cargo de la entidad contable pública por concepto de impuestos, contribuciones y tasas, originados en las liquidaciones privadas y sus correcciones, liquidaciones oficiales y actos administrativos en firme.</w:t>
      </w:r>
    </w:p>
    <w:p w:rsidR="008314D9" w:rsidRDefault="008314D9">
      <w:pPr>
        <w:jc w:val="both"/>
        <w:rPr>
          <w:rFonts w:ascii="Arial" w:hAnsi="Arial"/>
          <w:sz w:val="20"/>
          <w:szCs w:val="20"/>
        </w:rPr>
      </w:pPr>
    </w:p>
    <w:p w:rsidR="008314D9" w:rsidRDefault="008314D9">
      <w:pPr>
        <w:jc w:val="both"/>
        <w:rPr>
          <w:rFonts w:ascii="Arial" w:hAnsi="Arial"/>
          <w:sz w:val="20"/>
          <w:szCs w:val="20"/>
        </w:rPr>
      </w:pPr>
      <w:r>
        <w:rPr>
          <w:rFonts w:ascii="Arial" w:hAnsi="Arial"/>
          <w:sz w:val="20"/>
          <w:szCs w:val="20"/>
        </w:rPr>
        <w:t>La contrapartida corresponde a las subcuentas que integran las cuentas 5120-Impuestos, Contribuciones y Tasas, 5220-Impuestos, Contribuciones y Tasas, 2705-Provisión para Obligaciones Fiscales y la subcuenta Impuestos de las cuentas de la clase 7-Costos de Producción”.</w:t>
      </w:r>
    </w:p>
    <w:p w:rsidR="008314D9" w:rsidRDefault="008314D9">
      <w:pPr>
        <w:jc w:val="both"/>
        <w:rPr>
          <w:rFonts w:ascii="Arial" w:hAnsi="Arial"/>
          <w:sz w:val="20"/>
          <w:szCs w:val="20"/>
        </w:rPr>
      </w:pPr>
    </w:p>
    <w:p w:rsidR="008314D9" w:rsidRDefault="008314D9">
      <w:pPr>
        <w:jc w:val="both"/>
        <w:rPr>
          <w:rFonts w:ascii="Arial" w:hAnsi="Arial"/>
          <w:sz w:val="20"/>
          <w:szCs w:val="20"/>
        </w:rPr>
      </w:pPr>
      <w:r>
        <w:rPr>
          <w:rFonts w:ascii="Arial" w:hAnsi="Arial"/>
          <w:sz w:val="20"/>
          <w:szCs w:val="20"/>
        </w:rPr>
        <w:t>Pregunta 2. Clasificación de los ingresos.</w:t>
      </w:r>
    </w:p>
    <w:p w:rsidR="008314D9" w:rsidRDefault="008314D9">
      <w:pPr>
        <w:jc w:val="both"/>
        <w:rPr>
          <w:rFonts w:ascii="Arial" w:hAnsi="Arial"/>
          <w:sz w:val="20"/>
          <w:szCs w:val="20"/>
        </w:rPr>
      </w:pPr>
    </w:p>
    <w:p w:rsidR="008314D9" w:rsidRDefault="008314D9">
      <w:pPr>
        <w:jc w:val="both"/>
        <w:rPr>
          <w:rFonts w:ascii="Arial" w:hAnsi="Arial"/>
          <w:sz w:val="20"/>
          <w:szCs w:val="20"/>
        </w:rPr>
      </w:pPr>
      <w:r>
        <w:rPr>
          <w:rFonts w:ascii="Arial" w:hAnsi="Arial"/>
          <w:sz w:val="20"/>
          <w:szCs w:val="20"/>
        </w:rPr>
        <w:t xml:space="preserve">El artículo 27 del </w:t>
      </w:r>
      <w:hyperlink r:id="rId6" w:history="1">
        <w:r w:rsidR="00AF56BA">
          <w:rPr>
            <w:rStyle w:val="Hyperlink"/>
            <w:rFonts w:ascii="Arial" w:hAnsi="Arial" w:cs="Arial"/>
            <w:i/>
            <w:iCs/>
            <w:sz w:val="20"/>
            <w:szCs w:val="20"/>
          </w:rPr>
          <w:t>Decreto 111 de 1996</w:t>
        </w:r>
      </w:hyperlink>
      <w:r>
        <w:rPr>
          <w:rFonts w:ascii="Arial" w:hAnsi="Arial"/>
          <w:sz w:val="20"/>
          <w:szCs w:val="20"/>
        </w:rPr>
        <w:t xml:space="preserve">, por el cual se compilan la </w:t>
      </w:r>
      <w:hyperlink r:id="rId7" w:history="1">
        <w:r w:rsidR="00AF56BA">
          <w:rPr>
            <w:rStyle w:val="Hyperlink"/>
            <w:rFonts w:ascii="Arial" w:hAnsi="Arial" w:cs="Arial"/>
            <w:i/>
            <w:iCs/>
            <w:sz w:val="20"/>
            <w:szCs w:val="20"/>
            <w:lang w:val="es-MX"/>
          </w:rPr>
          <w:t>Ley 38 de 1989</w:t>
        </w:r>
      </w:hyperlink>
      <w:r>
        <w:rPr>
          <w:rFonts w:ascii="Arial" w:hAnsi="Arial"/>
          <w:sz w:val="20"/>
          <w:szCs w:val="20"/>
        </w:rPr>
        <w:t xml:space="preserve">, la </w:t>
      </w:r>
      <w:hyperlink r:id="rId8" w:history="1">
        <w:r w:rsidR="00AF56BA">
          <w:rPr>
            <w:rStyle w:val="Hyperlink"/>
            <w:rFonts w:ascii="Arial" w:hAnsi="Arial" w:cs="Arial"/>
            <w:i/>
            <w:iCs/>
            <w:sz w:val="20"/>
            <w:szCs w:val="20"/>
          </w:rPr>
          <w:t>Ley 179 de 1994</w:t>
        </w:r>
      </w:hyperlink>
      <w:r>
        <w:rPr>
          <w:rFonts w:ascii="Arial" w:hAnsi="Arial"/>
          <w:sz w:val="20"/>
          <w:szCs w:val="20"/>
        </w:rPr>
        <w:t xml:space="preserve"> y la </w:t>
      </w:r>
      <w:hyperlink r:id="rId9" w:history="1">
        <w:r w:rsidR="00AF56BA">
          <w:rPr>
            <w:rStyle w:val="Hyperlink"/>
            <w:rFonts w:ascii="Arial" w:hAnsi="Arial" w:cs="Arial"/>
            <w:i/>
            <w:iCs/>
            <w:sz w:val="20"/>
            <w:szCs w:val="20"/>
          </w:rPr>
          <w:t>Ley 225 de 1995</w:t>
        </w:r>
      </w:hyperlink>
      <w:r>
        <w:rPr>
          <w:rFonts w:ascii="Arial" w:hAnsi="Arial"/>
          <w:sz w:val="20"/>
          <w:szCs w:val="20"/>
        </w:rPr>
        <w:t xml:space="preserve"> que conforman el Estatuto Orgánico del Presupuesto, señala: “Los ingresos corrientes se clasificarán en tributarios y no tributarios. Los ingresos tributarios se </w:t>
      </w:r>
      <w:proofErr w:type="spellStart"/>
      <w:r>
        <w:rPr>
          <w:rFonts w:ascii="Arial" w:hAnsi="Arial"/>
          <w:sz w:val="20"/>
          <w:szCs w:val="20"/>
        </w:rPr>
        <w:t>subclasificarán</w:t>
      </w:r>
      <w:proofErr w:type="spellEnd"/>
      <w:r>
        <w:rPr>
          <w:rFonts w:ascii="Arial" w:hAnsi="Arial"/>
          <w:sz w:val="20"/>
          <w:szCs w:val="20"/>
        </w:rPr>
        <w:t xml:space="preserve"> en impuestos directos e indirectos, y los ingresos no tributarios comprenderán las tasas y las multas (Ley 38/89, artículo 20. Ley 179/94, artículo 55, inciso 10 y artículos 67 y 71). (Subrayado fuera de texto)</w:t>
      </w:r>
    </w:p>
    <w:p w:rsidR="008314D9" w:rsidRDefault="008314D9">
      <w:pPr>
        <w:jc w:val="both"/>
        <w:rPr>
          <w:rFonts w:ascii="Arial" w:hAnsi="Arial"/>
          <w:sz w:val="20"/>
          <w:szCs w:val="20"/>
        </w:rPr>
      </w:pPr>
    </w:p>
    <w:p w:rsidR="008314D9" w:rsidRDefault="008314D9">
      <w:pPr>
        <w:jc w:val="both"/>
        <w:rPr>
          <w:rFonts w:ascii="Arial" w:hAnsi="Arial"/>
          <w:sz w:val="20"/>
          <w:szCs w:val="20"/>
        </w:rPr>
      </w:pPr>
      <w:r>
        <w:rPr>
          <w:rFonts w:ascii="Arial" w:hAnsi="Arial"/>
          <w:sz w:val="20"/>
          <w:szCs w:val="20"/>
        </w:rPr>
        <w:t>En lo relacionado con la normatividad contable, los párrafos 271, 272, 273 y 274 contenidos en el Plan General de Contabilidad Pública del Régimen de Contabilidad Pública, respecto a los ingresos, señala:</w:t>
      </w:r>
    </w:p>
    <w:p w:rsidR="008314D9" w:rsidRDefault="008314D9">
      <w:pPr>
        <w:jc w:val="both"/>
        <w:rPr>
          <w:rFonts w:ascii="Arial" w:hAnsi="Arial"/>
          <w:sz w:val="20"/>
          <w:szCs w:val="20"/>
        </w:rPr>
      </w:pPr>
    </w:p>
    <w:p w:rsidR="008314D9" w:rsidRDefault="008314D9">
      <w:pPr>
        <w:jc w:val="both"/>
        <w:rPr>
          <w:rFonts w:ascii="Arial" w:hAnsi="Arial"/>
          <w:sz w:val="20"/>
          <w:szCs w:val="20"/>
        </w:rPr>
      </w:pPr>
      <w:r>
        <w:rPr>
          <w:rFonts w:ascii="Arial" w:hAnsi="Arial"/>
          <w:sz w:val="20"/>
          <w:szCs w:val="20"/>
        </w:rPr>
        <w:t>“9.1.4 Normas técnicas relativas a las cuentas de actividad financiera, económica, social y ambiental.</w:t>
      </w:r>
    </w:p>
    <w:p w:rsidR="008314D9" w:rsidRDefault="008314D9">
      <w:pPr>
        <w:jc w:val="both"/>
        <w:rPr>
          <w:rFonts w:ascii="Arial" w:hAnsi="Arial"/>
          <w:sz w:val="20"/>
          <w:szCs w:val="20"/>
        </w:rPr>
      </w:pPr>
    </w:p>
    <w:p w:rsidR="008314D9" w:rsidRDefault="008314D9">
      <w:pPr>
        <w:jc w:val="both"/>
        <w:rPr>
          <w:rFonts w:ascii="Arial" w:hAnsi="Arial"/>
          <w:sz w:val="20"/>
          <w:szCs w:val="20"/>
        </w:rPr>
      </w:pPr>
      <w:r>
        <w:rPr>
          <w:rFonts w:ascii="Arial" w:hAnsi="Arial"/>
          <w:sz w:val="20"/>
          <w:szCs w:val="20"/>
        </w:rPr>
        <w:t>(…)</w:t>
      </w:r>
    </w:p>
    <w:p w:rsidR="008314D9" w:rsidRDefault="008314D9">
      <w:pPr>
        <w:jc w:val="both"/>
        <w:rPr>
          <w:rFonts w:ascii="Arial" w:hAnsi="Arial"/>
          <w:sz w:val="20"/>
          <w:szCs w:val="20"/>
        </w:rPr>
      </w:pPr>
    </w:p>
    <w:p w:rsidR="008314D9" w:rsidRDefault="008314D9">
      <w:pPr>
        <w:jc w:val="both"/>
        <w:rPr>
          <w:rFonts w:ascii="Arial" w:hAnsi="Arial"/>
          <w:sz w:val="20"/>
          <w:szCs w:val="20"/>
        </w:rPr>
      </w:pPr>
      <w:r>
        <w:rPr>
          <w:rFonts w:ascii="Arial" w:hAnsi="Arial"/>
          <w:sz w:val="20"/>
          <w:szCs w:val="20"/>
        </w:rPr>
        <w:t>9.1.4.1 Ingresos</w:t>
      </w:r>
    </w:p>
    <w:p w:rsidR="008314D9" w:rsidRDefault="008314D9">
      <w:pPr>
        <w:jc w:val="both"/>
        <w:rPr>
          <w:rFonts w:ascii="Arial" w:hAnsi="Arial"/>
          <w:sz w:val="20"/>
          <w:szCs w:val="20"/>
        </w:rPr>
      </w:pPr>
    </w:p>
    <w:p w:rsidR="008314D9" w:rsidRDefault="008314D9">
      <w:pPr>
        <w:jc w:val="both"/>
        <w:rPr>
          <w:rFonts w:ascii="Arial" w:hAnsi="Arial"/>
          <w:sz w:val="20"/>
          <w:szCs w:val="20"/>
        </w:rPr>
      </w:pPr>
      <w:r>
        <w:rPr>
          <w:rFonts w:ascii="Arial" w:hAnsi="Arial"/>
          <w:sz w:val="20"/>
          <w:szCs w:val="20"/>
        </w:rPr>
        <w:t>(…)</w:t>
      </w:r>
    </w:p>
    <w:p w:rsidR="008314D9" w:rsidRDefault="008314D9">
      <w:pPr>
        <w:jc w:val="both"/>
        <w:rPr>
          <w:rFonts w:ascii="Arial" w:hAnsi="Arial"/>
          <w:sz w:val="20"/>
          <w:szCs w:val="20"/>
        </w:rPr>
      </w:pPr>
    </w:p>
    <w:p w:rsidR="008314D9" w:rsidRDefault="008314D9">
      <w:pPr>
        <w:jc w:val="both"/>
        <w:rPr>
          <w:rFonts w:ascii="Arial" w:hAnsi="Arial"/>
          <w:sz w:val="20"/>
          <w:szCs w:val="20"/>
        </w:rPr>
      </w:pPr>
      <w:r>
        <w:rPr>
          <w:rFonts w:ascii="Arial" w:hAnsi="Arial"/>
          <w:sz w:val="20"/>
          <w:szCs w:val="20"/>
        </w:rPr>
        <w:t xml:space="preserve">271. Los ingresos se revelan atendiendo el origen de los mismos, como el poder impositivo del Estado, el desarrollo de operaciones de producción y comercialización de bienes y prestación de servicios; las relaciones con otras entidades del sector público, y la ocurrencia de eventos complementarios y vinculados a la operación básica o principal, así como los de carácter extraordinario. Se clasifican en ingresos fiscales, venta de bienes y servicios, transferencias, administración del sistema general de pensiones, operaciones interinstitucionales y otros ingresos. </w:t>
      </w:r>
    </w:p>
    <w:p w:rsidR="008314D9" w:rsidRDefault="008314D9">
      <w:pPr>
        <w:jc w:val="both"/>
        <w:rPr>
          <w:rFonts w:ascii="Arial" w:hAnsi="Arial"/>
          <w:sz w:val="20"/>
          <w:szCs w:val="20"/>
        </w:rPr>
      </w:pPr>
    </w:p>
    <w:p w:rsidR="008314D9" w:rsidRDefault="008314D9">
      <w:pPr>
        <w:jc w:val="both"/>
        <w:rPr>
          <w:rFonts w:ascii="Arial" w:hAnsi="Arial"/>
          <w:sz w:val="20"/>
          <w:szCs w:val="20"/>
        </w:rPr>
      </w:pPr>
      <w:r>
        <w:rPr>
          <w:rFonts w:ascii="Arial" w:hAnsi="Arial"/>
          <w:sz w:val="20"/>
          <w:szCs w:val="20"/>
        </w:rPr>
        <w:t>272. Los ingresos fiscales corresponden a ingresos tributarios y no tributarios, aportes sobre la nómina, y rentas parafiscales.</w:t>
      </w:r>
    </w:p>
    <w:p w:rsidR="008314D9" w:rsidRDefault="008314D9">
      <w:pPr>
        <w:jc w:val="both"/>
        <w:rPr>
          <w:rFonts w:ascii="Arial" w:hAnsi="Arial"/>
          <w:sz w:val="20"/>
          <w:szCs w:val="20"/>
        </w:rPr>
      </w:pPr>
    </w:p>
    <w:p w:rsidR="008314D9" w:rsidRDefault="008314D9">
      <w:pPr>
        <w:jc w:val="both"/>
        <w:rPr>
          <w:rFonts w:ascii="Arial" w:hAnsi="Arial"/>
          <w:sz w:val="20"/>
          <w:szCs w:val="20"/>
        </w:rPr>
      </w:pPr>
      <w:r>
        <w:rPr>
          <w:rFonts w:ascii="Arial" w:hAnsi="Arial"/>
          <w:sz w:val="20"/>
          <w:szCs w:val="20"/>
        </w:rPr>
        <w:t>273. Los ingresos tributarios corresponden a ingresos exigidos sin contraprestación directa, determinados en las disposiciones legales por la potestad que tiene el Estado de establecer gravámenes (…).</w:t>
      </w:r>
    </w:p>
    <w:p w:rsidR="008314D9" w:rsidRDefault="008314D9">
      <w:pPr>
        <w:jc w:val="both"/>
        <w:rPr>
          <w:rFonts w:ascii="Arial" w:hAnsi="Arial"/>
          <w:sz w:val="20"/>
          <w:szCs w:val="20"/>
        </w:rPr>
      </w:pPr>
    </w:p>
    <w:p w:rsidR="008314D9" w:rsidRDefault="008314D9">
      <w:pPr>
        <w:jc w:val="both"/>
        <w:rPr>
          <w:rFonts w:ascii="Arial" w:hAnsi="Arial"/>
          <w:sz w:val="20"/>
          <w:szCs w:val="20"/>
        </w:rPr>
      </w:pPr>
      <w:r>
        <w:rPr>
          <w:rFonts w:ascii="Arial" w:hAnsi="Arial"/>
          <w:sz w:val="20"/>
          <w:szCs w:val="20"/>
        </w:rPr>
        <w:t>274. Los ingresos no tributarios son las retribuciones efectuadas por los usuarios de un servicio a cargo del Estado, en contraprestación a las ventajas o beneficios que obtiene de éste. Comprenden, entre otros, tasas, multas, intereses, sanciones, contribuciones, regalías y concesiones”. (Subrayados fuera de texto)</w:t>
      </w:r>
    </w:p>
    <w:p w:rsidR="008314D9" w:rsidRDefault="008314D9">
      <w:pPr>
        <w:jc w:val="both"/>
        <w:rPr>
          <w:rFonts w:ascii="Arial" w:hAnsi="Arial"/>
          <w:sz w:val="20"/>
          <w:szCs w:val="20"/>
        </w:rPr>
      </w:pPr>
    </w:p>
    <w:p w:rsidR="008314D9" w:rsidRDefault="008314D9">
      <w:pPr>
        <w:jc w:val="both"/>
        <w:rPr>
          <w:rFonts w:ascii="Arial" w:hAnsi="Arial"/>
          <w:b/>
          <w:bCs/>
          <w:sz w:val="20"/>
          <w:szCs w:val="20"/>
        </w:rPr>
      </w:pPr>
      <w:r>
        <w:rPr>
          <w:rFonts w:ascii="Arial" w:hAnsi="Arial"/>
          <w:b/>
          <w:bCs/>
          <w:sz w:val="20"/>
          <w:szCs w:val="20"/>
        </w:rPr>
        <w:t>CONCLUSIÓN</w:t>
      </w:r>
    </w:p>
    <w:p w:rsidR="008314D9" w:rsidRDefault="008314D9">
      <w:pPr>
        <w:jc w:val="both"/>
        <w:rPr>
          <w:rFonts w:ascii="Arial" w:hAnsi="Arial"/>
          <w:b/>
          <w:bCs/>
          <w:sz w:val="20"/>
          <w:szCs w:val="20"/>
        </w:rPr>
      </w:pPr>
    </w:p>
    <w:p w:rsidR="008314D9" w:rsidRDefault="008314D9">
      <w:pPr>
        <w:jc w:val="both"/>
        <w:rPr>
          <w:rFonts w:ascii="Arial" w:hAnsi="Arial"/>
          <w:sz w:val="20"/>
          <w:szCs w:val="20"/>
        </w:rPr>
      </w:pPr>
      <w:r>
        <w:rPr>
          <w:rFonts w:ascii="Arial" w:hAnsi="Arial"/>
          <w:sz w:val="20"/>
          <w:szCs w:val="20"/>
        </w:rPr>
        <w:t>De acuerdo con lo expuesto se concluye;</w:t>
      </w:r>
    </w:p>
    <w:p w:rsidR="008314D9" w:rsidRDefault="008314D9">
      <w:pPr>
        <w:jc w:val="both"/>
        <w:rPr>
          <w:rFonts w:ascii="Arial" w:hAnsi="Arial"/>
          <w:sz w:val="20"/>
          <w:szCs w:val="20"/>
        </w:rPr>
      </w:pPr>
    </w:p>
    <w:p w:rsidR="008314D9" w:rsidRDefault="008314D9">
      <w:pPr>
        <w:jc w:val="both"/>
        <w:rPr>
          <w:rFonts w:ascii="Arial" w:hAnsi="Arial"/>
          <w:sz w:val="20"/>
          <w:szCs w:val="20"/>
        </w:rPr>
      </w:pPr>
      <w:r>
        <w:rPr>
          <w:rFonts w:ascii="Arial" w:hAnsi="Arial"/>
          <w:sz w:val="20"/>
          <w:szCs w:val="20"/>
        </w:rPr>
        <w:t>Pregunta 1.</w:t>
      </w:r>
    </w:p>
    <w:p w:rsidR="008314D9" w:rsidRDefault="008314D9">
      <w:pPr>
        <w:jc w:val="both"/>
        <w:rPr>
          <w:rFonts w:ascii="Arial" w:hAnsi="Arial"/>
          <w:sz w:val="20"/>
          <w:szCs w:val="20"/>
        </w:rPr>
      </w:pPr>
    </w:p>
    <w:p w:rsidR="008314D9" w:rsidRDefault="008314D9">
      <w:pPr>
        <w:jc w:val="both"/>
        <w:rPr>
          <w:rFonts w:ascii="Arial" w:hAnsi="Arial"/>
          <w:sz w:val="20"/>
          <w:szCs w:val="20"/>
        </w:rPr>
      </w:pPr>
      <w:r>
        <w:rPr>
          <w:rFonts w:ascii="Arial" w:hAnsi="Arial"/>
          <w:sz w:val="20"/>
          <w:szCs w:val="20"/>
        </w:rPr>
        <w:t>Desde el contexto de la regulación contable no se establecen metodologías para la determinación de los impuestos bien sean del orden nacional o territorial, sino procedimientos para su reconocimiento y revelación. En consecuencia, los métodos por usted citados no son objeto de distinción en el registro contable, si se advierte que ellos se derivan de la regulación tributaria, y por lo tanto la contabilización, cualquiera que haya sido su metodología de cálculo se efectúa en igual forma tal como se ilustra a continuación:</w:t>
      </w:r>
    </w:p>
    <w:p w:rsidR="008314D9" w:rsidRDefault="008314D9">
      <w:pPr>
        <w:jc w:val="both"/>
        <w:rPr>
          <w:rFonts w:ascii="Arial" w:hAnsi="Arial"/>
          <w:sz w:val="20"/>
          <w:szCs w:val="20"/>
        </w:rPr>
      </w:pPr>
    </w:p>
    <w:p w:rsidR="008314D9" w:rsidRDefault="008314D9">
      <w:pPr>
        <w:jc w:val="both"/>
        <w:rPr>
          <w:rFonts w:ascii="Arial" w:hAnsi="Arial"/>
          <w:sz w:val="20"/>
          <w:szCs w:val="20"/>
        </w:rPr>
      </w:pPr>
      <w:r>
        <w:rPr>
          <w:rFonts w:ascii="Arial" w:hAnsi="Arial"/>
          <w:sz w:val="20"/>
          <w:szCs w:val="20"/>
        </w:rPr>
        <w:t xml:space="preserve">El municipio en su calidad de sujeto activo, debe reconocer la </w:t>
      </w:r>
      <w:proofErr w:type="spellStart"/>
      <w:r>
        <w:rPr>
          <w:rFonts w:ascii="Arial" w:hAnsi="Arial"/>
          <w:sz w:val="20"/>
          <w:szCs w:val="20"/>
        </w:rPr>
        <w:t>causación</w:t>
      </w:r>
      <w:proofErr w:type="spellEnd"/>
      <w:r>
        <w:rPr>
          <w:rFonts w:ascii="Arial" w:hAnsi="Arial"/>
          <w:sz w:val="20"/>
          <w:szCs w:val="20"/>
        </w:rPr>
        <w:t xml:space="preserve"> de las rentas por cobrar por concepto del Impuesto de Industria y Comercio mediante un débito en la subcuenta 130508-Impuesto de Industria y Comercio, de la cuenta 1305-VIGENCIA ACTUAL y como contrapartida un crédito en la subcuenta 410508-Impuesto de Industria y Comercio, de la cuenta 4105-TRIBUTARIOS. </w:t>
      </w:r>
    </w:p>
    <w:p w:rsidR="008314D9" w:rsidRDefault="008314D9">
      <w:pPr>
        <w:jc w:val="both"/>
        <w:rPr>
          <w:rFonts w:ascii="Arial" w:hAnsi="Arial"/>
          <w:sz w:val="20"/>
          <w:szCs w:val="20"/>
        </w:rPr>
      </w:pPr>
    </w:p>
    <w:p w:rsidR="008314D9" w:rsidRDefault="008314D9">
      <w:pPr>
        <w:jc w:val="both"/>
        <w:rPr>
          <w:rFonts w:ascii="Arial" w:hAnsi="Arial"/>
          <w:sz w:val="20"/>
          <w:szCs w:val="20"/>
        </w:rPr>
      </w:pPr>
      <w:r>
        <w:rPr>
          <w:rFonts w:ascii="Arial" w:hAnsi="Arial"/>
          <w:sz w:val="20"/>
          <w:szCs w:val="20"/>
        </w:rPr>
        <w:t>En tanto que a las entidades públicas que actúan como sujeto pasivo de dicho impuesto, les corresponde registrar un débito en la subcuenta y cuenta correspondiente, del grupo 51- DE ADMINISTRACIÓN o 52 – DE OPERACIÓN, o un débito en la respectiva subcuenta y cuenta de la clase 7- COSTOS DE PRODUCCION, según corresponda; y como contrapartida un crédito en la subcuenta 244004-Impuesto de Industria y Comercio, de la cuenta 2440-IMPUESTOS, CONTRIBUCIONES Y TASAS POR PAGAR.</w:t>
      </w:r>
    </w:p>
    <w:p w:rsidR="008314D9" w:rsidRDefault="008314D9">
      <w:pPr>
        <w:jc w:val="both"/>
        <w:rPr>
          <w:rFonts w:ascii="Arial" w:hAnsi="Arial"/>
          <w:sz w:val="20"/>
          <w:szCs w:val="20"/>
        </w:rPr>
      </w:pPr>
    </w:p>
    <w:p w:rsidR="008314D9" w:rsidRDefault="008314D9">
      <w:pPr>
        <w:jc w:val="both"/>
        <w:rPr>
          <w:rFonts w:ascii="Arial" w:hAnsi="Arial"/>
          <w:sz w:val="20"/>
          <w:szCs w:val="20"/>
        </w:rPr>
      </w:pPr>
      <w:r>
        <w:rPr>
          <w:rFonts w:ascii="Arial" w:hAnsi="Arial"/>
          <w:sz w:val="20"/>
          <w:szCs w:val="20"/>
        </w:rPr>
        <w:t>Pregunta 2.</w:t>
      </w:r>
    </w:p>
    <w:p w:rsidR="008314D9" w:rsidRDefault="008314D9">
      <w:pPr>
        <w:jc w:val="both"/>
        <w:rPr>
          <w:rFonts w:ascii="Arial" w:hAnsi="Arial"/>
          <w:sz w:val="20"/>
          <w:szCs w:val="20"/>
        </w:rPr>
      </w:pPr>
    </w:p>
    <w:p w:rsidR="008314D9" w:rsidRDefault="008314D9">
      <w:pPr>
        <w:jc w:val="both"/>
        <w:rPr>
          <w:rFonts w:ascii="Arial" w:hAnsi="Arial"/>
          <w:sz w:val="20"/>
          <w:szCs w:val="20"/>
        </w:rPr>
      </w:pPr>
      <w:r>
        <w:rPr>
          <w:rFonts w:ascii="Arial" w:hAnsi="Arial"/>
          <w:sz w:val="20"/>
          <w:szCs w:val="20"/>
        </w:rPr>
        <w:t xml:space="preserve">El concepto de ingresos corrientes se origina en la legislación presupuestal y de acuerdo con lo estipulado en el </w:t>
      </w:r>
      <w:hyperlink r:id="rId10" w:history="1">
        <w:r w:rsidR="00AF56BA">
          <w:rPr>
            <w:rStyle w:val="Hyperlink"/>
            <w:rFonts w:ascii="Arial" w:hAnsi="Arial" w:cs="Arial"/>
            <w:i/>
            <w:iCs/>
            <w:sz w:val="20"/>
            <w:szCs w:val="20"/>
          </w:rPr>
          <w:t>Decreto 111 de 1996</w:t>
        </w:r>
      </w:hyperlink>
      <w:r>
        <w:rPr>
          <w:rFonts w:ascii="Arial" w:hAnsi="Arial"/>
          <w:sz w:val="20"/>
          <w:szCs w:val="20"/>
        </w:rPr>
        <w:t xml:space="preserve">, corresponde a los ingresos tributarios y no tributarios. </w:t>
      </w:r>
    </w:p>
    <w:p w:rsidR="008314D9" w:rsidRDefault="008314D9">
      <w:pPr>
        <w:jc w:val="both"/>
        <w:rPr>
          <w:rFonts w:ascii="Arial" w:hAnsi="Arial"/>
          <w:sz w:val="20"/>
          <w:szCs w:val="20"/>
        </w:rPr>
      </w:pPr>
    </w:p>
    <w:p w:rsidR="008314D9" w:rsidRDefault="008314D9">
      <w:pPr>
        <w:jc w:val="both"/>
        <w:rPr>
          <w:rFonts w:ascii="Arial" w:hAnsi="Arial"/>
          <w:sz w:val="20"/>
          <w:szCs w:val="20"/>
        </w:rPr>
      </w:pPr>
      <w:r>
        <w:rPr>
          <w:rFonts w:ascii="Arial" w:hAnsi="Arial"/>
          <w:sz w:val="20"/>
          <w:szCs w:val="20"/>
        </w:rPr>
        <w:t>Ahora bien, desde el punto de vista contable el Catálogo General de Cuentas no clasifica los ingresos como corrientes, sino que los clasifica de acuerdo con su origen, el poder impositivo del Estado, el desarrollo de operaciones de producción y comercialización de bienes y prestación de servicios; las relaciones con otras entidades del sector público, y la ocurrencia de eventos complementarios y vinculados a la operación básica o principal, así como los de carácter extraordinario.</w:t>
      </w:r>
    </w:p>
    <w:p w:rsidR="008314D9" w:rsidRDefault="008314D9">
      <w:pPr>
        <w:jc w:val="both"/>
        <w:rPr>
          <w:rFonts w:ascii="Arial" w:hAnsi="Arial"/>
          <w:sz w:val="20"/>
          <w:szCs w:val="20"/>
        </w:rPr>
      </w:pPr>
    </w:p>
    <w:p w:rsidR="008314D9" w:rsidRDefault="008314D9">
      <w:pPr>
        <w:jc w:val="both"/>
        <w:rPr>
          <w:rFonts w:ascii="Arial" w:hAnsi="Arial"/>
          <w:sz w:val="20"/>
          <w:szCs w:val="20"/>
        </w:rPr>
      </w:pPr>
      <w:r>
        <w:rPr>
          <w:rFonts w:ascii="Arial" w:hAnsi="Arial"/>
          <w:sz w:val="20"/>
          <w:szCs w:val="20"/>
        </w:rPr>
        <w:t>Así las cosas, los ingresos que se originan como consecuencia de la capacidad impositiva que tiene el Estado se reconocen en el grupo 41- INGRESOS FISCALES, los cuales corresponden a las cuentas 4105- TRIBUTARIOS y 4110- NO TRIBUTARIOS, que equivaldrían al concepto de ingresos corrientes determinados en el ámbito presupuestal. Es de anotar que las subcuentas que conforman estas cuentas, las puede consultar en el Catálogo General de Cuentas contenido en el Manual de Procedimientos del Régimen de Contabilidad Pública, disponible en el siguiente enlace: http://www.contaduria.gov.co/dmdocuments/RegimenContabilidadPublica/manualp/2012/CGC_V2007.7.pdf</w:t>
      </w:r>
    </w:p>
    <w:p w:rsidR="008314D9" w:rsidRDefault="008314D9">
      <w:pPr>
        <w:jc w:val="both"/>
        <w:rPr>
          <w:rFonts w:ascii="Arial" w:hAnsi="Arial"/>
          <w:sz w:val="20"/>
          <w:szCs w:val="20"/>
        </w:rPr>
      </w:pPr>
    </w:p>
    <w:sectPr w:rsidR="008314D9">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AMT">
    <w:altName w:val="MS PMincho"/>
    <w:charset w:val="80"/>
    <w:family w:val="roman"/>
    <w:pitch w:val="variable"/>
  </w:font>
  <w:font w:name="FZSongTi">
    <w:altName w:val="MS Mincho"/>
    <w:charset w:val="80"/>
    <w:family w:val="auto"/>
    <w:pitch w:val="variable"/>
  </w:font>
  <w:font w:name="Lohit Hindi">
    <w:altName w:val="MS Mincho"/>
    <w:charset w:val="80"/>
    <w:family w:val="auto"/>
    <w:pitch w:val="variable"/>
  </w:font>
  <w:font w:name="Albany AMT">
    <w:altName w:val="Arial Unicode MS"/>
    <w:charset w:val="80"/>
    <w:family w:val="swiss"/>
    <w:pitch w:val="variable"/>
  </w:font>
  <w:font w:name="FZHeiTi">
    <w:charset w:val="8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BA"/>
    <w:rsid w:val="008314D9"/>
    <w:rsid w:val="00AF56BA"/>
    <w:rsid w:val="00C942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FZSongTi" w:hAnsi="Thorndale AMT" w:cs="Lohit Hindi"/>
      <w:kern w:val="1"/>
      <w:sz w:val="24"/>
      <w:szCs w:val="24"/>
      <w:lang w:val="es-ES"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cterdenumeracin">
    <w:name w:val="Carácter de numeración"/>
  </w:style>
  <w:style w:type="character" w:styleId="Hyperlink">
    <w:name w:val="Hyperlink"/>
    <w:rPr>
      <w:color w:val="000080"/>
      <w:u w:val="single"/>
      <w:lang/>
    </w:rPr>
  </w:style>
  <w:style w:type="paragraph" w:customStyle="1" w:styleId="Encabezado1">
    <w:name w:val="Encabezado1"/>
    <w:basedOn w:val="Normal"/>
    <w:next w:val="BodyText"/>
    <w:pPr>
      <w:keepNext/>
      <w:spacing w:before="240" w:after="120"/>
    </w:pPr>
    <w:rPr>
      <w:rFonts w:ascii="Albany AMT" w:eastAsia="FZHeiTi" w:hAnsi="Albany AMT"/>
      <w:sz w:val="28"/>
      <w:szCs w:val="28"/>
    </w:rPr>
  </w:style>
  <w:style w:type="paragraph" w:styleId="BodyText">
    <w:name w:val="Body Text"/>
    <w:basedOn w:val="Normal"/>
    <w:pPr>
      <w:spacing w:after="120"/>
    </w:pPr>
  </w:style>
  <w:style w:type="paragraph" w:styleId="List">
    <w:name w:val="List"/>
    <w:basedOn w:val="BodyText"/>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FZSongTi" w:hAnsi="Thorndale AMT" w:cs="Lohit Hindi"/>
      <w:kern w:val="1"/>
      <w:sz w:val="24"/>
      <w:szCs w:val="24"/>
      <w:lang w:val="es-ES"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cterdenumeracin">
    <w:name w:val="Carácter de numeración"/>
  </w:style>
  <w:style w:type="character" w:styleId="Hyperlink">
    <w:name w:val="Hyperlink"/>
    <w:rPr>
      <w:color w:val="000080"/>
      <w:u w:val="single"/>
      <w:lang/>
    </w:rPr>
  </w:style>
  <w:style w:type="paragraph" w:customStyle="1" w:styleId="Encabezado1">
    <w:name w:val="Encabezado1"/>
    <w:basedOn w:val="Normal"/>
    <w:next w:val="BodyText"/>
    <w:pPr>
      <w:keepNext/>
      <w:spacing w:before="240" w:after="120"/>
    </w:pPr>
    <w:rPr>
      <w:rFonts w:ascii="Albany AMT" w:eastAsia="FZHeiTi" w:hAnsi="Albany AMT"/>
      <w:sz w:val="28"/>
      <w:szCs w:val="28"/>
    </w:rPr>
  </w:style>
  <w:style w:type="paragraph" w:styleId="BodyText">
    <w:name w:val="Body Text"/>
    <w:basedOn w:val="Normal"/>
    <w:pPr>
      <w:spacing w:after="120"/>
    </w:pPr>
  </w:style>
  <w:style w:type="paragraph" w:styleId="List">
    <w:name w:val="List"/>
    <w:basedOn w:val="BodyText"/>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icieroficial.com/leyes/LEY179-1994.htm" TargetMode="External"/><Relationship Id="rId3" Type="http://schemas.openxmlformats.org/officeDocument/2006/relationships/settings" Target="settings.xml"/><Relationship Id="rId7" Type="http://schemas.openxmlformats.org/officeDocument/2006/relationships/hyperlink" Target="http://www.noticieroficial.com/entes/congreso_rep/CONREP38-1989.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oticieroficial.com/entes/ministerios/MIN111-1996.htm" TargetMode="External"/><Relationship Id="rId11" Type="http://schemas.openxmlformats.org/officeDocument/2006/relationships/fontTable" Target="fontTable.xml"/><Relationship Id="rId5" Type="http://schemas.openxmlformats.org/officeDocument/2006/relationships/hyperlink" Target="http://www.noticieroficial.com/leyes/LEY1450-2011.htm" TargetMode="External"/><Relationship Id="rId10" Type="http://schemas.openxmlformats.org/officeDocument/2006/relationships/hyperlink" Target="http://www.noticieroficial.com/entes/ministerios/MIN111-1996.htm" TargetMode="External"/><Relationship Id="rId4" Type="http://schemas.openxmlformats.org/officeDocument/2006/relationships/webSettings" Target="webSettings.xml"/><Relationship Id="rId9" Type="http://schemas.openxmlformats.org/officeDocument/2006/relationships/hyperlink" Target="http://www.noticieroficial.com/leyes/LEY225-199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1408</Words>
  <Characters>7744</Characters>
  <Application>Microsoft Office Word</Application>
  <DocSecurity>0</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9134</CharactersWithSpaces>
  <SharedDoc>false</SharedDoc>
  <HLinks>
    <vt:vector size="36" baseType="variant">
      <vt:variant>
        <vt:i4>4325406</vt:i4>
      </vt:variant>
      <vt:variant>
        <vt:i4>15</vt:i4>
      </vt:variant>
      <vt:variant>
        <vt:i4>0</vt:i4>
      </vt:variant>
      <vt:variant>
        <vt:i4>5</vt:i4>
      </vt:variant>
      <vt:variant>
        <vt:lpwstr>http://www.noticieroficial.com/entes/ministerios/MIN111-1996.htm</vt:lpwstr>
      </vt:variant>
      <vt:variant>
        <vt:lpwstr/>
      </vt:variant>
      <vt:variant>
        <vt:i4>6226008</vt:i4>
      </vt:variant>
      <vt:variant>
        <vt:i4>12</vt:i4>
      </vt:variant>
      <vt:variant>
        <vt:i4>0</vt:i4>
      </vt:variant>
      <vt:variant>
        <vt:i4>5</vt:i4>
      </vt:variant>
      <vt:variant>
        <vt:lpwstr>http://www.noticieroficial.com/leyes/LEY225-1995.htm</vt:lpwstr>
      </vt:variant>
      <vt:variant>
        <vt:lpwstr/>
      </vt:variant>
      <vt:variant>
        <vt:i4>5963863</vt:i4>
      </vt:variant>
      <vt:variant>
        <vt:i4>9</vt:i4>
      </vt:variant>
      <vt:variant>
        <vt:i4>0</vt:i4>
      </vt:variant>
      <vt:variant>
        <vt:i4>5</vt:i4>
      </vt:variant>
      <vt:variant>
        <vt:lpwstr>http://www.noticieroficial.com/leyes/LEY179-1994.htm</vt:lpwstr>
      </vt:variant>
      <vt:variant>
        <vt:lpwstr/>
      </vt:variant>
      <vt:variant>
        <vt:i4>4653181</vt:i4>
      </vt:variant>
      <vt:variant>
        <vt:i4>6</vt:i4>
      </vt:variant>
      <vt:variant>
        <vt:i4>0</vt:i4>
      </vt:variant>
      <vt:variant>
        <vt:i4>5</vt:i4>
      </vt:variant>
      <vt:variant>
        <vt:lpwstr>http://www.noticieroficial.com/entes/congreso_rep/CONREP38-1989.htm</vt:lpwstr>
      </vt:variant>
      <vt:variant>
        <vt:lpwstr/>
      </vt:variant>
      <vt:variant>
        <vt:i4>4325406</vt:i4>
      </vt:variant>
      <vt:variant>
        <vt:i4>3</vt:i4>
      </vt:variant>
      <vt:variant>
        <vt:i4>0</vt:i4>
      </vt:variant>
      <vt:variant>
        <vt:i4>5</vt:i4>
      </vt:variant>
      <vt:variant>
        <vt:lpwstr>http://www.noticieroficial.com/entes/ministerios/MIN111-1996.htm</vt:lpwstr>
      </vt:variant>
      <vt:variant>
        <vt:lpwstr/>
      </vt:variant>
      <vt:variant>
        <vt:i4>1310797</vt:i4>
      </vt:variant>
      <vt:variant>
        <vt:i4>0</vt:i4>
      </vt:variant>
      <vt:variant>
        <vt:i4>0</vt:i4>
      </vt:variant>
      <vt:variant>
        <vt:i4>5</vt:i4>
      </vt:variant>
      <vt:variant>
        <vt:lpwstr>http://www.noticieroficial.com/leyes/LEY1450-2011.htm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juridica</dc:creator>
  <cp:lastModifiedBy>Jezreel</cp:lastModifiedBy>
  <cp:revision>2</cp:revision>
  <cp:lastPrinted>1601-01-01T00:00:00Z</cp:lastPrinted>
  <dcterms:created xsi:type="dcterms:W3CDTF">2012-08-05T14:29:00Z</dcterms:created>
  <dcterms:modified xsi:type="dcterms:W3CDTF">2012-08-05T14:29:00Z</dcterms:modified>
</cp:coreProperties>
</file>