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B5D6" w14:textId="1F91E20A" w:rsidR="00552566" w:rsidRPr="00EC122E" w:rsidRDefault="00552566" w:rsidP="00E05293">
      <w:pPr>
        <w:spacing w:after="0" w:line="360" w:lineRule="auto"/>
        <w:rPr>
          <w:rFonts w:ascii="Times New Roman" w:hAnsi="Times New Roman" w:cs="Times New Roman"/>
          <w:b/>
          <w:bCs/>
          <w:sz w:val="24"/>
          <w:szCs w:val="24"/>
        </w:rPr>
      </w:pPr>
      <w:r w:rsidRPr="00EC122E">
        <w:rPr>
          <w:rFonts w:ascii="Times New Roman" w:hAnsi="Times New Roman" w:cs="Times New Roman"/>
          <w:b/>
          <w:bCs/>
          <w:sz w:val="24"/>
          <w:szCs w:val="24"/>
        </w:rPr>
        <w:t>Los reportes de sostenibilidad y el ejercicio de la Revisoría Fiscal</w:t>
      </w:r>
    </w:p>
    <w:p w14:paraId="3A995042" w14:textId="26A8B76A" w:rsidR="00E05293" w:rsidRPr="00E05293" w:rsidRDefault="00E05293" w:rsidP="00E05293">
      <w:pPr>
        <w:spacing w:after="0" w:line="360" w:lineRule="auto"/>
        <w:rPr>
          <w:rFonts w:ascii="Times New Roman" w:hAnsi="Times New Roman" w:cs="Times New Roman"/>
          <w:sz w:val="24"/>
          <w:szCs w:val="24"/>
        </w:rPr>
      </w:pPr>
    </w:p>
    <w:p w14:paraId="31912344" w14:textId="69044026" w:rsidR="00E05293" w:rsidRPr="00E05293" w:rsidRDefault="00E05293" w:rsidP="00E05293">
      <w:pPr>
        <w:spacing w:after="0" w:line="360" w:lineRule="auto"/>
        <w:rPr>
          <w:rFonts w:ascii="Times New Roman" w:hAnsi="Times New Roman" w:cs="Times New Roman"/>
          <w:sz w:val="24"/>
          <w:szCs w:val="24"/>
        </w:rPr>
      </w:pPr>
      <w:r w:rsidRPr="00E05293">
        <w:rPr>
          <w:rFonts w:ascii="Times New Roman" w:hAnsi="Times New Roman" w:cs="Times New Roman"/>
          <w:sz w:val="24"/>
          <w:szCs w:val="24"/>
        </w:rPr>
        <w:t>Objetivo General:</w:t>
      </w:r>
      <w:r w:rsidR="004F40F3">
        <w:rPr>
          <w:rFonts w:ascii="Times New Roman" w:hAnsi="Times New Roman" w:cs="Times New Roman"/>
          <w:sz w:val="24"/>
          <w:szCs w:val="24"/>
        </w:rPr>
        <w:t xml:space="preserve"> Conocer el grado de aplicación de los reportes de sostenibilidad con el ejercicio de la Revisoría Fiscal</w:t>
      </w:r>
    </w:p>
    <w:p w14:paraId="7FDDC878" w14:textId="7A608E83" w:rsidR="00E05293" w:rsidRPr="00E05293" w:rsidRDefault="00E05293" w:rsidP="00E05293">
      <w:pPr>
        <w:spacing w:after="0" w:line="360" w:lineRule="auto"/>
        <w:rPr>
          <w:rFonts w:ascii="Times New Roman" w:hAnsi="Times New Roman" w:cs="Times New Roman"/>
          <w:sz w:val="24"/>
          <w:szCs w:val="24"/>
        </w:rPr>
      </w:pPr>
    </w:p>
    <w:p w14:paraId="7EBFE40F" w14:textId="39A58532" w:rsidR="00E05293" w:rsidRPr="00E05293" w:rsidRDefault="00E05293" w:rsidP="00E05293">
      <w:pPr>
        <w:spacing w:after="0" w:line="360" w:lineRule="auto"/>
        <w:rPr>
          <w:rFonts w:ascii="Times New Roman" w:hAnsi="Times New Roman" w:cs="Times New Roman"/>
          <w:sz w:val="24"/>
          <w:szCs w:val="24"/>
        </w:rPr>
      </w:pPr>
      <w:r w:rsidRPr="00E05293">
        <w:rPr>
          <w:rFonts w:ascii="Times New Roman" w:hAnsi="Times New Roman" w:cs="Times New Roman"/>
          <w:sz w:val="24"/>
          <w:szCs w:val="24"/>
        </w:rPr>
        <w:t>Metodología Utilizada:</w:t>
      </w:r>
      <w:r w:rsidR="004F40F3">
        <w:rPr>
          <w:rFonts w:ascii="Times New Roman" w:hAnsi="Times New Roman" w:cs="Times New Roman"/>
          <w:sz w:val="24"/>
          <w:szCs w:val="24"/>
        </w:rPr>
        <w:t xml:space="preserve"> Exploratoria</w:t>
      </w:r>
      <w:r w:rsidR="000C43B1">
        <w:rPr>
          <w:rFonts w:ascii="Times New Roman" w:hAnsi="Times New Roman" w:cs="Times New Roman"/>
          <w:sz w:val="24"/>
          <w:szCs w:val="24"/>
        </w:rPr>
        <w:t xml:space="preserve"> donde revisaré artículos relacionados con los reportes de sostenibilidad y la revisoría fiscal</w:t>
      </w:r>
    </w:p>
    <w:p w14:paraId="009FED0E" w14:textId="77777777" w:rsidR="00E05293" w:rsidRPr="00E05293" w:rsidRDefault="00E05293" w:rsidP="00E05293">
      <w:pPr>
        <w:spacing w:after="0" w:line="360" w:lineRule="auto"/>
        <w:rPr>
          <w:rFonts w:ascii="Times New Roman" w:hAnsi="Times New Roman" w:cs="Times New Roman"/>
          <w:sz w:val="24"/>
          <w:szCs w:val="24"/>
        </w:rPr>
      </w:pPr>
    </w:p>
    <w:p w14:paraId="642941FE" w14:textId="2DAE9DBF" w:rsidR="00E05293" w:rsidRPr="00E05293" w:rsidRDefault="00E05293" w:rsidP="00E05293">
      <w:pPr>
        <w:spacing w:after="0" w:line="360" w:lineRule="auto"/>
        <w:rPr>
          <w:rFonts w:ascii="Times New Roman" w:hAnsi="Times New Roman" w:cs="Times New Roman"/>
          <w:sz w:val="24"/>
          <w:szCs w:val="24"/>
        </w:rPr>
      </w:pPr>
      <w:r w:rsidRPr="00E05293">
        <w:rPr>
          <w:rFonts w:ascii="Times New Roman" w:hAnsi="Times New Roman" w:cs="Times New Roman"/>
          <w:sz w:val="24"/>
          <w:szCs w:val="24"/>
        </w:rPr>
        <w:t>Resultados:</w:t>
      </w:r>
      <w:r w:rsidR="000C43B1">
        <w:rPr>
          <w:rFonts w:ascii="Times New Roman" w:hAnsi="Times New Roman" w:cs="Times New Roman"/>
          <w:sz w:val="24"/>
          <w:szCs w:val="24"/>
        </w:rPr>
        <w:t xml:space="preserve"> Espero poder contribuir al ejercicio de la revisoría fiscal en lo que tiene que ver con los reportes de sostenibilidad y su aplicación desde la profesión contable y en especial en el ejercicio de la revisoría fiscal</w:t>
      </w:r>
    </w:p>
    <w:p w14:paraId="28F7184C" w14:textId="77777777" w:rsidR="00E05293" w:rsidRPr="00E05293" w:rsidRDefault="00E05293" w:rsidP="00E05293">
      <w:pPr>
        <w:spacing w:after="0" w:line="360" w:lineRule="auto"/>
        <w:rPr>
          <w:rFonts w:ascii="Times New Roman" w:hAnsi="Times New Roman" w:cs="Times New Roman"/>
          <w:sz w:val="24"/>
          <w:szCs w:val="24"/>
        </w:rPr>
      </w:pPr>
    </w:p>
    <w:p w14:paraId="65483F95" w14:textId="33B91CD8" w:rsidR="00E05293" w:rsidRPr="00E05293" w:rsidRDefault="00E05293" w:rsidP="00E05293">
      <w:pPr>
        <w:spacing w:after="0" w:line="360" w:lineRule="auto"/>
        <w:rPr>
          <w:rFonts w:ascii="Times New Roman" w:hAnsi="Times New Roman" w:cs="Times New Roman"/>
          <w:sz w:val="24"/>
          <w:szCs w:val="24"/>
        </w:rPr>
      </w:pPr>
      <w:r w:rsidRPr="00E05293">
        <w:rPr>
          <w:rFonts w:ascii="Times New Roman" w:hAnsi="Times New Roman" w:cs="Times New Roman"/>
          <w:sz w:val="24"/>
          <w:szCs w:val="24"/>
        </w:rPr>
        <w:t xml:space="preserve">Conclusiones: </w:t>
      </w:r>
      <w:r w:rsidR="000C43B1">
        <w:rPr>
          <w:rFonts w:ascii="Times New Roman" w:hAnsi="Times New Roman" w:cs="Times New Roman"/>
          <w:sz w:val="24"/>
          <w:szCs w:val="24"/>
        </w:rPr>
        <w:t xml:space="preserve">Se espera que los reportes de sostenibilidad sean de gran ayuda en la información no financiera de las empresas y al ejercicio de la revisoría fiscal en los reportes o </w:t>
      </w:r>
      <w:r w:rsidR="00C33FFD">
        <w:rPr>
          <w:rFonts w:ascii="Times New Roman" w:hAnsi="Times New Roman" w:cs="Times New Roman"/>
          <w:sz w:val="24"/>
          <w:szCs w:val="24"/>
        </w:rPr>
        <w:t>dictámenes que deben de entregar a la</w:t>
      </w:r>
      <w:r w:rsidR="00D76A65">
        <w:rPr>
          <w:rFonts w:ascii="Times New Roman" w:hAnsi="Times New Roman" w:cs="Times New Roman"/>
          <w:sz w:val="24"/>
          <w:szCs w:val="24"/>
        </w:rPr>
        <w:t>s</w:t>
      </w:r>
      <w:r w:rsidR="00C33FFD">
        <w:rPr>
          <w:rFonts w:ascii="Times New Roman" w:hAnsi="Times New Roman" w:cs="Times New Roman"/>
          <w:sz w:val="24"/>
          <w:szCs w:val="24"/>
        </w:rPr>
        <w:t xml:space="preserve"> empresas y como contribuyen en las mismas y a los usuarios de la información financiera para la toma de decisiones.</w:t>
      </w:r>
    </w:p>
    <w:p w14:paraId="68C6D6C7" w14:textId="2F2A6C75" w:rsidR="00552566" w:rsidRPr="00E05293" w:rsidRDefault="00552566" w:rsidP="00E05293">
      <w:pPr>
        <w:spacing w:after="0" w:line="360" w:lineRule="auto"/>
        <w:rPr>
          <w:rFonts w:ascii="Times New Roman" w:hAnsi="Times New Roman" w:cs="Times New Roman"/>
          <w:sz w:val="24"/>
          <w:szCs w:val="24"/>
        </w:rPr>
      </w:pPr>
    </w:p>
    <w:p w14:paraId="098F8805" w14:textId="1DF7795C" w:rsidR="00552566" w:rsidRDefault="00C150D4"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la actualidad las empresas deben de realizar diferentes tipos de reportes </w:t>
      </w:r>
      <w:r w:rsidR="0062370E" w:rsidRPr="00E05293">
        <w:rPr>
          <w:rFonts w:ascii="Times New Roman" w:hAnsi="Times New Roman" w:cs="Times New Roman"/>
          <w:sz w:val="24"/>
          <w:szCs w:val="24"/>
        </w:rPr>
        <w:t xml:space="preserve">que no solo van enfocados a la parte financiera o económica de las mismas, por lo cual la figura del revisor fiscal reviste una gran importancia frente a los diferentes temas y sobre todo en lo que tiene que ver con los reportes de sostenibilidad.  Los reportes de sostenibilidad </w:t>
      </w:r>
      <w:r>
        <w:rPr>
          <w:rFonts w:ascii="Times New Roman" w:hAnsi="Times New Roman" w:cs="Times New Roman"/>
          <w:sz w:val="24"/>
          <w:szCs w:val="24"/>
        </w:rPr>
        <w:t xml:space="preserve">asumen una relevancia hoy </w:t>
      </w:r>
      <w:r w:rsidR="0062370E" w:rsidRPr="00E05293">
        <w:rPr>
          <w:rFonts w:ascii="Times New Roman" w:hAnsi="Times New Roman" w:cs="Times New Roman"/>
          <w:sz w:val="24"/>
          <w:szCs w:val="24"/>
        </w:rPr>
        <w:t xml:space="preserve">en día sobre todo desde que nuestro país pertenece a la  </w:t>
      </w:r>
      <w:sdt>
        <w:sdtPr>
          <w:rPr>
            <w:rFonts w:ascii="Times New Roman" w:hAnsi="Times New Roman" w:cs="Times New Roman"/>
            <w:sz w:val="24"/>
            <w:szCs w:val="24"/>
          </w:rPr>
          <w:id w:val="-1185517542"/>
          <w:citation/>
        </w:sdtPr>
        <w:sdtEndPr/>
        <w:sdtContent>
          <w:r w:rsidR="00C33FFD">
            <w:rPr>
              <w:rFonts w:ascii="Times New Roman" w:hAnsi="Times New Roman" w:cs="Times New Roman"/>
              <w:sz w:val="24"/>
              <w:szCs w:val="24"/>
            </w:rPr>
            <w:fldChar w:fldCharType="begin"/>
          </w:r>
          <w:r w:rsidR="00C33FFD">
            <w:rPr>
              <w:rFonts w:ascii="Times New Roman" w:hAnsi="Times New Roman" w:cs="Times New Roman"/>
              <w:sz w:val="24"/>
              <w:szCs w:val="24"/>
              <w:lang w:val="es-MX"/>
            </w:rPr>
            <w:instrText xml:space="preserve"> CITATION OCD22 \l 2058 </w:instrText>
          </w:r>
          <w:r w:rsidR="00C33FFD">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(OCDE, 2022)</w:t>
          </w:r>
          <w:r w:rsidR="00C33FFD">
            <w:rPr>
              <w:rFonts w:ascii="Times New Roman" w:hAnsi="Times New Roman" w:cs="Times New Roman"/>
              <w:sz w:val="24"/>
              <w:szCs w:val="24"/>
            </w:rPr>
            <w:fldChar w:fldCharType="end"/>
          </w:r>
        </w:sdtContent>
      </w:sdt>
      <w:r w:rsidR="003A4EE2">
        <w:rPr>
          <w:rFonts w:ascii="Times New Roman" w:hAnsi="Times New Roman" w:cs="Times New Roman"/>
          <w:sz w:val="24"/>
          <w:szCs w:val="24"/>
        </w:rPr>
        <w:t>, dentro de los ODS y principalmente el Objetivo 13 de Acción por el Clima</w:t>
      </w:r>
      <w:r>
        <w:rPr>
          <w:rFonts w:ascii="Times New Roman" w:hAnsi="Times New Roman" w:cs="Times New Roman"/>
          <w:sz w:val="24"/>
          <w:szCs w:val="24"/>
        </w:rPr>
        <w:t>,</w:t>
      </w:r>
      <w:r w:rsidR="003A4EE2">
        <w:rPr>
          <w:rFonts w:ascii="Times New Roman" w:hAnsi="Times New Roman" w:cs="Times New Roman"/>
          <w:sz w:val="24"/>
          <w:szCs w:val="24"/>
        </w:rPr>
        <w:t xml:space="preserve"> es donde podemos ver las metas trazadas por el gobierno colombiano, esta información la podemos ver en la página web </w:t>
      </w:r>
      <w:sdt>
        <w:sdtPr>
          <w:rPr>
            <w:rFonts w:ascii="Times New Roman" w:hAnsi="Times New Roman" w:cs="Times New Roman"/>
            <w:sz w:val="24"/>
            <w:szCs w:val="24"/>
          </w:rPr>
          <w:id w:val="-1039277597"/>
          <w:citation/>
        </w:sdtPr>
        <w:sdtEndPr/>
        <w:sdtContent>
          <w:r w:rsidR="004A7F7B">
            <w:rPr>
              <w:rFonts w:ascii="Times New Roman" w:hAnsi="Times New Roman" w:cs="Times New Roman"/>
              <w:sz w:val="24"/>
              <w:szCs w:val="24"/>
            </w:rPr>
            <w:fldChar w:fldCharType="begin"/>
          </w:r>
          <w:r w:rsidR="004A7F7B">
            <w:rPr>
              <w:rFonts w:ascii="Times New Roman" w:hAnsi="Times New Roman" w:cs="Times New Roman"/>
              <w:sz w:val="24"/>
              <w:szCs w:val="24"/>
              <w:lang w:val="es-MX"/>
            </w:rPr>
            <w:instrText xml:space="preserve"> CITATION Dep22 \l 2058 </w:instrText>
          </w:r>
          <w:r w:rsidR="004A7F7B">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(Departamento Nacional de Planeación , 2022)</w:t>
          </w:r>
          <w:r w:rsidR="004A7F7B">
            <w:rPr>
              <w:rFonts w:ascii="Times New Roman" w:hAnsi="Times New Roman" w:cs="Times New Roman"/>
              <w:sz w:val="24"/>
              <w:szCs w:val="24"/>
            </w:rPr>
            <w:fldChar w:fldCharType="end"/>
          </w:r>
        </w:sdtContent>
      </w:sdt>
      <w:r w:rsidR="003A4EE2">
        <w:rPr>
          <w:rFonts w:ascii="Times New Roman" w:hAnsi="Times New Roman" w:cs="Times New Roman"/>
          <w:sz w:val="24"/>
          <w:szCs w:val="24"/>
        </w:rPr>
        <w:t xml:space="preserve"> </w:t>
      </w:r>
      <w:r w:rsidR="0062370E" w:rsidRPr="00E05293">
        <w:rPr>
          <w:rFonts w:ascii="Times New Roman" w:hAnsi="Times New Roman" w:cs="Times New Roman"/>
          <w:sz w:val="24"/>
          <w:szCs w:val="24"/>
        </w:rPr>
        <w:t>donde nos hemos comprometido</w:t>
      </w:r>
      <w:r w:rsidR="004A7F7B">
        <w:rPr>
          <w:rFonts w:ascii="Times New Roman" w:hAnsi="Times New Roman" w:cs="Times New Roman"/>
          <w:sz w:val="24"/>
          <w:szCs w:val="24"/>
        </w:rPr>
        <w:t xml:space="preserve"> como país</w:t>
      </w:r>
      <w:r w:rsidR="0062370E" w:rsidRPr="00E05293">
        <w:rPr>
          <w:rFonts w:ascii="Times New Roman" w:hAnsi="Times New Roman" w:cs="Times New Roman"/>
          <w:sz w:val="24"/>
          <w:szCs w:val="24"/>
        </w:rPr>
        <w:t xml:space="preserve"> a alcanzar los objetivos de desarrollo sostenible emitidos por la misma organización, </w:t>
      </w:r>
      <w:r w:rsidR="007B5C79">
        <w:rPr>
          <w:rFonts w:ascii="Times New Roman" w:hAnsi="Times New Roman" w:cs="Times New Roman"/>
          <w:sz w:val="24"/>
          <w:szCs w:val="24"/>
        </w:rPr>
        <w:t xml:space="preserve">aquí también juega un papel muy importante la </w:t>
      </w:r>
      <w:sdt>
        <w:sdtPr>
          <w:rPr>
            <w:rFonts w:ascii="Times New Roman" w:hAnsi="Times New Roman" w:cs="Times New Roman"/>
            <w:sz w:val="24"/>
            <w:szCs w:val="24"/>
          </w:rPr>
          <w:id w:val="-1185742271"/>
          <w:citation/>
        </w:sdtPr>
        <w:sdtEndPr/>
        <w:sdtContent>
          <w:r w:rsidR="004A7F7B">
            <w:rPr>
              <w:rFonts w:ascii="Times New Roman" w:hAnsi="Times New Roman" w:cs="Times New Roman"/>
              <w:sz w:val="24"/>
              <w:szCs w:val="24"/>
            </w:rPr>
            <w:fldChar w:fldCharType="begin"/>
          </w:r>
          <w:r w:rsidR="004A7F7B">
            <w:rPr>
              <w:rFonts w:ascii="Times New Roman" w:hAnsi="Times New Roman" w:cs="Times New Roman"/>
              <w:sz w:val="24"/>
              <w:szCs w:val="24"/>
              <w:lang w:val="es-MX"/>
            </w:rPr>
            <w:instrText xml:space="preserve"> CITATION Fun22 \l 2058 </w:instrText>
          </w:r>
          <w:r w:rsidR="004A7F7B">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(Fundación IFRS, 2022)</w:t>
          </w:r>
          <w:r w:rsidR="004A7F7B">
            <w:rPr>
              <w:rFonts w:ascii="Times New Roman" w:hAnsi="Times New Roman" w:cs="Times New Roman"/>
              <w:sz w:val="24"/>
              <w:szCs w:val="24"/>
            </w:rPr>
            <w:fldChar w:fldCharType="end"/>
          </w:r>
        </w:sdtContent>
      </w:sdt>
      <w:r w:rsidR="007B5C79">
        <w:rPr>
          <w:rFonts w:ascii="Times New Roman" w:hAnsi="Times New Roman" w:cs="Times New Roman"/>
          <w:sz w:val="24"/>
          <w:szCs w:val="24"/>
        </w:rPr>
        <w:t xml:space="preserve"> ya que el año pasado ellos crearon el Consejo de Normas Internacionales de Sostenibilidad </w:t>
      </w:r>
      <w:sdt>
        <w:sdtPr>
          <w:rPr>
            <w:rFonts w:ascii="Times New Roman" w:hAnsi="Times New Roman" w:cs="Times New Roman"/>
            <w:sz w:val="24"/>
            <w:szCs w:val="24"/>
          </w:rPr>
          <w:id w:val="327409754"/>
          <w:citation/>
        </w:sdtPr>
        <w:sdtEndPr/>
        <w:sdtContent>
          <w:r w:rsidR="003F120D">
            <w:rPr>
              <w:rFonts w:ascii="Times New Roman" w:hAnsi="Times New Roman" w:cs="Times New Roman"/>
              <w:sz w:val="24"/>
              <w:szCs w:val="24"/>
            </w:rPr>
            <w:fldChar w:fldCharType="begin"/>
          </w:r>
          <w:r w:rsidR="003F120D">
            <w:rPr>
              <w:rFonts w:ascii="Times New Roman" w:hAnsi="Times New Roman" w:cs="Times New Roman"/>
              <w:sz w:val="24"/>
              <w:szCs w:val="24"/>
              <w:lang w:val="es-MX"/>
            </w:rPr>
            <w:instrText xml:space="preserve"> CITATION ISS22 \l 2058 </w:instrText>
          </w:r>
          <w:r w:rsidR="003F120D">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(ISSB, 2022)</w:t>
          </w:r>
          <w:r w:rsidR="003F120D">
            <w:rPr>
              <w:rFonts w:ascii="Times New Roman" w:hAnsi="Times New Roman" w:cs="Times New Roman"/>
              <w:sz w:val="24"/>
              <w:szCs w:val="24"/>
            </w:rPr>
            <w:fldChar w:fldCharType="end"/>
          </w:r>
        </w:sdtContent>
      </w:sdt>
      <w:r w:rsidR="003B72DD">
        <w:rPr>
          <w:rFonts w:ascii="Times New Roman" w:hAnsi="Times New Roman" w:cs="Times New Roman"/>
          <w:sz w:val="24"/>
          <w:szCs w:val="24"/>
        </w:rPr>
        <w:t xml:space="preserve"> </w:t>
      </w:r>
      <w:r w:rsidR="007B5C79">
        <w:rPr>
          <w:rFonts w:ascii="Times New Roman" w:hAnsi="Times New Roman" w:cs="Times New Roman"/>
          <w:sz w:val="24"/>
          <w:szCs w:val="24"/>
        </w:rPr>
        <w:t xml:space="preserve">en donde en este momento </w:t>
      </w:r>
      <w:r w:rsidR="00D76A65">
        <w:rPr>
          <w:rFonts w:ascii="Times New Roman" w:hAnsi="Times New Roman" w:cs="Times New Roman"/>
          <w:sz w:val="24"/>
          <w:szCs w:val="24"/>
        </w:rPr>
        <w:t>está</w:t>
      </w:r>
      <w:r w:rsidR="007B5C79">
        <w:rPr>
          <w:rFonts w:ascii="Times New Roman" w:hAnsi="Times New Roman" w:cs="Times New Roman"/>
          <w:sz w:val="24"/>
          <w:szCs w:val="24"/>
        </w:rPr>
        <w:t xml:space="preserve"> en proceso de aprobación y publicación de las nuevas normas </w:t>
      </w:r>
      <w:r w:rsidR="00474149">
        <w:rPr>
          <w:rFonts w:ascii="Times New Roman" w:hAnsi="Times New Roman" w:cs="Times New Roman"/>
          <w:sz w:val="24"/>
          <w:szCs w:val="24"/>
        </w:rPr>
        <w:t xml:space="preserve">NIIF S1 y NIIF S2 (Normas Internacionales de Información Financiera de Sostenibilidad por sus siglas en español), donde la primera </w:t>
      </w:r>
      <w:sdt>
        <w:sdtPr>
          <w:rPr>
            <w:rFonts w:ascii="Times New Roman" w:hAnsi="Times New Roman" w:cs="Times New Roman"/>
            <w:sz w:val="24"/>
            <w:szCs w:val="24"/>
          </w:rPr>
          <w:id w:val="1781222785"/>
          <w:citation/>
        </w:sdtPr>
        <w:sdtEndPr/>
        <w:sdtContent>
          <w:r w:rsidR="003C43C2">
            <w:rPr>
              <w:rFonts w:ascii="Times New Roman" w:hAnsi="Times New Roman" w:cs="Times New Roman"/>
              <w:sz w:val="24"/>
              <w:szCs w:val="24"/>
            </w:rPr>
            <w:fldChar w:fldCharType="begin"/>
          </w:r>
          <w:r w:rsidR="003C43C2">
            <w:rPr>
              <w:rFonts w:ascii="Times New Roman" w:hAnsi="Times New Roman" w:cs="Times New Roman"/>
              <w:sz w:val="24"/>
              <w:szCs w:val="24"/>
              <w:lang w:val="es-MX"/>
            </w:rPr>
            <w:instrText xml:space="preserve"> CITATION NII221 \l 2058 </w:instrText>
          </w:r>
          <w:r w:rsidR="003C43C2">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(NIIF S1 Requerimientos generales para la información a revelar sobre sostenibilidad relacionada con la información financiera, 2022)</w:t>
          </w:r>
          <w:r w:rsidR="003C43C2">
            <w:rPr>
              <w:rFonts w:ascii="Times New Roman" w:hAnsi="Times New Roman" w:cs="Times New Roman"/>
              <w:sz w:val="24"/>
              <w:szCs w:val="24"/>
            </w:rPr>
            <w:fldChar w:fldCharType="end"/>
          </w:r>
        </w:sdtContent>
      </w:sdt>
      <w:r w:rsidR="00474149">
        <w:rPr>
          <w:rFonts w:ascii="Times New Roman" w:hAnsi="Times New Roman" w:cs="Times New Roman"/>
          <w:sz w:val="24"/>
          <w:szCs w:val="24"/>
        </w:rPr>
        <w:t xml:space="preserve">  y la </w:t>
      </w:r>
      <w:sdt>
        <w:sdtPr>
          <w:rPr>
            <w:rFonts w:ascii="Times New Roman" w:hAnsi="Times New Roman" w:cs="Times New Roman"/>
            <w:sz w:val="24"/>
            <w:szCs w:val="24"/>
          </w:rPr>
          <w:id w:val="2061353067"/>
          <w:citation/>
        </w:sdtPr>
        <w:sdtEndPr/>
        <w:sdtContent>
          <w:r w:rsidR="003C43C2">
            <w:rPr>
              <w:rFonts w:ascii="Times New Roman" w:hAnsi="Times New Roman" w:cs="Times New Roman"/>
              <w:sz w:val="24"/>
              <w:szCs w:val="24"/>
            </w:rPr>
            <w:fldChar w:fldCharType="begin"/>
          </w:r>
          <w:r w:rsidR="003C43C2">
            <w:rPr>
              <w:rFonts w:ascii="Times New Roman" w:hAnsi="Times New Roman" w:cs="Times New Roman"/>
              <w:sz w:val="24"/>
              <w:szCs w:val="24"/>
              <w:lang w:val="es-MX"/>
            </w:rPr>
            <w:instrText xml:space="preserve"> CITATION NII22 \l 2058 </w:instrText>
          </w:r>
          <w:r w:rsidR="003C43C2">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(NIIF S2 Divulgaciones relacionadas con aspectos climaticos, 2022)</w:t>
          </w:r>
          <w:r w:rsidR="003C43C2">
            <w:rPr>
              <w:rFonts w:ascii="Times New Roman" w:hAnsi="Times New Roman" w:cs="Times New Roman"/>
              <w:sz w:val="24"/>
              <w:szCs w:val="24"/>
            </w:rPr>
            <w:fldChar w:fldCharType="end"/>
          </w:r>
        </w:sdtContent>
      </w:sdt>
      <w:r w:rsidR="00474149">
        <w:rPr>
          <w:rFonts w:ascii="Times New Roman" w:hAnsi="Times New Roman" w:cs="Times New Roman"/>
          <w:sz w:val="24"/>
          <w:szCs w:val="24"/>
        </w:rPr>
        <w:t xml:space="preserve">, </w:t>
      </w:r>
      <w:r w:rsidR="0062370E" w:rsidRPr="00E05293">
        <w:rPr>
          <w:rFonts w:ascii="Times New Roman" w:hAnsi="Times New Roman" w:cs="Times New Roman"/>
          <w:sz w:val="24"/>
          <w:szCs w:val="24"/>
        </w:rPr>
        <w:t xml:space="preserve">desde este punto de vista vamos a trabajar la relación de los reportes de sostenibilidad con el ejercicio de la revisoría fiscal en nuestro país. Todos los informes o reportes que realice el revisor fiscal son de gran importancia para las </w:t>
      </w:r>
      <w:r>
        <w:rPr>
          <w:rFonts w:ascii="Times New Roman" w:hAnsi="Times New Roman" w:cs="Times New Roman"/>
          <w:sz w:val="24"/>
          <w:szCs w:val="24"/>
        </w:rPr>
        <w:t>entidades</w:t>
      </w:r>
      <w:r w:rsidR="0062370E" w:rsidRPr="00E05293">
        <w:rPr>
          <w:rFonts w:ascii="Times New Roman" w:hAnsi="Times New Roman" w:cs="Times New Roman"/>
          <w:sz w:val="24"/>
          <w:szCs w:val="24"/>
        </w:rPr>
        <w:t xml:space="preserve"> y sobre todo en la toma de decisiones </w:t>
      </w:r>
      <w:r w:rsidR="00E05293" w:rsidRPr="00E05293">
        <w:rPr>
          <w:rFonts w:ascii="Times New Roman" w:hAnsi="Times New Roman" w:cs="Times New Roman"/>
          <w:sz w:val="24"/>
          <w:szCs w:val="24"/>
        </w:rPr>
        <w:t>en los máximos órganos de la</w:t>
      </w:r>
      <w:r w:rsidR="00E05293">
        <w:rPr>
          <w:rFonts w:ascii="Times New Roman" w:hAnsi="Times New Roman" w:cs="Times New Roman"/>
          <w:sz w:val="24"/>
          <w:szCs w:val="24"/>
        </w:rPr>
        <w:t>s</w:t>
      </w:r>
      <w:r w:rsidR="00E05293" w:rsidRPr="00E05293">
        <w:rPr>
          <w:rFonts w:ascii="Times New Roman" w:hAnsi="Times New Roman" w:cs="Times New Roman"/>
          <w:sz w:val="24"/>
          <w:szCs w:val="24"/>
        </w:rPr>
        <w:t xml:space="preserve"> empresas o para los mismos usuarios de la información financiera y no financiera</w:t>
      </w:r>
      <w:r w:rsidR="00474149">
        <w:rPr>
          <w:rFonts w:ascii="Times New Roman" w:hAnsi="Times New Roman" w:cs="Times New Roman"/>
          <w:sz w:val="24"/>
          <w:szCs w:val="24"/>
        </w:rPr>
        <w:t>.</w:t>
      </w:r>
    </w:p>
    <w:p w14:paraId="5920BD65" w14:textId="580EBD48" w:rsidR="003B72DD" w:rsidRDefault="003B72DD" w:rsidP="00E05293">
      <w:pPr>
        <w:spacing w:after="0" w:line="360" w:lineRule="auto"/>
        <w:rPr>
          <w:rFonts w:ascii="Times New Roman" w:hAnsi="Times New Roman" w:cs="Times New Roman"/>
          <w:sz w:val="24"/>
          <w:szCs w:val="24"/>
        </w:rPr>
      </w:pPr>
    </w:p>
    <w:p w14:paraId="1B1CED1B" w14:textId="6EF77934" w:rsidR="00B725B1" w:rsidRDefault="00B725B1" w:rsidP="00B725B1">
      <w:pPr>
        <w:pStyle w:val="Prrafode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INTRODUCCION</w:t>
      </w:r>
    </w:p>
    <w:p w14:paraId="26F1C2CB" w14:textId="3A2E5753" w:rsidR="00B725B1" w:rsidRDefault="00B725B1" w:rsidP="00B725B1">
      <w:pPr>
        <w:spacing w:after="0" w:line="360" w:lineRule="auto"/>
        <w:rPr>
          <w:rFonts w:ascii="Times New Roman" w:hAnsi="Times New Roman" w:cs="Times New Roman"/>
          <w:sz w:val="24"/>
          <w:szCs w:val="24"/>
        </w:rPr>
      </w:pPr>
      <w:r>
        <w:rPr>
          <w:rFonts w:ascii="Times New Roman" w:hAnsi="Times New Roman" w:cs="Times New Roman"/>
          <w:sz w:val="24"/>
          <w:szCs w:val="24"/>
        </w:rPr>
        <w:t>En este documento vamos a hablar de la relación entre los reportes de sostenibilidad y el ejercicio de la revisoría fiscal</w:t>
      </w:r>
      <w:r w:rsidR="00F80E5A">
        <w:rPr>
          <w:rFonts w:ascii="Times New Roman" w:hAnsi="Times New Roman" w:cs="Times New Roman"/>
          <w:sz w:val="24"/>
          <w:szCs w:val="24"/>
        </w:rPr>
        <w:t>, como profesionales del área contable es importante empezar a generar información cualitativa y cuantitativa de las acciones que se están realizando dentro de las organizaciones y su importancia dentro del mundo empresarial, también la forma de su reconocimiento en los estados financieros y revelaciones o notas a los estados financieros de una entidad, como nosotros podemos actualizarnos en estos temas que revisten hoy en día de gran relevancia para las organizaciones.</w:t>
      </w:r>
    </w:p>
    <w:p w14:paraId="1ED8D183" w14:textId="7EEA5791" w:rsidR="00F80E5A" w:rsidRDefault="00F80E5A" w:rsidP="00B725B1">
      <w:pPr>
        <w:spacing w:after="0" w:line="360" w:lineRule="auto"/>
        <w:rPr>
          <w:rFonts w:ascii="Times New Roman" w:hAnsi="Times New Roman" w:cs="Times New Roman"/>
          <w:sz w:val="24"/>
          <w:szCs w:val="24"/>
        </w:rPr>
      </w:pPr>
    </w:p>
    <w:p w14:paraId="7F2E52BA" w14:textId="3B3676F4" w:rsidR="00F80E5A" w:rsidRDefault="00F80E5A" w:rsidP="00B725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Estos reportes no son nuevos para algunas empresa colombianas como </w:t>
      </w:r>
      <w:r w:rsidR="0010606C">
        <w:rPr>
          <w:rFonts w:ascii="Times New Roman" w:hAnsi="Times New Roman" w:cs="Times New Roman"/>
          <w:sz w:val="24"/>
          <w:szCs w:val="24"/>
        </w:rPr>
        <w:t>Alpina</w:t>
      </w:r>
      <w:r>
        <w:rPr>
          <w:rFonts w:ascii="Times New Roman" w:hAnsi="Times New Roman" w:cs="Times New Roman"/>
          <w:sz w:val="24"/>
          <w:szCs w:val="24"/>
        </w:rPr>
        <w:t xml:space="preserve"> o Bancolombia</w:t>
      </w:r>
      <w:r w:rsidR="0010606C">
        <w:rPr>
          <w:rFonts w:ascii="Times New Roman" w:hAnsi="Times New Roman" w:cs="Times New Roman"/>
          <w:sz w:val="24"/>
          <w:szCs w:val="24"/>
        </w:rPr>
        <w:t xml:space="preserve"> que son lideres o pioneras en este campo, este fenómeno se presente como respuesta a las exigencias hechas por los usuarios de la información financiera quien han demandado una mejor gobernanza en las organizaciones ya que estas grandes empresas fueron las primeras que les exigieron este tipo de información y más con los lineamientos Global Reporting Initiative (GRI), esto también lo expresa </w:t>
      </w:r>
      <w:sdt>
        <w:sdtPr>
          <w:rPr>
            <w:rFonts w:ascii="Times New Roman" w:hAnsi="Times New Roman" w:cs="Times New Roman"/>
            <w:sz w:val="24"/>
            <w:szCs w:val="24"/>
          </w:rPr>
          <w:id w:val="-2041348127"/>
          <w:citation/>
        </w:sdtPr>
        <w:sdtEndPr/>
        <w:sdtContent>
          <w:r w:rsidR="00C12FE4">
            <w:rPr>
              <w:rFonts w:ascii="Times New Roman" w:hAnsi="Times New Roman" w:cs="Times New Roman"/>
              <w:sz w:val="24"/>
              <w:szCs w:val="24"/>
            </w:rPr>
            <w:fldChar w:fldCharType="begin"/>
          </w:r>
          <w:r w:rsidR="00C12FE4">
            <w:rPr>
              <w:rFonts w:ascii="Times New Roman" w:hAnsi="Times New Roman" w:cs="Times New Roman"/>
              <w:sz w:val="24"/>
              <w:szCs w:val="24"/>
              <w:lang w:val="es-MX"/>
            </w:rPr>
            <w:instrText xml:space="preserve"> CITATION Suá21 \l 2058 </w:instrText>
          </w:r>
          <w:r w:rsidR="00C12FE4">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(Suárez-Rico, 2021)</w:t>
          </w:r>
          <w:r w:rsidR="00C12FE4">
            <w:rPr>
              <w:rFonts w:ascii="Times New Roman" w:hAnsi="Times New Roman" w:cs="Times New Roman"/>
              <w:sz w:val="24"/>
              <w:szCs w:val="24"/>
            </w:rPr>
            <w:fldChar w:fldCharType="end"/>
          </w:r>
        </w:sdtContent>
      </w:sdt>
      <w:r w:rsidR="00C12FE4">
        <w:rPr>
          <w:rFonts w:ascii="Times New Roman" w:hAnsi="Times New Roman" w:cs="Times New Roman"/>
          <w:sz w:val="24"/>
          <w:szCs w:val="24"/>
        </w:rPr>
        <w:t xml:space="preserve"> </w:t>
      </w:r>
      <w:r w:rsidR="0010606C">
        <w:rPr>
          <w:rFonts w:ascii="Times New Roman" w:hAnsi="Times New Roman" w:cs="Times New Roman"/>
          <w:sz w:val="24"/>
          <w:szCs w:val="24"/>
        </w:rPr>
        <w:t xml:space="preserve">en su </w:t>
      </w:r>
      <w:r w:rsidR="00C12FE4">
        <w:rPr>
          <w:rFonts w:ascii="Times New Roman" w:hAnsi="Times New Roman" w:cs="Times New Roman"/>
          <w:sz w:val="24"/>
          <w:szCs w:val="24"/>
        </w:rPr>
        <w:t xml:space="preserve">artículo, estos son preparados siguiendo diversas guías o estándares internacionales, asi como los que se van a empezar aplicar desde Consejo de Normas Internacionales de Información Financiera </w:t>
      </w:r>
      <w:sdt>
        <w:sdtPr>
          <w:rPr>
            <w:rFonts w:ascii="Times New Roman" w:hAnsi="Times New Roman" w:cs="Times New Roman"/>
            <w:sz w:val="24"/>
            <w:szCs w:val="24"/>
          </w:rPr>
          <w:id w:val="1933550529"/>
          <w:citation/>
        </w:sdtPr>
        <w:sdtEndPr/>
        <w:sdtContent>
          <w:r w:rsidR="00C12FE4">
            <w:rPr>
              <w:rFonts w:ascii="Times New Roman" w:hAnsi="Times New Roman" w:cs="Times New Roman"/>
              <w:sz w:val="24"/>
              <w:szCs w:val="24"/>
            </w:rPr>
            <w:fldChar w:fldCharType="begin"/>
          </w:r>
          <w:r w:rsidR="00C12FE4">
            <w:rPr>
              <w:rFonts w:ascii="Times New Roman" w:hAnsi="Times New Roman" w:cs="Times New Roman"/>
              <w:sz w:val="24"/>
              <w:szCs w:val="24"/>
              <w:lang w:val="es-MX"/>
            </w:rPr>
            <w:instrText xml:space="preserve"> CITATION ISS22 \l 2058 </w:instrText>
          </w:r>
          <w:r w:rsidR="00C12FE4">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(ISSB, 2022)</w:t>
          </w:r>
          <w:r w:rsidR="00C12FE4">
            <w:rPr>
              <w:rFonts w:ascii="Times New Roman" w:hAnsi="Times New Roman" w:cs="Times New Roman"/>
              <w:sz w:val="24"/>
              <w:szCs w:val="24"/>
            </w:rPr>
            <w:fldChar w:fldCharType="end"/>
          </w:r>
        </w:sdtContent>
      </w:sdt>
      <w:r w:rsidR="00C12FE4">
        <w:rPr>
          <w:rFonts w:ascii="Times New Roman" w:hAnsi="Times New Roman" w:cs="Times New Roman"/>
          <w:sz w:val="24"/>
          <w:szCs w:val="24"/>
        </w:rPr>
        <w:t xml:space="preserve"> a partir del año 2024.</w:t>
      </w:r>
    </w:p>
    <w:p w14:paraId="299B2E6E" w14:textId="7407D0ED" w:rsidR="00752ACB" w:rsidRDefault="00752ACB" w:rsidP="00B725B1">
      <w:pPr>
        <w:spacing w:after="0" w:line="360" w:lineRule="auto"/>
        <w:rPr>
          <w:rFonts w:ascii="Times New Roman" w:hAnsi="Times New Roman" w:cs="Times New Roman"/>
          <w:sz w:val="24"/>
          <w:szCs w:val="24"/>
        </w:rPr>
      </w:pPr>
    </w:p>
    <w:p w14:paraId="6AE6F940" w14:textId="2E0523E9" w:rsidR="00F3526A" w:rsidRPr="00F3526A" w:rsidRDefault="00F3526A" w:rsidP="00F3526A">
      <w:pPr>
        <w:pStyle w:val="Prrafode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RESULTADOS</w:t>
      </w:r>
    </w:p>
    <w:p w14:paraId="5B58BF00" w14:textId="25F2B5AA" w:rsidR="00752ACB" w:rsidRDefault="00752ACB" w:rsidP="00B725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Tales informes son, de suma importancia ya que pueden ser relevantes para la toma de decisiones o pueden influir en sus decisiones así como lo dice </w:t>
      </w:r>
      <w:sdt>
        <w:sdtPr>
          <w:rPr>
            <w:rFonts w:ascii="Times New Roman" w:hAnsi="Times New Roman" w:cs="Times New Roman"/>
            <w:sz w:val="24"/>
            <w:szCs w:val="24"/>
          </w:rPr>
          <w:id w:val="19896624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Suá21 \l 2058 </w:instrText>
          </w:r>
          <w:r>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(Suárez-Rico,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pero desde la perspectiva de la profesión contable no es un tema que se haya incorporado dentro </w:t>
      </w:r>
      <w:r>
        <w:rPr>
          <w:rFonts w:ascii="Times New Roman" w:hAnsi="Times New Roman" w:cs="Times New Roman"/>
          <w:sz w:val="24"/>
          <w:szCs w:val="24"/>
        </w:rPr>
        <w:lastRenderedPageBreak/>
        <w:t xml:space="preserve">de los pénsum de las diferentes instituciones de educación superior, pero si ha tomado gran relevancia para todos los profesionales ya que estamos en un mundo globalizado y que utiliza </w:t>
      </w:r>
      <w:r w:rsidR="0075772D">
        <w:rPr>
          <w:rFonts w:ascii="Times New Roman" w:hAnsi="Times New Roman" w:cs="Times New Roman"/>
          <w:sz w:val="24"/>
          <w:szCs w:val="24"/>
        </w:rPr>
        <w:t xml:space="preserve">estándares internacionales de información financiera </w:t>
      </w:r>
      <w:sdt>
        <w:sdtPr>
          <w:rPr>
            <w:rFonts w:ascii="Times New Roman" w:hAnsi="Times New Roman" w:cs="Times New Roman"/>
            <w:sz w:val="24"/>
            <w:szCs w:val="24"/>
          </w:rPr>
          <w:id w:val="-527260683"/>
          <w:citation/>
        </w:sdtPr>
        <w:sdtEndPr/>
        <w:sdtContent>
          <w:r w:rsidR="0075772D">
            <w:rPr>
              <w:rFonts w:ascii="Times New Roman" w:hAnsi="Times New Roman" w:cs="Times New Roman"/>
              <w:sz w:val="24"/>
              <w:szCs w:val="24"/>
            </w:rPr>
            <w:fldChar w:fldCharType="begin"/>
          </w:r>
          <w:r w:rsidR="0075772D">
            <w:rPr>
              <w:rFonts w:ascii="Times New Roman" w:hAnsi="Times New Roman" w:cs="Times New Roman"/>
              <w:sz w:val="24"/>
              <w:szCs w:val="24"/>
              <w:lang w:val="es-MX"/>
            </w:rPr>
            <w:instrText xml:space="preserve"> CITATION Fun22 \l 2058 </w:instrText>
          </w:r>
          <w:r w:rsidR="0075772D">
            <w:rPr>
              <w:rFonts w:ascii="Times New Roman" w:hAnsi="Times New Roman" w:cs="Times New Roman"/>
              <w:sz w:val="24"/>
              <w:szCs w:val="24"/>
            </w:rPr>
            <w:fldChar w:fldCharType="separate"/>
          </w:r>
          <w:r w:rsidR="00D42DFF" w:rsidRPr="00D42DFF">
            <w:rPr>
              <w:rFonts w:ascii="Times New Roman" w:hAnsi="Times New Roman" w:cs="Times New Roman"/>
              <w:noProof/>
              <w:sz w:val="24"/>
              <w:szCs w:val="24"/>
              <w:lang w:val="es-MX"/>
            </w:rPr>
            <w:t>(Fundación IFRS, 2022)</w:t>
          </w:r>
          <w:r w:rsidR="0075772D">
            <w:rPr>
              <w:rFonts w:ascii="Times New Roman" w:hAnsi="Times New Roman" w:cs="Times New Roman"/>
              <w:sz w:val="24"/>
              <w:szCs w:val="24"/>
            </w:rPr>
            <w:fldChar w:fldCharType="end"/>
          </w:r>
        </w:sdtContent>
      </w:sdt>
      <w:r w:rsidR="0075772D">
        <w:rPr>
          <w:rFonts w:ascii="Times New Roman" w:hAnsi="Times New Roman" w:cs="Times New Roman"/>
          <w:sz w:val="24"/>
          <w:szCs w:val="24"/>
        </w:rPr>
        <w:t xml:space="preserve"> lo que permite que todo el mundo hable el mismo idioma a nivel empresarial.</w:t>
      </w:r>
    </w:p>
    <w:p w14:paraId="265D2DBC" w14:textId="5FB04A3B" w:rsidR="00F80E5A" w:rsidRDefault="00F80E5A" w:rsidP="00B725B1">
      <w:pPr>
        <w:spacing w:after="0" w:line="360" w:lineRule="auto"/>
        <w:rPr>
          <w:rFonts w:ascii="Times New Roman" w:hAnsi="Times New Roman" w:cs="Times New Roman"/>
          <w:sz w:val="24"/>
          <w:szCs w:val="24"/>
        </w:rPr>
      </w:pPr>
    </w:p>
    <w:p w14:paraId="48805B15" w14:textId="06E22232" w:rsidR="003B72DD" w:rsidRDefault="003B72DD"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Desde el punto de vista de la mayoría de los revisores fiscales no están actualizados a este tema de los reportes de sostenibilidad, es más se puede decir que es un tema de poco conocimiento dentro de la profesión contable es decir casi desconocido por la profesión, ya que solo las grandes empresas en este momento son las que realizan dichos informes porque fueron obligadas en su momento a emitir información relacionado con los informes de sostenibilidad ambiental.  Es por esto que los reportes de sostenibilidad toman una gran importancia dentro la profesión contable y sobre todo en el ejercicio de la revisoría fiscal</w:t>
      </w:r>
      <w:r w:rsidR="0075772D">
        <w:rPr>
          <w:rFonts w:ascii="Times New Roman" w:hAnsi="Times New Roman" w:cs="Times New Roman"/>
          <w:sz w:val="24"/>
          <w:szCs w:val="24"/>
        </w:rPr>
        <w:t>.</w:t>
      </w:r>
    </w:p>
    <w:p w14:paraId="2C467EAE" w14:textId="27769AA0" w:rsidR="0075772D" w:rsidRDefault="0075772D" w:rsidP="00E05293">
      <w:pPr>
        <w:spacing w:after="0" w:line="360" w:lineRule="auto"/>
        <w:rPr>
          <w:rFonts w:ascii="Times New Roman" w:hAnsi="Times New Roman" w:cs="Times New Roman"/>
          <w:sz w:val="24"/>
          <w:szCs w:val="24"/>
        </w:rPr>
      </w:pPr>
    </w:p>
    <w:p w14:paraId="0C16B58F" w14:textId="6D904543" w:rsidR="0075772D" w:rsidRDefault="0075772D"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La revisoría fiscal quien es la encargada de suministrar reportes de manera oportuna para la toma de decisiones en las organizaciones se ha quedado un poco rezagada por la falta de capacitación por parte de los profesionales que</w:t>
      </w:r>
      <w:r w:rsidR="00273994">
        <w:rPr>
          <w:rFonts w:ascii="Times New Roman" w:hAnsi="Times New Roman" w:cs="Times New Roman"/>
          <w:sz w:val="24"/>
          <w:szCs w:val="24"/>
        </w:rPr>
        <w:t xml:space="preserve"> muchas veces no se preocupan por estar actualizados en dichos temas y como pueden afectar a las organizaciones, desde  lo conversado con diferentes profesionales </w:t>
      </w:r>
      <w:r w:rsidR="006B669E">
        <w:rPr>
          <w:rFonts w:ascii="Times New Roman" w:hAnsi="Times New Roman" w:cs="Times New Roman"/>
          <w:sz w:val="24"/>
          <w:szCs w:val="24"/>
        </w:rPr>
        <w:t>contables casi el tema de reportes de sostenibilidad no se conoce</w:t>
      </w:r>
      <w:r w:rsidR="00F3526A">
        <w:rPr>
          <w:rFonts w:ascii="Times New Roman" w:hAnsi="Times New Roman" w:cs="Times New Roman"/>
          <w:sz w:val="24"/>
          <w:szCs w:val="24"/>
        </w:rPr>
        <w:t xml:space="preserve"> pero el desconocimiento no nos exime del castigo que se pueda imponer  por parte de los entes de vigilancia y control.</w:t>
      </w:r>
    </w:p>
    <w:p w14:paraId="52BE0357" w14:textId="5E92FEF0" w:rsidR="00F3526A" w:rsidRDefault="00F3526A" w:rsidP="00E05293">
      <w:pPr>
        <w:spacing w:after="0" w:line="360" w:lineRule="auto"/>
        <w:rPr>
          <w:rFonts w:ascii="Times New Roman" w:hAnsi="Times New Roman" w:cs="Times New Roman"/>
          <w:sz w:val="24"/>
          <w:szCs w:val="24"/>
        </w:rPr>
      </w:pPr>
    </w:p>
    <w:p w14:paraId="44B2CE2E" w14:textId="78BA9A6B" w:rsidR="008977A8" w:rsidRDefault="00F3526A"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Estos informes van a ser parte de las funciones del revisor fiscal dentro de los tantos informes que debe presentar y dentro de las tantas cosas que debe de realizar</w:t>
      </w:r>
      <w:r w:rsidR="00CD2737">
        <w:rPr>
          <w:rFonts w:ascii="Times New Roman" w:hAnsi="Times New Roman" w:cs="Times New Roman"/>
          <w:sz w:val="24"/>
          <w:szCs w:val="24"/>
        </w:rPr>
        <w:t xml:space="preserve"> también, es por esto que tiene una importancia que los revisores fiscales conozcan como se realizan dichos informes y de donde va a salir la información para los mismos</w:t>
      </w:r>
      <w:r w:rsidR="00BB5C7B">
        <w:rPr>
          <w:rFonts w:ascii="Times New Roman" w:hAnsi="Times New Roman" w:cs="Times New Roman"/>
          <w:sz w:val="24"/>
          <w:szCs w:val="24"/>
        </w:rPr>
        <w:t>.  Hoy en día la Federación Internacional de Contadores Públi</w:t>
      </w:r>
      <w:r w:rsidR="00DE565C">
        <w:rPr>
          <w:rFonts w:ascii="Times New Roman" w:hAnsi="Times New Roman" w:cs="Times New Roman"/>
          <w:sz w:val="24"/>
          <w:szCs w:val="24"/>
        </w:rPr>
        <w:t>cos (IFAC</w:t>
      </w:r>
      <w:r w:rsidR="00416F85">
        <w:rPr>
          <w:rFonts w:ascii="Times New Roman" w:hAnsi="Times New Roman" w:cs="Times New Roman"/>
          <w:sz w:val="24"/>
          <w:szCs w:val="24"/>
        </w:rPr>
        <w:t>,</w:t>
      </w:r>
      <w:r w:rsidR="00DE565C">
        <w:rPr>
          <w:rFonts w:ascii="Times New Roman" w:hAnsi="Times New Roman" w:cs="Times New Roman"/>
          <w:sz w:val="24"/>
          <w:szCs w:val="24"/>
        </w:rPr>
        <w:t xml:space="preserve"> por sus siglas en inglés)</w:t>
      </w:r>
      <w:r w:rsidR="00B83ACF">
        <w:rPr>
          <w:rFonts w:ascii="Times New Roman" w:hAnsi="Times New Roman" w:cs="Times New Roman"/>
          <w:sz w:val="24"/>
          <w:szCs w:val="24"/>
        </w:rPr>
        <w:t>, el Instituto de Americano de Contadores Público</w:t>
      </w:r>
      <w:r w:rsidR="00DE565C">
        <w:rPr>
          <w:rFonts w:ascii="Times New Roman" w:hAnsi="Times New Roman" w:cs="Times New Roman"/>
          <w:sz w:val="24"/>
          <w:szCs w:val="24"/>
        </w:rPr>
        <w:t xml:space="preserve"> (AICPA</w:t>
      </w:r>
      <w:r w:rsidR="00416F85">
        <w:rPr>
          <w:rFonts w:ascii="Times New Roman" w:hAnsi="Times New Roman" w:cs="Times New Roman"/>
          <w:sz w:val="24"/>
          <w:szCs w:val="24"/>
        </w:rPr>
        <w:t>,</w:t>
      </w:r>
      <w:r w:rsidR="00DE565C">
        <w:rPr>
          <w:rFonts w:ascii="Times New Roman" w:hAnsi="Times New Roman" w:cs="Times New Roman"/>
          <w:sz w:val="24"/>
          <w:szCs w:val="24"/>
        </w:rPr>
        <w:t xml:space="preserve"> por sus siglas en inglés)</w:t>
      </w:r>
      <w:r w:rsidR="00B83ACF">
        <w:rPr>
          <w:rFonts w:ascii="Times New Roman" w:hAnsi="Times New Roman" w:cs="Times New Roman"/>
          <w:sz w:val="24"/>
          <w:szCs w:val="24"/>
        </w:rPr>
        <w:t xml:space="preserve"> y el Instituto </w:t>
      </w:r>
      <w:r w:rsidR="00DE565C">
        <w:rPr>
          <w:rFonts w:ascii="Times New Roman" w:hAnsi="Times New Roman" w:cs="Times New Roman"/>
          <w:sz w:val="24"/>
          <w:szCs w:val="24"/>
        </w:rPr>
        <w:t>Certificado de Contadores Gerenciales (CIMA</w:t>
      </w:r>
      <w:r w:rsidR="00416F85">
        <w:rPr>
          <w:rFonts w:ascii="Times New Roman" w:hAnsi="Times New Roman" w:cs="Times New Roman"/>
          <w:sz w:val="24"/>
          <w:szCs w:val="24"/>
        </w:rPr>
        <w:t>,</w:t>
      </w:r>
      <w:r w:rsidR="00DE565C">
        <w:rPr>
          <w:rFonts w:ascii="Times New Roman" w:hAnsi="Times New Roman" w:cs="Times New Roman"/>
          <w:sz w:val="24"/>
          <w:szCs w:val="24"/>
        </w:rPr>
        <w:t xml:space="preserve"> por sus siglas en inglés) </w:t>
      </w:r>
      <w:r w:rsidR="00B83ACF">
        <w:rPr>
          <w:rFonts w:ascii="Times New Roman" w:hAnsi="Times New Roman" w:cs="Times New Roman"/>
          <w:sz w:val="24"/>
          <w:szCs w:val="24"/>
        </w:rPr>
        <w:t>realiz</w:t>
      </w:r>
      <w:r w:rsidR="00DE565C">
        <w:rPr>
          <w:rFonts w:ascii="Times New Roman" w:hAnsi="Times New Roman" w:cs="Times New Roman"/>
          <w:sz w:val="24"/>
          <w:szCs w:val="24"/>
        </w:rPr>
        <w:t>ar</w:t>
      </w:r>
      <w:r w:rsidR="00B83ACF">
        <w:rPr>
          <w:rFonts w:ascii="Times New Roman" w:hAnsi="Times New Roman" w:cs="Times New Roman"/>
          <w:sz w:val="24"/>
          <w:szCs w:val="24"/>
        </w:rPr>
        <w:t>o</w:t>
      </w:r>
      <w:r w:rsidR="00DE565C">
        <w:rPr>
          <w:rFonts w:ascii="Times New Roman" w:hAnsi="Times New Roman" w:cs="Times New Roman"/>
          <w:sz w:val="24"/>
          <w:szCs w:val="24"/>
        </w:rPr>
        <w:t xml:space="preserve">n </w:t>
      </w:r>
      <w:r w:rsidR="008977A8">
        <w:rPr>
          <w:rFonts w:ascii="Times New Roman" w:hAnsi="Times New Roman" w:cs="Times New Roman"/>
          <w:sz w:val="24"/>
          <w:szCs w:val="24"/>
        </w:rPr>
        <w:t>la actualización de su estudio anual sobre evaluación de prácticas mundiales en materia de divulgación de la sostenibilidad y su aseguramiento 2021.</w:t>
      </w:r>
    </w:p>
    <w:p w14:paraId="012197BF" w14:textId="77777777" w:rsidR="008977A8" w:rsidRDefault="008977A8" w:rsidP="00E05293">
      <w:pPr>
        <w:spacing w:after="0" w:line="360" w:lineRule="auto"/>
        <w:rPr>
          <w:rFonts w:ascii="Times New Roman" w:hAnsi="Times New Roman" w:cs="Times New Roman"/>
          <w:sz w:val="24"/>
          <w:szCs w:val="24"/>
        </w:rPr>
      </w:pPr>
    </w:p>
    <w:p w14:paraId="583CF3D3" w14:textId="77777777" w:rsidR="003C4B94" w:rsidRDefault="00416F85" w:rsidP="003C4B94">
      <w:pPr>
        <w:spacing w:after="0" w:line="360" w:lineRule="auto"/>
        <w:rPr>
          <w:rFonts w:ascii="Times New Roman" w:hAnsi="Times New Roman" w:cs="Times New Roman"/>
          <w:sz w:val="24"/>
          <w:szCs w:val="24"/>
        </w:rPr>
      </w:pPr>
      <w:r>
        <w:rPr>
          <w:rFonts w:ascii="Times New Roman" w:hAnsi="Times New Roman" w:cs="Times New Roman"/>
          <w:sz w:val="24"/>
          <w:szCs w:val="24"/>
        </w:rPr>
        <w:t>Dentro del estudio se tiene información comparativa desde el 2019 hasta el 2021 donde se evidencia que la presentación de informes corporativos y aseguramiento en asuntos ambientales, sociales y de gobernanza (ESG, por sus siglas en inglés)</w:t>
      </w:r>
      <w:r w:rsidR="0095033D">
        <w:rPr>
          <w:rFonts w:ascii="Times New Roman" w:hAnsi="Times New Roman" w:cs="Times New Roman"/>
          <w:sz w:val="24"/>
          <w:szCs w:val="24"/>
        </w:rPr>
        <w:t xml:space="preserve"> </w:t>
      </w:r>
      <w:r w:rsidR="003C4B94">
        <w:rPr>
          <w:rFonts w:ascii="Times New Roman" w:hAnsi="Times New Roman" w:cs="Times New Roman"/>
          <w:sz w:val="24"/>
          <w:szCs w:val="24"/>
        </w:rPr>
        <w:t>continúa siendo un objetivo clave entre las organizaciones a nivel mundial, es por esta misma razón que en nuestro país debemos de tomar conciencia sobre la importancia de los informes de sostenibilidad.</w:t>
      </w:r>
    </w:p>
    <w:p w14:paraId="065BA5EF" w14:textId="5407DD20" w:rsidR="003C4B94" w:rsidRDefault="003C4B94" w:rsidP="00E05293">
      <w:pPr>
        <w:spacing w:after="0" w:line="360" w:lineRule="auto"/>
        <w:rPr>
          <w:rFonts w:ascii="Times New Roman" w:hAnsi="Times New Roman" w:cs="Times New Roman"/>
          <w:sz w:val="24"/>
          <w:szCs w:val="24"/>
        </w:rPr>
      </w:pPr>
    </w:p>
    <w:p w14:paraId="4CBAF488" w14:textId="0D5C2470" w:rsidR="00816159" w:rsidRDefault="00816159"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Por otra parte tenemos la estructura de los informes de sostenibilidad que están basados en diferentes estándares aplicados por las organizaciones, es por esto que se hace de vital importancia tengamos clara dicha estructura, desde lo investigado el informe de sostenibilidad debe contener la siguiente información: visión y estrategia empresarial, perfil del reporte (como esta estructurado y el alcance del mismo), perfil de la organización, sistemas de administración (estructura organizacional y vínculos con los grupos de interés) e indicadores de desempeño esto fue tomado de</w:t>
      </w:r>
      <w:r w:rsidR="00A7017A">
        <w:rPr>
          <w:rFonts w:ascii="Times New Roman" w:hAnsi="Times New Roman" w:cs="Times New Roman"/>
          <w:sz w:val="24"/>
          <w:szCs w:val="24"/>
        </w:rPr>
        <w:t xml:space="preserve">l </w:t>
      </w:r>
      <w:r w:rsidR="00A307AC">
        <w:rPr>
          <w:rFonts w:ascii="Times New Roman" w:hAnsi="Times New Roman" w:cs="Times New Roman"/>
          <w:sz w:val="24"/>
          <w:szCs w:val="24"/>
        </w:rPr>
        <w:t>artículo</w:t>
      </w:r>
      <w:sdt>
        <w:sdtPr>
          <w:rPr>
            <w:rFonts w:ascii="Times New Roman" w:hAnsi="Times New Roman" w:cs="Times New Roman"/>
            <w:sz w:val="24"/>
            <w:szCs w:val="24"/>
          </w:rPr>
          <w:id w:val="156589357"/>
          <w:citation/>
        </w:sdtPr>
        <w:sdtEndPr/>
        <w:sdtContent>
          <w:r w:rsidR="00A7017A">
            <w:rPr>
              <w:rFonts w:ascii="Times New Roman" w:hAnsi="Times New Roman" w:cs="Times New Roman"/>
              <w:sz w:val="24"/>
              <w:szCs w:val="24"/>
            </w:rPr>
            <w:fldChar w:fldCharType="begin"/>
          </w:r>
          <w:r w:rsidR="00A7017A">
            <w:rPr>
              <w:rFonts w:ascii="Times New Roman" w:hAnsi="Times New Roman" w:cs="Times New Roman"/>
              <w:sz w:val="24"/>
              <w:szCs w:val="24"/>
              <w:lang w:val="es-MX"/>
            </w:rPr>
            <w:instrText xml:space="preserve"> CITATION ARA13 \l 2058 </w:instrText>
          </w:r>
          <w:r w:rsidR="00A7017A">
            <w:rPr>
              <w:rFonts w:ascii="Times New Roman" w:hAnsi="Times New Roman" w:cs="Times New Roman"/>
              <w:sz w:val="24"/>
              <w:szCs w:val="24"/>
            </w:rPr>
            <w:fldChar w:fldCharType="separate"/>
          </w:r>
          <w:r w:rsidR="00D42DFF">
            <w:rPr>
              <w:rFonts w:ascii="Times New Roman" w:hAnsi="Times New Roman" w:cs="Times New Roman"/>
              <w:noProof/>
              <w:sz w:val="24"/>
              <w:szCs w:val="24"/>
              <w:lang w:val="es-MX"/>
            </w:rPr>
            <w:t xml:space="preserve"> </w:t>
          </w:r>
          <w:r w:rsidR="00D42DFF" w:rsidRPr="00D42DFF">
            <w:rPr>
              <w:rFonts w:ascii="Times New Roman" w:hAnsi="Times New Roman" w:cs="Times New Roman"/>
              <w:noProof/>
              <w:sz w:val="24"/>
              <w:szCs w:val="24"/>
              <w:lang w:val="es-MX"/>
            </w:rPr>
            <w:t>(ARANGO, 2013)</w:t>
          </w:r>
          <w:r w:rsidR="00A7017A">
            <w:rPr>
              <w:rFonts w:ascii="Times New Roman" w:hAnsi="Times New Roman" w:cs="Times New Roman"/>
              <w:sz w:val="24"/>
              <w:szCs w:val="24"/>
            </w:rPr>
            <w:fldChar w:fldCharType="end"/>
          </w:r>
        </w:sdtContent>
      </w:sdt>
      <w:r w:rsidR="00A7017A">
        <w:rPr>
          <w:rFonts w:ascii="Times New Roman" w:hAnsi="Times New Roman" w:cs="Times New Roman"/>
          <w:sz w:val="24"/>
          <w:szCs w:val="24"/>
        </w:rPr>
        <w:t>.</w:t>
      </w:r>
    </w:p>
    <w:p w14:paraId="7346864C" w14:textId="053FDABB" w:rsidR="00A7017A" w:rsidRDefault="00A7017A" w:rsidP="00E05293">
      <w:pPr>
        <w:spacing w:after="0" w:line="360" w:lineRule="auto"/>
        <w:rPr>
          <w:rFonts w:ascii="Times New Roman" w:hAnsi="Times New Roman" w:cs="Times New Roman"/>
          <w:sz w:val="24"/>
          <w:szCs w:val="24"/>
        </w:rPr>
      </w:pPr>
    </w:p>
    <w:p w14:paraId="7DB6E8C9" w14:textId="10A5CC08" w:rsidR="00A7017A" w:rsidRDefault="00F851FD" w:rsidP="00E052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Como lo nombraba anteriormente dentro de estos informes o reportes de sostenibilidad se utilizan diferentes estándares como se muestra en la siguiente </w:t>
      </w:r>
      <w:r w:rsidR="00A307AC">
        <w:rPr>
          <w:rFonts w:ascii="Times New Roman" w:hAnsi="Times New Roman" w:cs="Times New Roman"/>
          <w:sz w:val="24"/>
          <w:szCs w:val="24"/>
        </w:rPr>
        <w:t>gráfica</w:t>
      </w:r>
      <w:r>
        <w:rPr>
          <w:rFonts w:ascii="Times New Roman" w:hAnsi="Times New Roman" w:cs="Times New Roman"/>
          <w:sz w:val="24"/>
          <w:szCs w:val="24"/>
        </w:rPr>
        <w:t>:</w:t>
      </w:r>
    </w:p>
    <w:p w14:paraId="419D1F6D" w14:textId="0EF837AF" w:rsidR="00F851FD" w:rsidRDefault="00F851FD" w:rsidP="00E05293">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5008DF" wp14:editId="5CB3C2A0">
            <wp:extent cx="5486400" cy="2428875"/>
            <wp:effectExtent l="38100" t="0" r="3810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5367554" w14:textId="3C5B3694" w:rsidR="00A7017A" w:rsidRDefault="00A307AC" w:rsidP="00A307AC">
      <w:pPr>
        <w:spacing w:after="0" w:line="360" w:lineRule="auto"/>
        <w:ind w:left="708"/>
        <w:rPr>
          <w:rFonts w:ascii="Times New Roman" w:hAnsi="Times New Roman" w:cs="Times New Roman"/>
          <w:sz w:val="18"/>
          <w:szCs w:val="18"/>
        </w:rPr>
      </w:pPr>
      <w:r>
        <w:rPr>
          <w:rFonts w:ascii="Times New Roman" w:hAnsi="Times New Roman" w:cs="Times New Roman"/>
          <w:sz w:val="18"/>
          <w:szCs w:val="18"/>
        </w:rPr>
        <w:t xml:space="preserve">Fuente: </w:t>
      </w:r>
      <w:r w:rsidRPr="00A307AC">
        <w:rPr>
          <w:rFonts w:ascii="Times New Roman" w:hAnsi="Times New Roman" w:cs="Times New Roman"/>
          <w:sz w:val="18"/>
          <w:szCs w:val="18"/>
        </w:rPr>
        <w:t>Elaboración Propia</w:t>
      </w:r>
    </w:p>
    <w:p w14:paraId="1249A8C1" w14:textId="0844B826" w:rsidR="00D42DFF" w:rsidRDefault="00D42DFF" w:rsidP="00D42DFF">
      <w:pPr>
        <w:spacing w:after="0" w:line="360" w:lineRule="auto"/>
        <w:rPr>
          <w:rFonts w:ascii="Times New Roman" w:hAnsi="Times New Roman" w:cs="Times New Roman"/>
          <w:sz w:val="24"/>
          <w:szCs w:val="24"/>
        </w:rPr>
      </w:pPr>
    </w:p>
    <w:p w14:paraId="4F5934BD" w14:textId="6326E0B7" w:rsidR="00D42DFF" w:rsidRDefault="00D42DFF" w:rsidP="00D42DF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Como observamos en la grafica anterior los diferentes estándares son los más utilizados por las empresas y los que futuramente vamos a utilizar como los Estándares Internacionales de Sostenibilidad </w:t>
      </w:r>
      <w:sdt>
        <w:sdtPr>
          <w:rPr>
            <w:rFonts w:ascii="Times New Roman" w:hAnsi="Times New Roman" w:cs="Times New Roman"/>
            <w:sz w:val="24"/>
            <w:szCs w:val="24"/>
          </w:rPr>
          <w:id w:val="-136096359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ISS22 \l 2058 </w:instrText>
          </w:r>
          <w:r>
            <w:rPr>
              <w:rFonts w:ascii="Times New Roman" w:hAnsi="Times New Roman" w:cs="Times New Roman"/>
              <w:sz w:val="24"/>
              <w:szCs w:val="24"/>
            </w:rPr>
            <w:fldChar w:fldCharType="separate"/>
          </w:r>
          <w:r w:rsidRPr="00D42DFF">
            <w:rPr>
              <w:rFonts w:ascii="Times New Roman" w:hAnsi="Times New Roman" w:cs="Times New Roman"/>
              <w:noProof/>
              <w:sz w:val="24"/>
              <w:szCs w:val="24"/>
              <w:lang w:val="es-MX"/>
            </w:rPr>
            <w:t>(ISSB, 2022)</w:t>
          </w:r>
          <w:r>
            <w:rPr>
              <w:rFonts w:ascii="Times New Roman" w:hAnsi="Times New Roman" w:cs="Times New Roman"/>
              <w:sz w:val="24"/>
              <w:szCs w:val="24"/>
            </w:rPr>
            <w:fldChar w:fldCharType="end"/>
          </w:r>
        </w:sdtContent>
      </w:sdt>
      <w:r>
        <w:rPr>
          <w:rFonts w:ascii="Times New Roman" w:hAnsi="Times New Roman" w:cs="Times New Roman"/>
          <w:sz w:val="24"/>
          <w:szCs w:val="24"/>
        </w:rPr>
        <w:t>, a nivel mundial se utilizan los</w:t>
      </w:r>
      <w:r w:rsidR="00CF6732">
        <w:rPr>
          <w:rFonts w:ascii="Times New Roman" w:hAnsi="Times New Roman" w:cs="Times New Roman"/>
          <w:sz w:val="24"/>
          <w:szCs w:val="24"/>
        </w:rPr>
        <w:t xml:space="preserve"> GRI</w:t>
      </w:r>
      <w:r>
        <w:rPr>
          <w:rFonts w:ascii="Times New Roman" w:hAnsi="Times New Roman" w:cs="Times New Roman"/>
          <w:sz w:val="24"/>
          <w:szCs w:val="24"/>
        </w:rPr>
        <w:t xml:space="preserve"> </w:t>
      </w:r>
      <w:sdt>
        <w:sdtPr>
          <w:rPr>
            <w:rFonts w:ascii="Times New Roman" w:hAnsi="Times New Roman" w:cs="Times New Roman"/>
            <w:sz w:val="24"/>
            <w:szCs w:val="24"/>
          </w:rPr>
          <w:id w:val="614331222"/>
          <w:citation/>
        </w:sdtPr>
        <w:sdtEndPr/>
        <w:sdtContent>
          <w:r w:rsidR="00CF6732">
            <w:rPr>
              <w:rFonts w:ascii="Times New Roman" w:hAnsi="Times New Roman" w:cs="Times New Roman"/>
              <w:sz w:val="24"/>
              <w:szCs w:val="24"/>
            </w:rPr>
            <w:fldChar w:fldCharType="begin"/>
          </w:r>
          <w:r w:rsidR="00CF6732">
            <w:rPr>
              <w:rFonts w:ascii="Times New Roman" w:hAnsi="Times New Roman" w:cs="Times New Roman"/>
              <w:sz w:val="24"/>
              <w:szCs w:val="24"/>
              <w:lang w:val="es-MX"/>
            </w:rPr>
            <w:instrText xml:space="preserve"> CITATION GLO23 \l 2058 </w:instrText>
          </w:r>
          <w:r w:rsidR="00CF6732">
            <w:rPr>
              <w:rFonts w:ascii="Times New Roman" w:hAnsi="Times New Roman" w:cs="Times New Roman"/>
              <w:sz w:val="24"/>
              <w:szCs w:val="24"/>
            </w:rPr>
            <w:fldChar w:fldCharType="separate"/>
          </w:r>
          <w:r w:rsidR="00CF6732" w:rsidRPr="00CF6732">
            <w:rPr>
              <w:rFonts w:ascii="Times New Roman" w:hAnsi="Times New Roman" w:cs="Times New Roman"/>
              <w:noProof/>
              <w:sz w:val="24"/>
              <w:szCs w:val="24"/>
              <w:lang w:val="es-MX"/>
            </w:rPr>
            <w:t>(GLOBAL REPORTING INITIATIVE, 2023)</w:t>
          </w:r>
          <w:r w:rsidR="00CF6732">
            <w:rPr>
              <w:rFonts w:ascii="Times New Roman" w:hAnsi="Times New Roman" w:cs="Times New Roman"/>
              <w:sz w:val="24"/>
              <w:szCs w:val="24"/>
            </w:rPr>
            <w:fldChar w:fldCharType="end"/>
          </w:r>
        </w:sdtContent>
      </w:sdt>
      <w:r w:rsidR="00CF6732">
        <w:rPr>
          <w:rFonts w:ascii="Times New Roman" w:hAnsi="Times New Roman" w:cs="Times New Roman"/>
          <w:sz w:val="24"/>
          <w:szCs w:val="24"/>
        </w:rPr>
        <w:t xml:space="preserve">, como parte de los mismos estándares internacionales podemos utilizar la norma de responsabilidad social </w:t>
      </w:r>
      <w:sdt>
        <w:sdtPr>
          <w:rPr>
            <w:rFonts w:ascii="Times New Roman" w:hAnsi="Times New Roman" w:cs="Times New Roman"/>
            <w:sz w:val="24"/>
            <w:szCs w:val="24"/>
          </w:rPr>
          <w:id w:val="-1540810762"/>
          <w:citation/>
        </w:sdtPr>
        <w:sdtEndPr/>
        <w:sdtContent>
          <w:r w:rsidR="00CF6732">
            <w:rPr>
              <w:rFonts w:ascii="Times New Roman" w:hAnsi="Times New Roman" w:cs="Times New Roman"/>
              <w:sz w:val="24"/>
              <w:szCs w:val="24"/>
            </w:rPr>
            <w:fldChar w:fldCharType="begin"/>
          </w:r>
          <w:r w:rsidR="00CF6732">
            <w:rPr>
              <w:rFonts w:ascii="Times New Roman" w:hAnsi="Times New Roman" w:cs="Times New Roman"/>
              <w:sz w:val="24"/>
              <w:szCs w:val="24"/>
              <w:lang w:val="es-MX"/>
            </w:rPr>
            <w:instrText xml:space="preserve"> CITATION ISO23 \l 2058 </w:instrText>
          </w:r>
          <w:r w:rsidR="00CF6732">
            <w:rPr>
              <w:rFonts w:ascii="Times New Roman" w:hAnsi="Times New Roman" w:cs="Times New Roman"/>
              <w:sz w:val="24"/>
              <w:szCs w:val="24"/>
            </w:rPr>
            <w:fldChar w:fldCharType="separate"/>
          </w:r>
          <w:r w:rsidR="00CF6732" w:rsidRPr="00CF6732">
            <w:rPr>
              <w:rFonts w:ascii="Times New Roman" w:hAnsi="Times New Roman" w:cs="Times New Roman"/>
              <w:noProof/>
              <w:sz w:val="24"/>
              <w:szCs w:val="24"/>
              <w:lang w:val="es-MX"/>
            </w:rPr>
            <w:t>(ISO 26000, 2023)</w:t>
          </w:r>
          <w:r w:rsidR="00CF6732">
            <w:rPr>
              <w:rFonts w:ascii="Times New Roman" w:hAnsi="Times New Roman" w:cs="Times New Roman"/>
              <w:sz w:val="24"/>
              <w:szCs w:val="24"/>
            </w:rPr>
            <w:fldChar w:fldCharType="end"/>
          </w:r>
        </w:sdtContent>
      </w:sdt>
      <w:r w:rsidR="00CF6732">
        <w:rPr>
          <w:rFonts w:ascii="Times New Roman" w:hAnsi="Times New Roman" w:cs="Times New Roman"/>
          <w:sz w:val="24"/>
          <w:szCs w:val="24"/>
        </w:rPr>
        <w:t xml:space="preserve">, por otra parte también tenemos los principios de </w:t>
      </w:r>
      <w:r w:rsidR="006A655B">
        <w:rPr>
          <w:rFonts w:ascii="Times New Roman" w:hAnsi="Times New Roman" w:cs="Times New Roman"/>
          <w:sz w:val="24"/>
          <w:szCs w:val="24"/>
        </w:rPr>
        <w:t xml:space="preserve">Ecuador que tratan de identificar, evaluar y gestionar los riesgos sociales y ambientales derivados de los grandes proyectos de infraestructura y por último tenemos las directrices de la </w:t>
      </w:r>
      <w:sdt>
        <w:sdtPr>
          <w:rPr>
            <w:rFonts w:ascii="Times New Roman" w:hAnsi="Times New Roman" w:cs="Times New Roman"/>
            <w:sz w:val="24"/>
            <w:szCs w:val="24"/>
          </w:rPr>
          <w:id w:val="-355967636"/>
          <w:citation/>
        </w:sdtPr>
        <w:sdtEndPr/>
        <w:sdtContent>
          <w:r w:rsidR="006A655B">
            <w:rPr>
              <w:rFonts w:ascii="Times New Roman" w:hAnsi="Times New Roman" w:cs="Times New Roman"/>
              <w:sz w:val="24"/>
              <w:szCs w:val="24"/>
            </w:rPr>
            <w:fldChar w:fldCharType="begin"/>
          </w:r>
          <w:r w:rsidR="006A655B">
            <w:rPr>
              <w:rFonts w:ascii="Times New Roman" w:hAnsi="Times New Roman" w:cs="Times New Roman"/>
              <w:sz w:val="24"/>
              <w:szCs w:val="24"/>
              <w:lang w:val="es-MX"/>
            </w:rPr>
            <w:instrText xml:space="preserve"> CITATION OCD22 \l 2058 </w:instrText>
          </w:r>
          <w:r w:rsidR="006A655B">
            <w:rPr>
              <w:rFonts w:ascii="Times New Roman" w:hAnsi="Times New Roman" w:cs="Times New Roman"/>
              <w:sz w:val="24"/>
              <w:szCs w:val="24"/>
            </w:rPr>
            <w:fldChar w:fldCharType="separate"/>
          </w:r>
          <w:r w:rsidR="006A655B" w:rsidRPr="006A655B">
            <w:rPr>
              <w:rFonts w:ascii="Times New Roman" w:hAnsi="Times New Roman" w:cs="Times New Roman"/>
              <w:noProof/>
              <w:sz w:val="24"/>
              <w:szCs w:val="24"/>
              <w:lang w:val="es-MX"/>
            </w:rPr>
            <w:t>(OCDE, 2022)</w:t>
          </w:r>
          <w:r w:rsidR="006A655B">
            <w:rPr>
              <w:rFonts w:ascii="Times New Roman" w:hAnsi="Times New Roman" w:cs="Times New Roman"/>
              <w:sz w:val="24"/>
              <w:szCs w:val="24"/>
            </w:rPr>
            <w:fldChar w:fldCharType="end"/>
          </w:r>
        </w:sdtContent>
      </w:sdt>
      <w:r w:rsidR="006A655B">
        <w:rPr>
          <w:rFonts w:ascii="Times New Roman" w:hAnsi="Times New Roman" w:cs="Times New Roman"/>
          <w:sz w:val="24"/>
          <w:szCs w:val="24"/>
        </w:rPr>
        <w:t>.</w:t>
      </w:r>
    </w:p>
    <w:p w14:paraId="6587A618" w14:textId="1FFBC9DA" w:rsidR="006A655B" w:rsidRDefault="006A655B" w:rsidP="00D42DFF">
      <w:pPr>
        <w:spacing w:after="0" w:line="360" w:lineRule="auto"/>
        <w:rPr>
          <w:rFonts w:ascii="Times New Roman" w:hAnsi="Times New Roman" w:cs="Times New Roman"/>
          <w:sz w:val="24"/>
          <w:szCs w:val="24"/>
        </w:rPr>
      </w:pPr>
    </w:p>
    <w:p w14:paraId="6607DF00" w14:textId="300D716D" w:rsidR="008848D5" w:rsidRDefault="006A655B" w:rsidP="00D42DF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Como parte de los informes vamos a tratar un poco acerca del contenido de los mismos; por ejemplo </w:t>
      </w:r>
      <w:r w:rsidR="00BD1EAD">
        <w:rPr>
          <w:rFonts w:ascii="Times New Roman" w:hAnsi="Times New Roman" w:cs="Times New Roman"/>
          <w:sz w:val="24"/>
          <w:szCs w:val="24"/>
        </w:rPr>
        <w:t>tenemos la parte de la visión y estrategia empresarial, aquí pondremos la visión que tiene la empresa y sus estrategias para alcanzar los objetivos y metas propuestos por la organización; por otro lado tenemos el perfil del reporte en esta parte vamos a estructurar el reporte con los temas que vamos a tratar dentro del mismos como por ejemplo la parte social, la gobernanza  y ambiental y como la organización esta trabajando con el fin de disminuir las emisiones de gas CO2 por ejemplo y cual es el alcance del mismo informe</w:t>
      </w:r>
      <w:r w:rsidR="008848D5">
        <w:rPr>
          <w:rFonts w:ascii="Times New Roman" w:hAnsi="Times New Roman" w:cs="Times New Roman"/>
          <w:sz w:val="24"/>
          <w:szCs w:val="24"/>
        </w:rPr>
        <w:t xml:space="preserve">, el cual básicamente se resume en el desglose del tema que se va a tratar dentro del informe, luego tenemos el perfil de la organización en este espacio se va a definir temas sencillos sobre la misma empresa y se registran datos de la misma como lo son razón social, ubicación entre otros aspectos; en el siguiente aspectos que tenemos en el informe de sostenibilidad es el sistema de administración aquí vamos a tratar los temas de la forma como se encuentra estructurada la empresa su organigrama y líneas de mando y también se habla sobre los vínculos que tiene la organización con los grupos de interés; por último tenemos los indicadores de desempeño los cuales van a medir la gestión de la empresa y los resultados obtenidos de sus metas y programas establecidos con respecto a los impactos </w:t>
      </w:r>
      <w:r w:rsidR="0016723D">
        <w:rPr>
          <w:rFonts w:ascii="Times New Roman" w:hAnsi="Times New Roman" w:cs="Times New Roman"/>
          <w:sz w:val="24"/>
          <w:szCs w:val="24"/>
        </w:rPr>
        <w:t>que se tienen a nivel social, ambiental y de gobernanza.</w:t>
      </w:r>
    </w:p>
    <w:p w14:paraId="0EC53EB0" w14:textId="4002A27B" w:rsidR="0016723D" w:rsidRDefault="0016723D" w:rsidP="00D42DFF">
      <w:pPr>
        <w:spacing w:after="0" w:line="360" w:lineRule="auto"/>
        <w:rPr>
          <w:rFonts w:ascii="Times New Roman" w:hAnsi="Times New Roman" w:cs="Times New Roman"/>
          <w:sz w:val="24"/>
          <w:szCs w:val="24"/>
        </w:rPr>
      </w:pPr>
    </w:p>
    <w:p w14:paraId="40201988" w14:textId="31DB4367" w:rsidR="0016723D" w:rsidRDefault="0016723D" w:rsidP="00D42DFF">
      <w:pPr>
        <w:spacing w:after="0" w:line="360" w:lineRule="auto"/>
        <w:rPr>
          <w:rFonts w:ascii="Times New Roman" w:hAnsi="Times New Roman" w:cs="Times New Roman"/>
          <w:sz w:val="24"/>
          <w:szCs w:val="24"/>
        </w:rPr>
      </w:pPr>
      <w:r>
        <w:rPr>
          <w:rFonts w:ascii="Times New Roman" w:hAnsi="Times New Roman" w:cs="Times New Roman"/>
          <w:sz w:val="24"/>
          <w:szCs w:val="24"/>
        </w:rPr>
        <w:t>Dicho lo anterior podemos deducir que los reportes de sostenibilidad no se deben de presentar por separado, sino que se deben presentar reportes integrados como se ver todo en su conjunto como son los informes financieros, el informe de gestión y los reportes de sostenibilidad, ya que debemos de realizar mediciones de los impactos en términos monetarios y provisionar dichos recursos con el fin de utilizarlos en los planes que ha venido realizando la organización, como por ejemplo la reducción de emisiones de gases con efecto invernadero CO2.</w:t>
      </w:r>
    </w:p>
    <w:p w14:paraId="28E6BBD7" w14:textId="77777777" w:rsidR="008848D5" w:rsidRDefault="008848D5" w:rsidP="00D42DFF">
      <w:pPr>
        <w:spacing w:after="0" w:line="360" w:lineRule="auto"/>
        <w:rPr>
          <w:rFonts w:ascii="Times New Roman" w:hAnsi="Times New Roman" w:cs="Times New Roman"/>
          <w:sz w:val="24"/>
          <w:szCs w:val="24"/>
        </w:rPr>
      </w:pPr>
    </w:p>
    <w:p w14:paraId="197B6F96" w14:textId="5702FE68" w:rsidR="006A655B" w:rsidRPr="00D42DFF" w:rsidRDefault="00BD1EAD" w:rsidP="00D42DF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sdt>
      <w:sdtPr>
        <w:rPr>
          <w:rFonts w:asciiTheme="minorHAnsi" w:eastAsiaTheme="minorHAnsi" w:hAnsiTheme="minorHAnsi" w:cstheme="minorBidi"/>
          <w:color w:val="auto"/>
          <w:sz w:val="22"/>
          <w:szCs w:val="22"/>
          <w:lang w:val="es-MX" w:eastAsia="en-US"/>
        </w:rPr>
        <w:id w:val="1274204698"/>
        <w:docPartObj>
          <w:docPartGallery w:val="Bibliographies"/>
          <w:docPartUnique/>
        </w:docPartObj>
      </w:sdtPr>
      <w:sdtEndPr>
        <w:rPr>
          <w:lang w:val="es-CO"/>
        </w:rPr>
      </w:sdtEndPr>
      <w:sdtContent>
        <w:p w14:paraId="04F963D8" w14:textId="1E5BE457" w:rsidR="003C4B94" w:rsidRDefault="003C4B94">
          <w:pPr>
            <w:pStyle w:val="Ttulo1"/>
          </w:pPr>
          <w:r>
            <w:rPr>
              <w:lang w:val="es-MX"/>
            </w:rPr>
            <w:t>Referencias</w:t>
          </w:r>
        </w:p>
        <w:sdt>
          <w:sdtPr>
            <w:id w:val="-573587230"/>
            <w:bibliography/>
          </w:sdtPr>
          <w:sdtEndPr/>
          <w:sdtContent>
            <w:p w14:paraId="0755EB4C" w14:textId="77777777" w:rsidR="00D42DFF" w:rsidRDefault="003C4B94" w:rsidP="00D42DFF">
              <w:pPr>
                <w:pStyle w:val="Bibliografa"/>
                <w:ind w:left="720" w:hanging="720"/>
                <w:rPr>
                  <w:noProof/>
                  <w:sz w:val="24"/>
                  <w:szCs w:val="24"/>
                  <w:lang w:val="es-MX"/>
                </w:rPr>
              </w:pPr>
              <w:r>
                <w:fldChar w:fldCharType="begin"/>
              </w:r>
              <w:r>
                <w:instrText>BIBLIOGRAPHY</w:instrText>
              </w:r>
              <w:r>
                <w:fldChar w:fldCharType="separate"/>
              </w:r>
              <w:r w:rsidR="00D42DFF">
                <w:rPr>
                  <w:i/>
                  <w:iCs/>
                  <w:noProof/>
                  <w:lang w:val="es-MX"/>
                </w:rPr>
                <w:t xml:space="preserve">ACCOUNTABILITY </w:t>
              </w:r>
              <w:r w:rsidR="00D42DFF">
                <w:rPr>
                  <w:noProof/>
                  <w:lang w:val="es-MX"/>
                </w:rPr>
                <w:t>. (28 de 02 de 2023). Obtenido de ACCOUNTABILITY: https://www.accountability.org/standards/</w:t>
              </w:r>
            </w:p>
            <w:p w14:paraId="06306CCC" w14:textId="77777777" w:rsidR="00D42DFF" w:rsidRDefault="00D42DFF" w:rsidP="00D42DFF">
              <w:pPr>
                <w:pStyle w:val="Bibliografa"/>
                <w:ind w:left="720" w:hanging="720"/>
                <w:rPr>
                  <w:noProof/>
                  <w:lang w:val="es-MX"/>
                </w:rPr>
              </w:pPr>
              <w:r>
                <w:rPr>
                  <w:noProof/>
                  <w:lang w:val="es-MX"/>
                </w:rPr>
                <w:t xml:space="preserve">AICPA. (28 de 02 de 2023). </w:t>
              </w:r>
              <w:r>
                <w:rPr>
                  <w:i/>
                  <w:iCs/>
                  <w:noProof/>
                  <w:lang w:val="es-MX"/>
                </w:rPr>
                <w:t>AICPA</w:t>
              </w:r>
              <w:r>
                <w:rPr>
                  <w:noProof/>
                  <w:lang w:val="es-MX"/>
                </w:rPr>
                <w:t>. Obtenido de AICPA: https://www.ifac.org/news-events/2023-02/momentum-builds-corporate-esg-disclosure-and-assurance-yet-reporting-inconsistencies-linger-study</w:t>
              </w:r>
            </w:p>
            <w:p w14:paraId="0ACA8BB4" w14:textId="77777777" w:rsidR="00D42DFF" w:rsidRDefault="00D42DFF" w:rsidP="00D42DFF">
              <w:pPr>
                <w:pStyle w:val="Bibliografa"/>
                <w:ind w:left="720" w:hanging="720"/>
                <w:rPr>
                  <w:noProof/>
                  <w:lang w:val="es-MX"/>
                </w:rPr>
              </w:pPr>
              <w:r>
                <w:rPr>
                  <w:noProof/>
                  <w:lang w:val="es-MX"/>
                </w:rPr>
                <w:t xml:space="preserve">ARANGO, T. (28 de 08 de 2013). </w:t>
              </w:r>
              <w:r>
                <w:rPr>
                  <w:i/>
                  <w:iCs/>
                  <w:noProof/>
                  <w:lang w:val="es-MX"/>
                </w:rPr>
                <w:t>¿COMO SE HACE UN BUEN REPORTE DE SOSTENIBILIDAD?</w:t>
              </w:r>
              <w:r>
                <w:rPr>
                  <w:noProof/>
                  <w:lang w:val="es-MX"/>
                </w:rPr>
                <w:t xml:space="preserve"> Obtenido de La Republica: https://www.larepublica.co/responsabilidad-social/como-se-hace-un-buen-reporte-de-sostenibilidad-2054131</w:t>
              </w:r>
            </w:p>
            <w:p w14:paraId="175E37B5" w14:textId="77777777" w:rsidR="00D42DFF" w:rsidRDefault="00D42DFF" w:rsidP="00D42DFF">
              <w:pPr>
                <w:pStyle w:val="Bibliografa"/>
                <w:ind w:left="720" w:hanging="720"/>
                <w:rPr>
                  <w:noProof/>
                  <w:lang w:val="es-MX"/>
                </w:rPr>
              </w:pPr>
              <w:r>
                <w:rPr>
                  <w:noProof/>
                  <w:lang w:val="es-MX"/>
                </w:rPr>
                <w:t xml:space="preserve">Departamento Nacional de Planeación . (30 de Noviembre de 2022). </w:t>
              </w:r>
              <w:r>
                <w:rPr>
                  <w:i/>
                  <w:iCs/>
                  <w:noProof/>
                  <w:lang w:val="es-MX"/>
                </w:rPr>
                <w:t>Objetivos de Desarrollos Sostenible - Departamento Nacional de Planeación</w:t>
              </w:r>
              <w:r>
                <w:rPr>
                  <w:noProof/>
                  <w:lang w:val="es-MX"/>
                </w:rPr>
                <w:t>. Obtenido de Objetivos de Desarrollos Sostenible - Departamento Nacional de Planeación: https://ods.dnp.gov.co/</w:t>
              </w:r>
            </w:p>
            <w:p w14:paraId="148BE0E4" w14:textId="77777777" w:rsidR="00D42DFF" w:rsidRDefault="00D42DFF" w:rsidP="00D42DFF">
              <w:pPr>
                <w:pStyle w:val="Bibliografa"/>
                <w:ind w:left="720" w:hanging="720"/>
                <w:rPr>
                  <w:noProof/>
                  <w:lang w:val="es-MX"/>
                </w:rPr>
              </w:pPr>
              <w:r>
                <w:rPr>
                  <w:noProof/>
                  <w:lang w:val="es-MX"/>
                </w:rPr>
                <w:t xml:space="preserve">Fundación IFRS. (30 de Noviembre de 2022). </w:t>
              </w:r>
              <w:r>
                <w:rPr>
                  <w:i/>
                  <w:iCs/>
                  <w:noProof/>
                  <w:lang w:val="es-MX"/>
                </w:rPr>
                <w:t>International Financial Reporting Standard</w:t>
              </w:r>
              <w:r>
                <w:rPr>
                  <w:noProof/>
                  <w:lang w:val="es-MX"/>
                </w:rPr>
                <w:t>. Obtenido de International Financial Reporting Standard: https://www.ifrs.org/</w:t>
              </w:r>
            </w:p>
            <w:p w14:paraId="553F3EE7" w14:textId="77777777" w:rsidR="00D42DFF" w:rsidRDefault="00D42DFF" w:rsidP="00D42DFF">
              <w:pPr>
                <w:pStyle w:val="Bibliografa"/>
                <w:ind w:left="720" w:hanging="720"/>
                <w:rPr>
                  <w:noProof/>
                  <w:lang w:val="es-MX"/>
                </w:rPr>
              </w:pPr>
              <w:r>
                <w:rPr>
                  <w:i/>
                  <w:iCs/>
                  <w:noProof/>
                  <w:lang w:val="es-MX"/>
                </w:rPr>
                <w:t>GLOBAL REPORTING INITIATIVE</w:t>
              </w:r>
              <w:r>
                <w:rPr>
                  <w:noProof/>
                  <w:lang w:val="es-MX"/>
                </w:rPr>
                <w:t>. (28 de 02 de 2023). Obtenido de GLOBAL REPORTING INITIATIVE: https://www.globalreporting.org/</w:t>
              </w:r>
            </w:p>
            <w:p w14:paraId="765D06F8" w14:textId="77777777" w:rsidR="00D42DFF" w:rsidRDefault="00D42DFF" w:rsidP="00D42DFF">
              <w:pPr>
                <w:pStyle w:val="Bibliografa"/>
                <w:ind w:left="720" w:hanging="720"/>
                <w:rPr>
                  <w:noProof/>
                  <w:lang w:val="es-MX"/>
                </w:rPr>
              </w:pPr>
              <w:r>
                <w:rPr>
                  <w:noProof/>
                  <w:lang w:val="es-MX"/>
                </w:rPr>
                <w:t xml:space="preserve">IFAC. (28 de 02 de 2023). </w:t>
              </w:r>
              <w:r>
                <w:rPr>
                  <w:i/>
                  <w:iCs/>
                  <w:noProof/>
                  <w:lang w:val="es-MX"/>
                </w:rPr>
                <w:t>www.ifac.org</w:t>
              </w:r>
              <w:r>
                <w:rPr>
                  <w:noProof/>
                  <w:lang w:val="es-MX"/>
                </w:rPr>
                <w:t>. Obtenido de IFAC: https://www.ifac.org/news-events/2023-02/momentum-builds-corporate-esg-disclosure-and-assurance-yet-reporting-inconsistencies-linger-study</w:t>
              </w:r>
            </w:p>
            <w:p w14:paraId="05C2E4D3" w14:textId="27FDB1F1" w:rsidR="00D42DFF" w:rsidRDefault="00D42DFF" w:rsidP="00D42DFF">
              <w:pPr>
                <w:pStyle w:val="Bibliografa"/>
                <w:ind w:left="720" w:hanging="720"/>
                <w:rPr>
                  <w:noProof/>
                  <w:lang w:val="es-MX"/>
                </w:rPr>
              </w:pPr>
              <w:r>
                <w:rPr>
                  <w:i/>
                  <w:iCs/>
                  <w:noProof/>
                  <w:lang w:val="es-MX"/>
                </w:rPr>
                <w:t>ISO 26000</w:t>
              </w:r>
              <w:r>
                <w:rPr>
                  <w:noProof/>
                  <w:lang w:val="es-MX"/>
                </w:rPr>
                <w:t>. (28 de 02 de 2023). Obtenido de ISO: https://www.iso.org/home.html</w:t>
              </w:r>
            </w:p>
            <w:p w14:paraId="20D12934" w14:textId="77777777" w:rsidR="00D42DFF" w:rsidRDefault="00D42DFF" w:rsidP="00D42DFF">
              <w:pPr>
                <w:pStyle w:val="Bibliografa"/>
                <w:ind w:left="720" w:hanging="720"/>
                <w:rPr>
                  <w:noProof/>
                  <w:lang w:val="es-MX"/>
                </w:rPr>
              </w:pPr>
              <w:r>
                <w:rPr>
                  <w:noProof/>
                  <w:lang w:val="es-MX"/>
                </w:rPr>
                <w:t xml:space="preserve">ISSB. (30 de Noviembre de 2022). </w:t>
              </w:r>
              <w:r>
                <w:rPr>
                  <w:i/>
                  <w:iCs/>
                  <w:noProof/>
                  <w:lang w:val="es-MX"/>
                </w:rPr>
                <w:t>International Sustainability Standard Board</w:t>
              </w:r>
              <w:r>
                <w:rPr>
                  <w:noProof/>
                  <w:lang w:val="es-MX"/>
                </w:rPr>
                <w:t>. Obtenido de International Sustainability Standard Board: https://www.ifrs.org/groups/international-sustainability-standards-board/</w:t>
              </w:r>
            </w:p>
            <w:p w14:paraId="13266C5C" w14:textId="77777777" w:rsidR="00D42DFF" w:rsidRDefault="00D42DFF" w:rsidP="00D42DFF">
              <w:pPr>
                <w:pStyle w:val="Bibliografa"/>
                <w:ind w:left="720" w:hanging="720"/>
                <w:rPr>
                  <w:noProof/>
                  <w:lang w:val="es-MX"/>
                </w:rPr>
              </w:pPr>
              <w:r>
                <w:rPr>
                  <w:noProof/>
                  <w:lang w:val="es-MX"/>
                </w:rPr>
                <w:t xml:space="preserve">NIIF S1 Requerimientos generales para la información a revelar sobre sostenibilidad relacionada con la información financiera. (30 de Noviembre de 2022). </w:t>
              </w:r>
              <w:r>
                <w:rPr>
                  <w:i/>
                  <w:iCs/>
                  <w:noProof/>
                  <w:lang w:val="es-MX"/>
                </w:rPr>
                <w:t>IFRS S1</w:t>
              </w:r>
              <w:r>
                <w:rPr>
                  <w:noProof/>
                  <w:lang w:val="es-MX"/>
                </w:rPr>
                <w:t>. Obtenido de IFRS S1: https://www.ifrs.org/projects/work-plan/general-sustainability-related-disclosures/#published-documents</w:t>
              </w:r>
            </w:p>
            <w:p w14:paraId="4417CF4D" w14:textId="77777777" w:rsidR="00D42DFF" w:rsidRDefault="00D42DFF" w:rsidP="00D42DFF">
              <w:pPr>
                <w:pStyle w:val="Bibliografa"/>
                <w:ind w:left="720" w:hanging="720"/>
                <w:rPr>
                  <w:noProof/>
                  <w:lang w:val="es-MX"/>
                </w:rPr>
              </w:pPr>
              <w:r>
                <w:rPr>
                  <w:noProof/>
                  <w:lang w:val="es-MX"/>
                </w:rPr>
                <w:t xml:space="preserve">NIIF S2 Divulgaciones relacionadas con aspectos climaticos. (30 de Noviembre de 2022). </w:t>
              </w:r>
              <w:r>
                <w:rPr>
                  <w:i/>
                  <w:iCs/>
                  <w:noProof/>
                  <w:lang w:val="es-MX"/>
                </w:rPr>
                <w:t>IFRS divulgaciones relacionadas con aspectos climaticos</w:t>
              </w:r>
              <w:r>
                <w:rPr>
                  <w:noProof/>
                  <w:lang w:val="es-MX"/>
                </w:rPr>
                <w:t>. Obtenido de IFRS divulgaciones relacionadas con aspectos climaticos: https://www.ifrs.org/projects/work-plan/climate-related-disclosures/#published-documents</w:t>
              </w:r>
            </w:p>
            <w:p w14:paraId="60789A8E" w14:textId="77777777" w:rsidR="00D42DFF" w:rsidRDefault="00D42DFF" w:rsidP="00D42DFF">
              <w:pPr>
                <w:pStyle w:val="Bibliografa"/>
                <w:ind w:left="720" w:hanging="720"/>
                <w:rPr>
                  <w:noProof/>
                  <w:lang w:val="es-MX"/>
                </w:rPr>
              </w:pPr>
              <w:r>
                <w:rPr>
                  <w:noProof/>
                  <w:lang w:val="es-MX"/>
                </w:rPr>
                <w:t xml:space="preserve">OCDE. (30 de Noviembre de 2022). </w:t>
              </w:r>
              <w:r>
                <w:rPr>
                  <w:i/>
                  <w:iCs/>
                  <w:noProof/>
                  <w:lang w:val="es-MX"/>
                </w:rPr>
                <w:t>OECD</w:t>
              </w:r>
              <w:r>
                <w:rPr>
                  <w:noProof/>
                  <w:lang w:val="es-MX"/>
                </w:rPr>
                <w:t>. Obtenido de OECD: https://www.oecd.org/acerca/impacto/alcanzar-los-ods-en-las-ciudades-y-las-regiones.htm</w:t>
              </w:r>
            </w:p>
            <w:p w14:paraId="0DCE34C5" w14:textId="77777777" w:rsidR="00D42DFF" w:rsidRDefault="00D42DFF" w:rsidP="00D42DFF">
              <w:pPr>
                <w:pStyle w:val="Bibliografa"/>
                <w:ind w:left="720" w:hanging="720"/>
                <w:rPr>
                  <w:noProof/>
                </w:rPr>
              </w:pPr>
              <w:r>
                <w:rPr>
                  <w:noProof/>
                </w:rPr>
                <w:t xml:space="preserve">Suárez-Rico, Y. G.-V. (2021). La utilidad de los informes de sostenibilidad en entidades publicas y privadas en Colombia: la percepción de los stakeholders. </w:t>
              </w:r>
              <w:r>
                <w:rPr>
                  <w:i/>
                  <w:iCs/>
                  <w:noProof/>
                </w:rPr>
                <w:t>Contaduria Universidad de Antioquia</w:t>
              </w:r>
              <w:r>
                <w:rPr>
                  <w:noProof/>
                </w:rPr>
                <w:t>, 103-136.</w:t>
              </w:r>
            </w:p>
            <w:p w14:paraId="6E781AC6" w14:textId="10C2DB18" w:rsidR="003C4B94" w:rsidRDefault="003C4B94" w:rsidP="00D42DFF">
              <w:r>
                <w:rPr>
                  <w:b/>
                  <w:bCs/>
                </w:rPr>
                <w:fldChar w:fldCharType="end"/>
              </w:r>
            </w:p>
          </w:sdtContent>
        </w:sdt>
      </w:sdtContent>
    </w:sdt>
    <w:sectPr w:rsidR="003C4B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68F8"/>
    <w:multiLevelType w:val="hybridMultilevel"/>
    <w:tmpl w:val="8BC6A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66"/>
    <w:rsid w:val="000C43B1"/>
    <w:rsid w:val="0010606C"/>
    <w:rsid w:val="0016723D"/>
    <w:rsid w:val="001F1B9C"/>
    <w:rsid w:val="00273994"/>
    <w:rsid w:val="003A4EE2"/>
    <w:rsid w:val="003B72DD"/>
    <w:rsid w:val="003C43C2"/>
    <w:rsid w:val="003C4B94"/>
    <w:rsid w:val="003F120D"/>
    <w:rsid w:val="00416F85"/>
    <w:rsid w:val="00474149"/>
    <w:rsid w:val="004A7F7B"/>
    <w:rsid w:val="004F40F3"/>
    <w:rsid w:val="00552566"/>
    <w:rsid w:val="0057745B"/>
    <w:rsid w:val="00595967"/>
    <w:rsid w:val="005E41C4"/>
    <w:rsid w:val="00610097"/>
    <w:rsid w:val="006168B5"/>
    <w:rsid w:val="0062370E"/>
    <w:rsid w:val="0067532F"/>
    <w:rsid w:val="006A655B"/>
    <w:rsid w:val="006B669E"/>
    <w:rsid w:val="00752ACB"/>
    <w:rsid w:val="0075772D"/>
    <w:rsid w:val="007B5C79"/>
    <w:rsid w:val="00816159"/>
    <w:rsid w:val="008848D5"/>
    <w:rsid w:val="008977A8"/>
    <w:rsid w:val="0095033D"/>
    <w:rsid w:val="00A307AC"/>
    <w:rsid w:val="00A7017A"/>
    <w:rsid w:val="00AC2CA8"/>
    <w:rsid w:val="00B725B1"/>
    <w:rsid w:val="00B83ACF"/>
    <w:rsid w:val="00BB5C7B"/>
    <w:rsid w:val="00BD1EAD"/>
    <w:rsid w:val="00C12FE4"/>
    <w:rsid w:val="00C150D4"/>
    <w:rsid w:val="00C33FFD"/>
    <w:rsid w:val="00CD2737"/>
    <w:rsid w:val="00CF6732"/>
    <w:rsid w:val="00D03D76"/>
    <w:rsid w:val="00D329B9"/>
    <w:rsid w:val="00D42DFF"/>
    <w:rsid w:val="00D43FBA"/>
    <w:rsid w:val="00D76A65"/>
    <w:rsid w:val="00DE565C"/>
    <w:rsid w:val="00E05293"/>
    <w:rsid w:val="00EC122E"/>
    <w:rsid w:val="00EE7073"/>
    <w:rsid w:val="00F3526A"/>
    <w:rsid w:val="00F80E5A"/>
    <w:rsid w:val="00F851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6F5"/>
  <w15:chartTrackingRefBased/>
  <w15:docId w15:val="{5674DA14-6099-403D-8845-1CEE97D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4B94"/>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5B1"/>
    <w:pPr>
      <w:ind w:left="720"/>
      <w:contextualSpacing/>
    </w:pPr>
  </w:style>
  <w:style w:type="character" w:customStyle="1" w:styleId="Ttulo1Car">
    <w:name w:val="Título 1 Car"/>
    <w:basedOn w:val="Fuentedeprrafopredeter"/>
    <w:link w:val="Ttulo1"/>
    <w:uiPriority w:val="9"/>
    <w:rsid w:val="003C4B94"/>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3C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653">
      <w:bodyDiv w:val="1"/>
      <w:marLeft w:val="0"/>
      <w:marRight w:val="0"/>
      <w:marTop w:val="0"/>
      <w:marBottom w:val="0"/>
      <w:divBdr>
        <w:top w:val="none" w:sz="0" w:space="0" w:color="auto"/>
        <w:left w:val="none" w:sz="0" w:space="0" w:color="auto"/>
        <w:bottom w:val="none" w:sz="0" w:space="0" w:color="auto"/>
        <w:right w:val="none" w:sz="0" w:space="0" w:color="auto"/>
      </w:divBdr>
    </w:div>
    <w:div w:id="16473634">
      <w:bodyDiv w:val="1"/>
      <w:marLeft w:val="0"/>
      <w:marRight w:val="0"/>
      <w:marTop w:val="0"/>
      <w:marBottom w:val="0"/>
      <w:divBdr>
        <w:top w:val="none" w:sz="0" w:space="0" w:color="auto"/>
        <w:left w:val="none" w:sz="0" w:space="0" w:color="auto"/>
        <w:bottom w:val="none" w:sz="0" w:space="0" w:color="auto"/>
        <w:right w:val="none" w:sz="0" w:space="0" w:color="auto"/>
      </w:divBdr>
    </w:div>
    <w:div w:id="58135437">
      <w:bodyDiv w:val="1"/>
      <w:marLeft w:val="0"/>
      <w:marRight w:val="0"/>
      <w:marTop w:val="0"/>
      <w:marBottom w:val="0"/>
      <w:divBdr>
        <w:top w:val="none" w:sz="0" w:space="0" w:color="auto"/>
        <w:left w:val="none" w:sz="0" w:space="0" w:color="auto"/>
        <w:bottom w:val="none" w:sz="0" w:space="0" w:color="auto"/>
        <w:right w:val="none" w:sz="0" w:space="0" w:color="auto"/>
      </w:divBdr>
    </w:div>
    <w:div w:id="174073229">
      <w:bodyDiv w:val="1"/>
      <w:marLeft w:val="0"/>
      <w:marRight w:val="0"/>
      <w:marTop w:val="0"/>
      <w:marBottom w:val="0"/>
      <w:divBdr>
        <w:top w:val="none" w:sz="0" w:space="0" w:color="auto"/>
        <w:left w:val="none" w:sz="0" w:space="0" w:color="auto"/>
        <w:bottom w:val="none" w:sz="0" w:space="0" w:color="auto"/>
        <w:right w:val="none" w:sz="0" w:space="0" w:color="auto"/>
      </w:divBdr>
    </w:div>
    <w:div w:id="233442486">
      <w:bodyDiv w:val="1"/>
      <w:marLeft w:val="0"/>
      <w:marRight w:val="0"/>
      <w:marTop w:val="0"/>
      <w:marBottom w:val="0"/>
      <w:divBdr>
        <w:top w:val="none" w:sz="0" w:space="0" w:color="auto"/>
        <w:left w:val="none" w:sz="0" w:space="0" w:color="auto"/>
        <w:bottom w:val="none" w:sz="0" w:space="0" w:color="auto"/>
        <w:right w:val="none" w:sz="0" w:space="0" w:color="auto"/>
      </w:divBdr>
    </w:div>
    <w:div w:id="234704338">
      <w:bodyDiv w:val="1"/>
      <w:marLeft w:val="0"/>
      <w:marRight w:val="0"/>
      <w:marTop w:val="0"/>
      <w:marBottom w:val="0"/>
      <w:divBdr>
        <w:top w:val="none" w:sz="0" w:space="0" w:color="auto"/>
        <w:left w:val="none" w:sz="0" w:space="0" w:color="auto"/>
        <w:bottom w:val="none" w:sz="0" w:space="0" w:color="auto"/>
        <w:right w:val="none" w:sz="0" w:space="0" w:color="auto"/>
      </w:divBdr>
    </w:div>
    <w:div w:id="284623365">
      <w:bodyDiv w:val="1"/>
      <w:marLeft w:val="0"/>
      <w:marRight w:val="0"/>
      <w:marTop w:val="0"/>
      <w:marBottom w:val="0"/>
      <w:divBdr>
        <w:top w:val="none" w:sz="0" w:space="0" w:color="auto"/>
        <w:left w:val="none" w:sz="0" w:space="0" w:color="auto"/>
        <w:bottom w:val="none" w:sz="0" w:space="0" w:color="auto"/>
        <w:right w:val="none" w:sz="0" w:space="0" w:color="auto"/>
      </w:divBdr>
    </w:div>
    <w:div w:id="334037219">
      <w:bodyDiv w:val="1"/>
      <w:marLeft w:val="0"/>
      <w:marRight w:val="0"/>
      <w:marTop w:val="0"/>
      <w:marBottom w:val="0"/>
      <w:divBdr>
        <w:top w:val="none" w:sz="0" w:space="0" w:color="auto"/>
        <w:left w:val="none" w:sz="0" w:space="0" w:color="auto"/>
        <w:bottom w:val="none" w:sz="0" w:space="0" w:color="auto"/>
        <w:right w:val="none" w:sz="0" w:space="0" w:color="auto"/>
      </w:divBdr>
    </w:div>
    <w:div w:id="366568442">
      <w:bodyDiv w:val="1"/>
      <w:marLeft w:val="0"/>
      <w:marRight w:val="0"/>
      <w:marTop w:val="0"/>
      <w:marBottom w:val="0"/>
      <w:divBdr>
        <w:top w:val="none" w:sz="0" w:space="0" w:color="auto"/>
        <w:left w:val="none" w:sz="0" w:space="0" w:color="auto"/>
        <w:bottom w:val="none" w:sz="0" w:space="0" w:color="auto"/>
        <w:right w:val="none" w:sz="0" w:space="0" w:color="auto"/>
      </w:divBdr>
    </w:div>
    <w:div w:id="375351615">
      <w:bodyDiv w:val="1"/>
      <w:marLeft w:val="0"/>
      <w:marRight w:val="0"/>
      <w:marTop w:val="0"/>
      <w:marBottom w:val="0"/>
      <w:divBdr>
        <w:top w:val="none" w:sz="0" w:space="0" w:color="auto"/>
        <w:left w:val="none" w:sz="0" w:space="0" w:color="auto"/>
        <w:bottom w:val="none" w:sz="0" w:space="0" w:color="auto"/>
        <w:right w:val="none" w:sz="0" w:space="0" w:color="auto"/>
      </w:divBdr>
    </w:div>
    <w:div w:id="426929818">
      <w:bodyDiv w:val="1"/>
      <w:marLeft w:val="0"/>
      <w:marRight w:val="0"/>
      <w:marTop w:val="0"/>
      <w:marBottom w:val="0"/>
      <w:divBdr>
        <w:top w:val="none" w:sz="0" w:space="0" w:color="auto"/>
        <w:left w:val="none" w:sz="0" w:space="0" w:color="auto"/>
        <w:bottom w:val="none" w:sz="0" w:space="0" w:color="auto"/>
        <w:right w:val="none" w:sz="0" w:space="0" w:color="auto"/>
      </w:divBdr>
    </w:div>
    <w:div w:id="541556305">
      <w:bodyDiv w:val="1"/>
      <w:marLeft w:val="0"/>
      <w:marRight w:val="0"/>
      <w:marTop w:val="0"/>
      <w:marBottom w:val="0"/>
      <w:divBdr>
        <w:top w:val="none" w:sz="0" w:space="0" w:color="auto"/>
        <w:left w:val="none" w:sz="0" w:space="0" w:color="auto"/>
        <w:bottom w:val="none" w:sz="0" w:space="0" w:color="auto"/>
        <w:right w:val="none" w:sz="0" w:space="0" w:color="auto"/>
      </w:divBdr>
    </w:div>
    <w:div w:id="633372192">
      <w:bodyDiv w:val="1"/>
      <w:marLeft w:val="0"/>
      <w:marRight w:val="0"/>
      <w:marTop w:val="0"/>
      <w:marBottom w:val="0"/>
      <w:divBdr>
        <w:top w:val="none" w:sz="0" w:space="0" w:color="auto"/>
        <w:left w:val="none" w:sz="0" w:space="0" w:color="auto"/>
        <w:bottom w:val="none" w:sz="0" w:space="0" w:color="auto"/>
        <w:right w:val="none" w:sz="0" w:space="0" w:color="auto"/>
      </w:divBdr>
    </w:div>
    <w:div w:id="634485641">
      <w:bodyDiv w:val="1"/>
      <w:marLeft w:val="0"/>
      <w:marRight w:val="0"/>
      <w:marTop w:val="0"/>
      <w:marBottom w:val="0"/>
      <w:divBdr>
        <w:top w:val="none" w:sz="0" w:space="0" w:color="auto"/>
        <w:left w:val="none" w:sz="0" w:space="0" w:color="auto"/>
        <w:bottom w:val="none" w:sz="0" w:space="0" w:color="auto"/>
        <w:right w:val="none" w:sz="0" w:space="0" w:color="auto"/>
      </w:divBdr>
    </w:div>
    <w:div w:id="667094454">
      <w:bodyDiv w:val="1"/>
      <w:marLeft w:val="0"/>
      <w:marRight w:val="0"/>
      <w:marTop w:val="0"/>
      <w:marBottom w:val="0"/>
      <w:divBdr>
        <w:top w:val="none" w:sz="0" w:space="0" w:color="auto"/>
        <w:left w:val="none" w:sz="0" w:space="0" w:color="auto"/>
        <w:bottom w:val="none" w:sz="0" w:space="0" w:color="auto"/>
        <w:right w:val="none" w:sz="0" w:space="0" w:color="auto"/>
      </w:divBdr>
    </w:div>
    <w:div w:id="770122783">
      <w:bodyDiv w:val="1"/>
      <w:marLeft w:val="0"/>
      <w:marRight w:val="0"/>
      <w:marTop w:val="0"/>
      <w:marBottom w:val="0"/>
      <w:divBdr>
        <w:top w:val="none" w:sz="0" w:space="0" w:color="auto"/>
        <w:left w:val="none" w:sz="0" w:space="0" w:color="auto"/>
        <w:bottom w:val="none" w:sz="0" w:space="0" w:color="auto"/>
        <w:right w:val="none" w:sz="0" w:space="0" w:color="auto"/>
      </w:divBdr>
    </w:div>
    <w:div w:id="908929503">
      <w:bodyDiv w:val="1"/>
      <w:marLeft w:val="0"/>
      <w:marRight w:val="0"/>
      <w:marTop w:val="0"/>
      <w:marBottom w:val="0"/>
      <w:divBdr>
        <w:top w:val="none" w:sz="0" w:space="0" w:color="auto"/>
        <w:left w:val="none" w:sz="0" w:space="0" w:color="auto"/>
        <w:bottom w:val="none" w:sz="0" w:space="0" w:color="auto"/>
        <w:right w:val="none" w:sz="0" w:space="0" w:color="auto"/>
      </w:divBdr>
    </w:div>
    <w:div w:id="920719384">
      <w:bodyDiv w:val="1"/>
      <w:marLeft w:val="0"/>
      <w:marRight w:val="0"/>
      <w:marTop w:val="0"/>
      <w:marBottom w:val="0"/>
      <w:divBdr>
        <w:top w:val="none" w:sz="0" w:space="0" w:color="auto"/>
        <w:left w:val="none" w:sz="0" w:space="0" w:color="auto"/>
        <w:bottom w:val="none" w:sz="0" w:space="0" w:color="auto"/>
        <w:right w:val="none" w:sz="0" w:space="0" w:color="auto"/>
      </w:divBdr>
    </w:div>
    <w:div w:id="949122740">
      <w:bodyDiv w:val="1"/>
      <w:marLeft w:val="0"/>
      <w:marRight w:val="0"/>
      <w:marTop w:val="0"/>
      <w:marBottom w:val="0"/>
      <w:divBdr>
        <w:top w:val="none" w:sz="0" w:space="0" w:color="auto"/>
        <w:left w:val="none" w:sz="0" w:space="0" w:color="auto"/>
        <w:bottom w:val="none" w:sz="0" w:space="0" w:color="auto"/>
        <w:right w:val="none" w:sz="0" w:space="0" w:color="auto"/>
      </w:divBdr>
    </w:div>
    <w:div w:id="1206411206">
      <w:bodyDiv w:val="1"/>
      <w:marLeft w:val="0"/>
      <w:marRight w:val="0"/>
      <w:marTop w:val="0"/>
      <w:marBottom w:val="0"/>
      <w:divBdr>
        <w:top w:val="none" w:sz="0" w:space="0" w:color="auto"/>
        <w:left w:val="none" w:sz="0" w:space="0" w:color="auto"/>
        <w:bottom w:val="none" w:sz="0" w:space="0" w:color="auto"/>
        <w:right w:val="none" w:sz="0" w:space="0" w:color="auto"/>
      </w:divBdr>
    </w:div>
    <w:div w:id="1208954637">
      <w:bodyDiv w:val="1"/>
      <w:marLeft w:val="0"/>
      <w:marRight w:val="0"/>
      <w:marTop w:val="0"/>
      <w:marBottom w:val="0"/>
      <w:divBdr>
        <w:top w:val="none" w:sz="0" w:space="0" w:color="auto"/>
        <w:left w:val="none" w:sz="0" w:space="0" w:color="auto"/>
        <w:bottom w:val="none" w:sz="0" w:space="0" w:color="auto"/>
        <w:right w:val="none" w:sz="0" w:space="0" w:color="auto"/>
      </w:divBdr>
    </w:div>
    <w:div w:id="1220048467">
      <w:bodyDiv w:val="1"/>
      <w:marLeft w:val="0"/>
      <w:marRight w:val="0"/>
      <w:marTop w:val="0"/>
      <w:marBottom w:val="0"/>
      <w:divBdr>
        <w:top w:val="none" w:sz="0" w:space="0" w:color="auto"/>
        <w:left w:val="none" w:sz="0" w:space="0" w:color="auto"/>
        <w:bottom w:val="none" w:sz="0" w:space="0" w:color="auto"/>
        <w:right w:val="none" w:sz="0" w:space="0" w:color="auto"/>
      </w:divBdr>
    </w:div>
    <w:div w:id="1280991151">
      <w:bodyDiv w:val="1"/>
      <w:marLeft w:val="0"/>
      <w:marRight w:val="0"/>
      <w:marTop w:val="0"/>
      <w:marBottom w:val="0"/>
      <w:divBdr>
        <w:top w:val="none" w:sz="0" w:space="0" w:color="auto"/>
        <w:left w:val="none" w:sz="0" w:space="0" w:color="auto"/>
        <w:bottom w:val="none" w:sz="0" w:space="0" w:color="auto"/>
        <w:right w:val="none" w:sz="0" w:space="0" w:color="auto"/>
      </w:divBdr>
    </w:div>
    <w:div w:id="1316253165">
      <w:bodyDiv w:val="1"/>
      <w:marLeft w:val="0"/>
      <w:marRight w:val="0"/>
      <w:marTop w:val="0"/>
      <w:marBottom w:val="0"/>
      <w:divBdr>
        <w:top w:val="none" w:sz="0" w:space="0" w:color="auto"/>
        <w:left w:val="none" w:sz="0" w:space="0" w:color="auto"/>
        <w:bottom w:val="none" w:sz="0" w:space="0" w:color="auto"/>
        <w:right w:val="none" w:sz="0" w:space="0" w:color="auto"/>
      </w:divBdr>
    </w:div>
    <w:div w:id="1367605273">
      <w:bodyDiv w:val="1"/>
      <w:marLeft w:val="0"/>
      <w:marRight w:val="0"/>
      <w:marTop w:val="0"/>
      <w:marBottom w:val="0"/>
      <w:divBdr>
        <w:top w:val="none" w:sz="0" w:space="0" w:color="auto"/>
        <w:left w:val="none" w:sz="0" w:space="0" w:color="auto"/>
        <w:bottom w:val="none" w:sz="0" w:space="0" w:color="auto"/>
        <w:right w:val="none" w:sz="0" w:space="0" w:color="auto"/>
      </w:divBdr>
    </w:div>
    <w:div w:id="1462265564">
      <w:bodyDiv w:val="1"/>
      <w:marLeft w:val="0"/>
      <w:marRight w:val="0"/>
      <w:marTop w:val="0"/>
      <w:marBottom w:val="0"/>
      <w:divBdr>
        <w:top w:val="none" w:sz="0" w:space="0" w:color="auto"/>
        <w:left w:val="none" w:sz="0" w:space="0" w:color="auto"/>
        <w:bottom w:val="none" w:sz="0" w:space="0" w:color="auto"/>
        <w:right w:val="none" w:sz="0" w:space="0" w:color="auto"/>
      </w:divBdr>
    </w:div>
    <w:div w:id="1512404425">
      <w:bodyDiv w:val="1"/>
      <w:marLeft w:val="0"/>
      <w:marRight w:val="0"/>
      <w:marTop w:val="0"/>
      <w:marBottom w:val="0"/>
      <w:divBdr>
        <w:top w:val="none" w:sz="0" w:space="0" w:color="auto"/>
        <w:left w:val="none" w:sz="0" w:space="0" w:color="auto"/>
        <w:bottom w:val="none" w:sz="0" w:space="0" w:color="auto"/>
        <w:right w:val="none" w:sz="0" w:space="0" w:color="auto"/>
      </w:divBdr>
    </w:div>
    <w:div w:id="1529681893">
      <w:bodyDiv w:val="1"/>
      <w:marLeft w:val="0"/>
      <w:marRight w:val="0"/>
      <w:marTop w:val="0"/>
      <w:marBottom w:val="0"/>
      <w:divBdr>
        <w:top w:val="none" w:sz="0" w:space="0" w:color="auto"/>
        <w:left w:val="none" w:sz="0" w:space="0" w:color="auto"/>
        <w:bottom w:val="none" w:sz="0" w:space="0" w:color="auto"/>
        <w:right w:val="none" w:sz="0" w:space="0" w:color="auto"/>
      </w:divBdr>
    </w:div>
    <w:div w:id="1569993726">
      <w:bodyDiv w:val="1"/>
      <w:marLeft w:val="0"/>
      <w:marRight w:val="0"/>
      <w:marTop w:val="0"/>
      <w:marBottom w:val="0"/>
      <w:divBdr>
        <w:top w:val="none" w:sz="0" w:space="0" w:color="auto"/>
        <w:left w:val="none" w:sz="0" w:space="0" w:color="auto"/>
        <w:bottom w:val="none" w:sz="0" w:space="0" w:color="auto"/>
        <w:right w:val="none" w:sz="0" w:space="0" w:color="auto"/>
      </w:divBdr>
    </w:div>
    <w:div w:id="1661077468">
      <w:bodyDiv w:val="1"/>
      <w:marLeft w:val="0"/>
      <w:marRight w:val="0"/>
      <w:marTop w:val="0"/>
      <w:marBottom w:val="0"/>
      <w:divBdr>
        <w:top w:val="none" w:sz="0" w:space="0" w:color="auto"/>
        <w:left w:val="none" w:sz="0" w:space="0" w:color="auto"/>
        <w:bottom w:val="none" w:sz="0" w:space="0" w:color="auto"/>
        <w:right w:val="none" w:sz="0" w:space="0" w:color="auto"/>
      </w:divBdr>
    </w:div>
    <w:div w:id="1682389152">
      <w:bodyDiv w:val="1"/>
      <w:marLeft w:val="0"/>
      <w:marRight w:val="0"/>
      <w:marTop w:val="0"/>
      <w:marBottom w:val="0"/>
      <w:divBdr>
        <w:top w:val="none" w:sz="0" w:space="0" w:color="auto"/>
        <w:left w:val="none" w:sz="0" w:space="0" w:color="auto"/>
        <w:bottom w:val="none" w:sz="0" w:space="0" w:color="auto"/>
        <w:right w:val="none" w:sz="0" w:space="0" w:color="auto"/>
      </w:divBdr>
    </w:div>
    <w:div w:id="1756630328">
      <w:bodyDiv w:val="1"/>
      <w:marLeft w:val="0"/>
      <w:marRight w:val="0"/>
      <w:marTop w:val="0"/>
      <w:marBottom w:val="0"/>
      <w:divBdr>
        <w:top w:val="none" w:sz="0" w:space="0" w:color="auto"/>
        <w:left w:val="none" w:sz="0" w:space="0" w:color="auto"/>
        <w:bottom w:val="none" w:sz="0" w:space="0" w:color="auto"/>
        <w:right w:val="none" w:sz="0" w:space="0" w:color="auto"/>
      </w:divBdr>
    </w:div>
    <w:div w:id="1791705627">
      <w:bodyDiv w:val="1"/>
      <w:marLeft w:val="0"/>
      <w:marRight w:val="0"/>
      <w:marTop w:val="0"/>
      <w:marBottom w:val="0"/>
      <w:divBdr>
        <w:top w:val="none" w:sz="0" w:space="0" w:color="auto"/>
        <w:left w:val="none" w:sz="0" w:space="0" w:color="auto"/>
        <w:bottom w:val="none" w:sz="0" w:space="0" w:color="auto"/>
        <w:right w:val="none" w:sz="0" w:space="0" w:color="auto"/>
      </w:divBdr>
    </w:div>
    <w:div w:id="1812364252">
      <w:bodyDiv w:val="1"/>
      <w:marLeft w:val="0"/>
      <w:marRight w:val="0"/>
      <w:marTop w:val="0"/>
      <w:marBottom w:val="0"/>
      <w:divBdr>
        <w:top w:val="none" w:sz="0" w:space="0" w:color="auto"/>
        <w:left w:val="none" w:sz="0" w:space="0" w:color="auto"/>
        <w:bottom w:val="none" w:sz="0" w:space="0" w:color="auto"/>
        <w:right w:val="none" w:sz="0" w:space="0" w:color="auto"/>
      </w:divBdr>
    </w:div>
    <w:div w:id="1886483709">
      <w:bodyDiv w:val="1"/>
      <w:marLeft w:val="0"/>
      <w:marRight w:val="0"/>
      <w:marTop w:val="0"/>
      <w:marBottom w:val="0"/>
      <w:divBdr>
        <w:top w:val="none" w:sz="0" w:space="0" w:color="auto"/>
        <w:left w:val="none" w:sz="0" w:space="0" w:color="auto"/>
        <w:bottom w:val="none" w:sz="0" w:space="0" w:color="auto"/>
        <w:right w:val="none" w:sz="0" w:space="0" w:color="auto"/>
      </w:divBdr>
    </w:div>
    <w:div w:id="1888106569">
      <w:bodyDiv w:val="1"/>
      <w:marLeft w:val="0"/>
      <w:marRight w:val="0"/>
      <w:marTop w:val="0"/>
      <w:marBottom w:val="0"/>
      <w:divBdr>
        <w:top w:val="none" w:sz="0" w:space="0" w:color="auto"/>
        <w:left w:val="none" w:sz="0" w:space="0" w:color="auto"/>
        <w:bottom w:val="none" w:sz="0" w:space="0" w:color="auto"/>
        <w:right w:val="none" w:sz="0" w:space="0" w:color="auto"/>
      </w:divBdr>
    </w:div>
    <w:div w:id="1899318084">
      <w:bodyDiv w:val="1"/>
      <w:marLeft w:val="0"/>
      <w:marRight w:val="0"/>
      <w:marTop w:val="0"/>
      <w:marBottom w:val="0"/>
      <w:divBdr>
        <w:top w:val="none" w:sz="0" w:space="0" w:color="auto"/>
        <w:left w:val="none" w:sz="0" w:space="0" w:color="auto"/>
        <w:bottom w:val="none" w:sz="0" w:space="0" w:color="auto"/>
        <w:right w:val="none" w:sz="0" w:space="0" w:color="auto"/>
      </w:divBdr>
    </w:div>
    <w:div w:id="1943219276">
      <w:bodyDiv w:val="1"/>
      <w:marLeft w:val="0"/>
      <w:marRight w:val="0"/>
      <w:marTop w:val="0"/>
      <w:marBottom w:val="0"/>
      <w:divBdr>
        <w:top w:val="none" w:sz="0" w:space="0" w:color="auto"/>
        <w:left w:val="none" w:sz="0" w:space="0" w:color="auto"/>
        <w:bottom w:val="none" w:sz="0" w:space="0" w:color="auto"/>
        <w:right w:val="none" w:sz="0" w:space="0" w:color="auto"/>
      </w:divBdr>
    </w:div>
    <w:div w:id="1952473268">
      <w:bodyDiv w:val="1"/>
      <w:marLeft w:val="0"/>
      <w:marRight w:val="0"/>
      <w:marTop w:val="0"/>
      <w:marBottom w:val="0"/>
      <w:divBdr>
        <w:top w:val="none" w:sz="0" w:space="0" w:color="auto"/>
        <w:left w:val="none" w:sz="0" w:space="0" w:color="auto"/>
        <w:bottom w:val="none" w:sz="0" w:space="0" w:color="auto"/>
        <w:right w:val="none" w:sz="0" w:space="0" w:color="auto"/>
      </w:divBdr>
    </w:div>
    <w:div w:id="2063867649">
      <w:bodyDiv w:val="1"/>
      <w:marLeft w:val="0"/>
      <w:marRight w:val="0"/>
      <w:marTop w:val="0"/>
      <w:marBottom w:val="0"/>
      <w:divBdr>
        <w:top w:val="none" w:sz="0" w:space="0" w:color="auto"/>
        <w:left w:val="none" w:sz="0" w:space="0" w:color="auto"/>
        <w:bottom w:val="none" w:sz="0" w:space="0" w:color="auto"/>
        <w:right w:val="none" w:sz="0" w:space="0" w:color="auto"/>
      </w:divBdr>
    </w:div>
    <w:div w:id="2078505597">
      <w:bodyDiv w:val="1"/>
      <w:marLeft w:val="0"/>
      <w:marRight w:val="0"/>
      <w:marTop w:val="0"/>
      <w:marBottom w:val="0"/>
      <w:divBdr>
        <w:top w:val="none" w:sz="0" w:space="0" w:color="auto"/>
        <w:left w:val="none" w:sz="0" w:space="0" w:color="auto"/>
        <w:bottom w:val="none" w:sz="0" w:space="0" w:color="auto"/>
        <w:right w:val="none" w:sz="0" w:space="0" w:color="auto"/>
      </w:divBdr>
    </w:div>
    <w:div w:id="2086029629">
      <w:bodyDiv w:val="1"/>
      <w:marLeft w:val="0"/>
      <w:marRight w:val="0"/>
      <w:marTop w:val="0"/>
      <w:marBottom w:val="0"/>
      <w:divBdr>
        <w:top w:val="none" w:sz="0" w:space="0" w:color="auto"/>
        <w:left w:val="none" w:sz="0" w:space="0" w:color="auto"/>
        <w:bottom w:val="none" w:sz="0" w:space="0" w:color="auto"/>
        <w:right w:val="none" w:sz="0" w:space="0" w:color="auto"/>
      </w:divBdr>
    </w:div>
    <w:div w:id="2093114563">
      <w:bodyDiv w:val="1"/>
      <w:marLeft w:val="0"/>
      <w:marRight w:val="0"/>
      <w:marTop w:val="0"/>
      <w:marBottom w:val="0"/>
      <w:divBdr>
        <w:top w:val="none" w:sz="0" w:space="0" w:color="auto"/>
        <w:left w:val="none" w:sz="0" w:space="0" w:color="auto"/>
        <w:bottom w:val="none" w:sz="0" w:space="0" w:color="auto"/>
        <w:right w:val="none" w:sz="0" w:space="0" w:color="auto"/>
      </w:divBdr>
    </w:div>
    <w:div w:id="2100562742">
      <w:bodyDiv w:val="1"/>
      <w:marLeft w:val="0"/>
      <w:marRight w:val="0"/>
      <w:marTop w:val="0"/>
      <w:marBottom w:val="0"/>
      <w:divBdr>
        <w:top w:val="none" w:sz="0" w:space="0" w:color="auto"/>
        <w:left w:val="none" w:sz="0" w:space="0" w:color="auto"/>
        <w:bottom w:val="none" w:sz="0" w:space="0" w:color="auto"/>
        <w:right w:val="none" w:sz="0" w:space="0" w:color="auto"/>
      </w:divBdr>
    </w:div>
    <w:div w:id="2115979456">
      <w:bodyDiv w:val="1"/>
      <w:marLeft w:val="0"/>
      <w:marRight w:val="0"/>
      <w:marTop w:val="0"/>
      <w:marBottom w:val="0"/>
      <w:divBdr>
        <w:top w:val="none" w:sz="0" w:space="0" w:color="auto"/>
        <w:left w:val="none" w:sz="0" w:space="0" w:color="auto"/>
        <w:bottom w:val="none" w:sz="0" w:space="0" w:color="auto"/>
        <w:right w:val="none" w:sz="0" w:space="0" w:color="auto"/>
      </w:divBdr>
    </w:div>
    <w:div w:id="21379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17D376-2DF0-4A21-8799-9C4B73266474}"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s-CO"/>
        </a:p>
      </dgm:t>
    </dgm:pt>
    <dgm:pt modelId="{5E99BE0E-2867-488F-B872-04187FFD2318}">
      <dgm:prSet phldrT="[Texto]"/>
      <dgm:spPr/>
      <dgm:t>
        <a:bodyPr/>
        <a:lstStyle/>
        <a:p>
          <a:r>
            <a:rPr lang="es-CO"/>
            <a:t>ESTANDARES UTILIZADOS POR LAS EMPRESAS</a:t>
          </a:r>
        </a:p>
      </dgm:t>
    </dgm:pt>
    <dgm:pt modelId="{340A6B8C-8ACC-43B1-9B4A-A2C6B52954E8}" type="parTrans" cxnId="{DA7E6F86-D815-4FA7-A6E0-412D8317A6DC}">
      <dgm:prSet/>
      <dgm:spPr/>
      <dgm:t>
        <a:bodyPr/>
        <a:lstStyle/>
        <a:p>
          <a:endParaRPr lang="es-CO"/>
        </a:p>
      </dgm:t>
    </dgm:pt>
    <dgm:pt modelId="{86C358AD-7CA4-44D8-827C-EDF0827AB480}" type="sibTrans" cxnId="{DA7E6F86-D815-4FA7-A6E0-412D8317A6DC}">
      <dgm:prSet/>
      <dgm:spPr/>
      <dgm:t>
        <a:bodyPr/>
        <a:lstStyle/>
        <a:p>
          <a:endParaRPr lang="es-CO"/>
        </a:p>
      </dgm:t>
    </dgm:pt>
    <dgm:pt modelId="{9009BEC8-08EC-4790-AF61-00430D4F0DE2}">
      <dgm:prSet phldrT="[Texto]"/>
      <dgm:spPr/>
      <dgm:t>
        <a:bodyPr/>
        <a:lstStyle/>
        <a:p>
          <a:r>
            <a:rPr lang="es-CO"/>
            <a:t>Global Reporting Initiative </a:t>
          </a:r>
          <a:r>
            <a:rPr lang="es-MX"/>
            <a:t>(GRI, 2023)</a:t>
          </a:r>
          <a:endParaRPr lang="es-CO"/>
        </a:p>
      </dgm:t>
    </dgm:pt>
    <dgm:pt modelId="{D5117B35-0A05-4B39-84CF-2A3A96B6A5CE}" type="parTrans" cxnId="{9DCF0514-36EB-4636-A97B-03CC23BA7D89}">
      <dgm:prSet/>
      <dgm:spPr/>
      <dgm:t>
        <a:bodyPr/>
        <a:lstStyle/>
        <a:p>
          <a:endParaRPr lang="es-CO"/>
        </a:p>
      </dgm:t>
    </dgm:pt>
    <dgm:pt modelId="{E33A4090-88DC-4EDB-B390-1FC90E3D99E9}" type="sibTrans" cxnId="{9DCF0514-36EB-4636-A97B-03CC23BA7D89}">
      <dgm:prSet/>
      <dgm:spPr/>
      <dgm:t>
        <a:bodyPr/>
        <a:lstStyle/>
        <a:p>
          <a:endParaRPr lang="es-CO"/>
        </a:p>
      </dgm:t>
    </dgm:pt>
    <dgm:pt modelId="{054660B1-9A95-44A9-A77B-6A47FAC8F10A}">
      <dgm:prSet phldrT="[Texto]"/>
      <dgm:spPr/>
      <dgm:t>
        <a:bodyPr/>
        <a:lstStyle/>
        <a:p>
          <a:r>
            <a:rPr lang="es-CO"/>
            <a:t>Accontability 1000 (AA 1000)</a:t>
          </a:r>
        </a:p>
      </dgm:t>
    </dgm:pt>
    <dgm:pt modelId="{16EE9EBB-4422-4ECF-8555-A71FEC754ADE}" type="parTrans" cxnId="{D80294C7-CDA4-4563-BD1D-0E60C1A32BEB}">
      <dgm:prSet/>
      <dgm:spPr/>
      <dgm:t>
        <a:bodyPr/>
        <a:lstStyle/>
        <a:p>
          <a:endParaRPr lang="es-CO"/>
        </a:p>
      </dgm:t>
    </dgm:pt>
    <dgm:pt modelId="{5751BA6C-9F8A-425A-9A86-0A3F445F2188}" type="sibTrans" cxnId="{D80294C7-CDA4-4563-BD1D-0E60C1A32BEB}">
      <dgm:prSet/>
      <dgm:spPr/>
      <dgm:t>
        <a:bodyPr/>
        <a:lstStyle/>
        <a:p>
          <a:endParaRPr lang="es-CO"/>
        </a:p>
      </dgm:t>
    </dgm:pt>
    <dgm:pt modelId="{8D86E62A-5319-4984-9E65-53CECEE67218}">
      <dgm:prSet phldrT="[Texto]"/>
      <dgm:spPr/>
      <dgm:t>
        <a:bodyPr/>
        <a:lstStyle/>
        <a:p>
          <a:r>
            <a:rPr lang="es-CO"/>
            <a:t>Responsabilidad Social (ISO 26000)</a:t>
          </a:r>
        </a:p>
      </dgm:t>
    </dgm:pt>
    <dgm:pt modelId="{0FB9375C-C57A-4A50-BD8A-84571F439058}" type="parTrans" cxnId="{88159F60-FE06-4F72-9DA3-07C9F9C56B12}">
      <dgm:prSet/>
      <dgm:spPr/>
      <dgm:t>
        <a:bodyPr/>
        <a:lstStyle/>
        <a:p>
          <a:endParaRPr lang="es-CO"/>
        </a:p>
      </dgm:t>
    </dgm:pt>
    <dgm:pt modelId="{B72E5451-3443-4B00-A277-6723BFE5A5C9}" type="sibTrans" cxnId="{88159F60-FE06-4F72-9DA3-07C9F9C56B12}">
      <dgm:prSet/>
      <dgm:spPr/>
      <dgm:t>
        <a:bodyPr/>
        <a:lstStyle/>
        <a:p>
          <a:endParaRPr lang="es-CO"/>
        </a:p>
      </dgm:t>
    </dgm:pt>
    <dgm:pt modelId="{1B380767-4E80-4A45-BB6E-775DEF513D71}">
      <dgm:prSet phldrT="[Texto]"/>
      <dgm:spPr/>
      <dgm:t>
        <a:bodyPr/>
        <a:lstStyle/>
        <a:p>
          <a:r>
            <a:rPr lang="es-CO"/>
            <a:t>Principios de Ecuador (CFI)</a:t>
          </a:r>
        </a:p>
      </dgm:t>
    </dgm:pt>
    <dgm:pt modelId="{7E5EC9AE-DC41-42F4-A373-763782AA19F9}" type="parTrans" cxnId="{E8D3720C-6186-4335-8BF5-3F6C43192770}">
      <dgm:prSet/>
      <dgm:spPr/>
      <dgm:t>
        <a:bodyPr/>
        <a:lstStyle/>
        <a:p>
          <a:endParaRPr lang="es-CO"/>
        </a:p>
      </dgm:t>
    </dgm:pt>
    <dgm:pt modelId="{8D378B27-8E58-46FE-995B-968781996698}" type="sibTrans" cxnId="{E8D3720C-6186-4335-8BF5-3F6C43192770}">
      <dgm:prSet/>
      <dgm:spPr/>
      <dgm:t>
        <a:bodyPr/>
        <a:lstStyle/>
        <a:p>
          <a:endParaRPr lang="es-CO"/>
        </a:p>
      </dgm:t>
    </dgm:pt>
    <dgm:pt modelId="{FA4849B6-5D25-42DC-A51B-ED4BF00AF633}">
      <dgm:prSet phldrT="[Texto]"/>
      <dgm:spPr/>
      <dgm:t>
        <a:bodyPr/>
        <a:lstStyle/>
        <a:p>
          <a:r>
            <a:rPr lang="es-CO"/>
            <a:t>Directrices OCDE</a:t>
          </a:r>
        </a:p>
      </dgm:t>
    </dgm:pt>
    <dgm:pt modelId="{45FA49A5-7B24-45CC-8224-7DD32B3D896E}" type="parTrans" cxnId="{72D582AE-45A9-4C76-9649-865A3AC6A235}">
      <dgm:prSet/>
      <dgm:spPr/>
      <dgm:t>
        <a:bodyPr/>
        <a:lstStyle/>
        <a:p>
          <a:endParaRPr lang="es-CO"/>
        </a:p>
      </dgm:t>
    </dgm:pt>
    <dgm:pt modelId="{0E72356B-861B-4D70-8934-106EC2724DE5}" type="sibTrans" cxnId="{72D582AE-45A9-4C76-9649-865A3AC6A235}">
      <dgm:prSet/>
      <dgm:spPr/>
      <dgm:t>
        <a:bodyPr/>
        <a:lstStyle/>
        <a:p>
          <a:endParaRPr lang="es-CO"/>
        </a:p>
      </dgm:t>
    </dgm:pt>
    <dgm:pt modelId="{AC0683A1-93B3-4064-8721-2219C94EE365}">
      <dgm:prSet phldrT="[Texto]"/>
      <dgm:spPr/>
      <dgm:t>
        <a:bodyPr/>
        <a:lstStyle/>
        <a:p>
          <a:r>
            <a:rPr lang="es-CO"/>
            <a:t>Estándares Internacionales de Sostenibilidad (SASB)</a:t>
          </a:r>
        </a:p>
      </dgm:t>
    </dgm:pt>
    <dgm:pt modelId="{BEB718C3-C298-42FA-840F-035A73F8EB75}" type="parTrans" cxnId="{ED1D19A2-9181-458B-86B6-DFF59F88431A}">
      <dgm:prSet/>
      <dgm:spPr/>
    </dgm:pt>
    <dgm:pt modelId="{B15085E6-EF86-4111-A56F-5CC0454CA7DE}" type="sibTrans" cxnId="{ED1D19A2-9181-458B-86B6-DFF59F88431A}">
      <dgm:prSet/>
      <dgm:spPr/>
    </dgm:pt>
    <dgm:pt modelId="{BD120D74-43FE-4AC5-B722-F02690962279}" type="pres">
      <dgm:prSet presAssocID="{F817D376-2DF0-4A21-8799-9C4B73266474}" presName="composite" presStyleCnt="0">
        <dgm:presLayoutVars>
          <dgm:chMax val="1"/>
          <dgm:dir/>
          <dgm:resizeHandles val="exact"/>
        </dgm:presLayoutVars>
      </dgm:prSet>
      <dgm:spPr/>
    </dgm:pt>
    <dgm:pt modelId="{EE768F4B-4DBB-4E1B-AF83-9F825E6505C2}" type="pres">
      <dgm:prSet presAssocID="{5E99BE0E-2867-488F-B872-04187FFD2318}" presName="roof" presStyleLbl="dkBgShp" presStyleIdx="0" presStyleCnt="2"/>
      <dgm:spPr/>
    </dgm:pt>
    <dgm:pt modelId="{475E876D-4655-4461-A55A-99CEA851EA0A}" type="pres">
      <dgm:prSet presAssocID="{5E99BE0E-2867-488F-B872-04187FFD2318}" presName="pillars" presStyleCnt="0"/>
      <dgm:spPr/>
    </dgm:pt>
    <dgm:pt modelId="{36568A25-2882-478C-BBA5-0DA36DF08BC6}" type="pres">
      <dgm:prSet presAssocID="{5E99BE0E-2867-488F-B872-04187FFD2318}" presName="pillar1" presStyleLbl="node1" presStyleIdx="0" presStyleCnt="6">
        <dgm:presLayoutVars>
          <dgm:bulletEnabled val="1"/>
        </dgm:presLayoutVars>
      </dgm:prSet>
      <dgm:spPr/>
    </dgm:pt>
    <dgm:pt modelId="{C4FD7544-BB5E-4FC2-8EFC-A872C98566EE}" type="pres">
      <dgm:prSet presAssocID="{054660B1-9A95-44A9-A77B-6A47FAC8F10A}" presName="pillarX" presStyleLbl="node1" presStyleIdx="1" presStyleCnt="6">
        <dgm:presLayoutVars>
          <dgm:bulletEnabled val="1"/>
        </dgm:presLayoutVars>
      </dgm:prSet>
      <dgm:spPr/>
    </dgm:pt>
    <dgm:pt modelId="{ED37B5FA-34B4-420B-90A4-91C745140A4E}" type="pres">
      <dgm:prSet presAssocID="{8D86E62A-5319-4984-9E65-53CECEE67218}" presName="pillarX" presStyleLbl="node1" presStyleIdx="2" presStyleCnt="6">
        <dgm:presLayoutVars>
          <dgm:bulletEnabled val="1"/>
        </dgm:presLayoutVars>
      </dgm:prSet>
      <dgm:spPr/>
    </dgm:pt>
    <dgm:pt modelId="{89552275-55DB-48F9-94C2-E44D0E1C57B9}" type="pres">
      <dgm:prSet presAssocID="{1B380767-4E80-4A45-BB6E-775DEF513D71}" presName="pillarX" presStyleLbl="node1" presStyleIdx="3" presStyleCnt="6">
        <dgm:presLayoutVars>
          <dgm:bulletEnabled val="1"/>
        </dgm:presLayoutVars>
      </dgm:prSet>
      <dgm:spPr/>
    </dgm:pt>
    <dgm:pt modelId="{515988C6-5FFF-4ED9-A138-9E9D1AFE0120}" type="pres">
      <dgm:prSet presAssocID="{FA4849B6-5D25-42DC-A51B-ED4BF00AF633}" presName="pillarX" presStyleLbl="node1" presStyleIdx="4" presStyleCnt="6">
        <dgm:presLayoutVars>
          <dgm:bulletEnabled val="1"/>
        </dgm:presLayoutVars>
      </dgm:prSet>
      <dgm:spPr/>
    </dgm:pt>
    <dgm:pt modelId="{645CBA2B-4EF9-4323-B231-145CCE1C1C84}" type="pres">
      <dgm:prSet presAssocID="{AC0683A1-93B3-4064-8721-2219C94EE365}" presName="pillarX" presStyleLbl="node1" presStyleIdx="5" presStyleCnt="6">
        <dgm:presLayoutVars>
          <dgm:bulletEnabled val="1"/>
        </dgm:presLayoutVars>
      </dgm:prSet>
      <dgm:spPr/>
    </dgm:pt>
    <dgm:pt modelId="{92360A56-19B5-431C-A199-1C63077133AA}" type="pres">
      <dgm:prSet presAssocID="{5E99BE0E-2867-488F-B872-04187FFD2318}" presName="base" presStyleLbl="dkBgShp" presStyleIdx="1" presStyleCnt="2"/>
      <dgm:spPr/>
    </dgm:pt>
  </dgm:ptLst>
  <dgm:cxnLst>
    <dgm:cxn modelId="{E8D3720C-6186-4335-8BF5-3F6C43192770}" srcId="{5E99BE0E-2867-488F-B872-04187FFD2318}" destId="{1B380767-4E80-4A45-BB6E-775DEF513D71}" srcOrd="3" destOrd="0" parTransId="{7E5EC9AE-DC41-42F4-A373-763782AA19F9}" sibTransId="{8D378B27-8E58-46FE-995B-968781996698}"/>
    <dgm:cxn modelId="{C8C72F10-D976-4C07-8FA9-A002AD528AC9}" type="presOf" srcId="{8D86E62A-5319-4984-9E65-53CECEE67218}" destId="{ED37B5FA-34B4-420B-90A4-91C745140A4E}" srcOrd="0" destOrd="0" presId="urn:microsoft.com/office/officeart/2005/8/layout/hList3"/>
    <dgm:cxn modelId="{9DCF0514-36EB-4636-A97B-03CC23BA7D89}" srcId="{5E99BE0E-2867-488F-B872-04187FFD2318}" destId="{9009BEC8-08EC-4790-AF61-00430D4F0DE2}" srcOrd="0" destOrd="0" parTransId="{D5117B35-0A05-4B39-84CF-2A3A96B6A5CE}" sibTransId="{E33A4090-88DC-4EDB-B390-1FC90E3D99E9}"/>
    <dgm:cxn modelId="{332C1215-0DB9-4363-AB21-DE0E3B596F21}" type="presOf" srcId="{5E99BE0E-2867-488F-B872-04187FFD2318}" destId="{EE768F4B-4DBB-4E1B-AF83-9F825E6505C2}" srcOrd="0" destOrd="0" presId="urn:microsoft.com/office/officeart/2005/8/layout/hList3"/>
    <dgm:cxn modelId="{9399CF1B-040B-4ECD-BB84-1C07FF14A9AE}" type="presOf" srcId="{AC0683A1-93B3-4064-8721-2219C94EE365}" destId="{645CBA2B-4EF9-4323-B231-145CCE1C1C84}" srcOrd="0" destOrd="0" presId="urn:microsoft.com/office/officeart/2005/8/layout/hList3"/>
    <dgm:cxn modelId="{88159F60-FE06-4F72-9DA3-07C9F9C56B12}" srcId="{5E99BE0E-2867-488F-B872-04187FFD2318}" destId="{8D86E62A-5319-4984-9E65-53CECEE67218}" srcOrd="2" destOrd="0" parTransId="{0FB9375C-C57A-4A50-BD8A-84571F439058}" sibTransId="{B72E5451-3443-4B00-A277-6723BFE5A5C9}"/>
    <dgm:cxn modelId="{6B5D2545-2167-4BCD-8B0A-3A52D2AC8321}" type="presOf" srcId="{054660B1-9A95-44A9-A77B-6A47FAC8F10A}" destId="{C4FD7544-BB5E-4FC2-8EFC-A872C98566EE}" srcOrd="0" destOrd="0" presId="urn:microsoft.com/office/officeart/2005/8/layout/hList3"/>
    <dgm:cxn modelId="{99DE0149-A1C9-4106-BAD9-19A977A635C5}" type="presOf" srcId="{F817D376-2DF0-4A21-8799-9C4B73266474}" destId="{BD120D74-43FE-4AC5-B722-F02690962279}" srcOrd="0" destOrd="0" presId="urn:microsoft.com/office/officeart/2005/8/layout/hList3"/>
    <dgm:cxn modelId="{DA7E6F86-D815-4FA7-A6E0-412D8317A6DC}" srcId="{F817D376-2DF0-4A21-8799-9C4B73266474}" destId="{5E99BE0E-2867-488F-B872-04187FFD2318}" srcOrd="0" destOrd="0" parTransId="{340A6B8C-8ACC-43B1-9B4A-A2C6B52954E8}" sibTransId="{86C358AD-7CA4-44D8-827C-EDF0827AB480}"/>
    <dgm:cxn modelId="{ED1D19A2-9181-458B-86B6-DFF59F88431A}" srcId="{5E99BE0E-2867-488F-B872-04187FFD2318}" destId="{AC0683A1-93B3-4064-8721-2219C94EE365}" srcOrd="5" destOrd="0" parTransId="{BEB718C3-C298-42FA-840F-035A73F8EB75}" sibTransId="{B15085E6-EF86-4111-A56F-5CC0454CA7DE}"/>
    <dgm:cxn modelId="{2D35FCA6-E409-4C2D-ABDE-F59EFA86C5B8}" type="presOf" srcId="{1B380767-4E80-4A45-BB6E-775DEF513D71}" destId="{89552275-55DB-48F9-94C2-E44D0E1C57B9}" srcOrd="0" destOrd="0" presId="urn:microsoft.com/office/officeart/2005/8/layout/hList3"/>
    <dgm:cxn modelId="{72D582AE-45A9-4C76-9649-865A3AC6A235}" srcId="{5E99BE0E-2867-488F-B872-04187FFD2318}" destId="{FA4849B6-5D25-42DC-A51B-ED4BF00AF633}" srcOrd="4" destOrd="0" parTransId="{45FA49A5-7B24-45CC-8224-7DD32B3D896E}" sibTransId="{0E72356B-861B-4D70-8934-106EC2724DE5}"/>
    <dgm:cxn modelId="{5441FBB0-7BFD-4D1E-A7D2-F9E5F203EEDC}" type="presOf" srcId="{9009BEC8-08EC-4790-AF61-00430D4F0DE2}" destId="{36568A25-2882-478C-BBA5-0DA36DF08BC6}" srcOrd="0" destOrd="0" presId="urn:microsoft.com/office/officeart/2005/8/layout/hList3"/>
    <dgm:cxn modelId="{D80294C7-CDA4-4563-BD1D-0E60C1A32BEB}" srcId="{5E99BE0E-2867-488F-B872-04187FFD2318}" destId="{054660B1-9A95-44A9-A77B-6A47FAC8F10A}" srcOrd="1" destOrd="0" parTransId="{16EE9EBB-4422-4ECF-8555-A71FEC754ADE}" sibTransId="{5751BA6C-9F8A-425A-9A86-0A3F445F2188}"/>
    <dgm:cxn modelId="{3118FADF-E44A-44A1-94F1-FB6B7DD35392}" type="presOf" srcId="{FA4849B6-5D25-42DC-A51B-ED4BF00AF633}" destId="{515988C6-5FFF-4ED9-A138-9E9D1AFE0120}" srcOrd="0" destOrd="0" presId="urn:microsoft.com/office/officeart/2005/8/layout/hList3"/>
    <dgm:cxn modelId="{655C933D-9A67-40D1-9D53-A3C091F3407B}" type="presParOf" srcId="{BD120D74-43FE-4AC5-B722-F02690962279}" destId="{EE768F4B-4DBB-4E1B-AF83-9F825E6505C2}" srcOrd="0" destOrd="0" presId="urn:microsoft.com/office/officeart/2005/8/layout/hList3"/>
    <dgm:cxn modelId="{428EA557-44AD-4F48-B9FD-E1CC55137176}" type="presParOf" srcId="{BD120D74-43FE-4AC5-B722-F02690962279}" destId="{475E876D-4655-4461-A55A-99CEA851EA0A}" srcOrd="1" destOrd="0" presId="urn:microsoft.com/office/officeart/2005/8/layout/hList3"/>
    <dgm:cxn modelId="{FA7E4AB8-7484-4517-9AC4-A52AF7663C58}" type="presParOf" srcId="{475E876D-4655-4461-A55A-99CEA851EA0A}" destId="{36568A25-2882-478C-BBA5-0DA36DF08BC6}" srcOrd="0" destOrd="0" presId="urn:microsoft.com/office/officeart/2005/8/layout/hList3"/>
    <dgm:cxn modelId="{B028BE82-12B7-482C-90DA-8068A5FA76D3}" type="presParOf" srcId="{475E876D-4655-4461-A55A-99CEA851EA0A}" destId="{C4FD7544-BB5E-4FC2-8EFC-A872C98566EE}" srcOrd="1" destOrd="0" presId="urn:microsoft.com/office/officeart/2005/8/layout/hList3"/>
    <dgm:cxn modelId="{ECE71CF6-A542-4C7E-B517-BFC06636DAAF}" type="presParOf" srcId="{475E876D-4655-4461-A55A-99CEA851EA0A}" destId="{ED37B5FA-34B4-420B-90A4-91C745140A4E}" srcOrd="2" destOrd="0" presId="urn:microsoft.com/office/officeart/2005/8/layout/hList3"/>
    <dgm:cxn modelId="{504A81B3-5F98-4342-A7F6-2D719D1A87D0}" type="presParOf" srcId="{475E876D-4655-4461-A55A-99CEA851EA0A}" destId="{89552275-55DB-48F9-94C2-E44D0E1C57B9}" srcOrd="3" destOrd="0" presId="urn:microsoft.com/office/officeart/2005/8/layout/hList3"/>
    <dgm:cxn modelId="{772C7805-90E9-4417-9D7D-FAB83DB56F0E}" type="presParOf" srcId="{475E876D-4655-4461-A55A-99CEA851EA0A}" destId="{515988C6-5FFF-4ED9-A138-9E9D1AFE0120}" srcOrd="4" destOrd="0" presId="urn:microsoft.com/office/officeart/2005/8/layout/hList3"/>
    <dgm:cxn modelId="{B30B6837-B5A9-447D-AC10-8AF8F7229231}" type="presParOf" srcId="{475E876D-4655-4461-A55A-99CEA851EA0A}" destId="{645CBA2B-4EF9-4323-B231-145CCE1C1C84}" srcOrd="5" destOrd="0" presId="urn:microsoft.com/office/officeart/2005/8/layout/hList3"/>
    <dgm:cxn modelId="{E48B89FD-8842-42DF-92A8-56081ECF0E87}" type="presParOf" srcId="{BD120D74-43FE-4AC5-B722-F02690962279}" destId="{92360A56-19B5-431C-A199-1C63077133AA}" srcOrd="2" destOrd="0" presId="urn:microsoft.com/office/officeart/2005/8/layout/h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768F4B-4DBB-4E1B-AF83-9F825E6505C2}">
      <dsp:nvSpPr>
        <dsp:cNvPr id="0" name=""/>
        <dsp:cNvSpPr/>
      </dsp:nvSpPr>
      <dsp:spPr>
        <a:xfrm>
          <a:off x="0" y="0"/>
          <a:ext cx="5486400" cy="728662"/>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s-CO" sz="2200" kern="1200"/>
            <a:t>ESTANDARES UTILIZADOS POR LAS EMPRESAS</a:t>
          </a:r>
        </a:p>
      </dsp:txBody>
      <dsp:txXfrm>
        <a:off x="0" y="0"/>
        <a:ext cx="5486400" cy="728662"/>
      </dsp:txXfrm>
    </dsp:sp>
    <dsp:sp modelId="{36568A25-2882-478C-BBA5-0DA36DF08BC6}">
      <dsp:nvSpPr>
        <dsp:cNvPr id="0" name=""/>
        <dsp:cNvSpPr/>
      </dsp:nvSpPr>
      <dsp:spPr>
        <a:xfrm>
          <a:off x="2678"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Global Reporting Initiative </a:t>
          </a:r>
          <a:r>
            <a:rPr lang="es-MX" sz="900" kern="1200"/>
            <a:t>(GRI, 2023)</a:t>
          </a:r>
          <a:endParaRPr lang="es-CO" sz="900" kern="1200"/>
        </a:p>
      </dsp:txBody>
      <dsp:txXfrm>
        <a:off x="2678" y="728662"/>
        <a:ext cx="913507" cy="1530191"/>
      </dsp:txXfrm>
    </dsp:sp>
    <dsp:sp modelId="{C4FD7544-BB5E-4FC2-8EFC-A872C98566EE}">
      <dsp:nvSpPr>
        <dsp:cNvPr id="0" name=""/>
        <dsp:cNvSpPr/>
      </dsp:nvSpPr>
      <dsp:spPr>
        <a:xfrm>
          <a:off x="916185"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Accontability 1000 (AA 1000)</a:t>
          </a:r>
        </a:p>
      </dsp:txBody>
      <dsp:txXfrm>
        <a:off x="916185" y="728662"/>
        <a:ext cx="913507" cy="1530191"/>
      </dsp:txXfrm>
    </dsp:sp>
    <dsp:sp modelId="{ED37B5FA-34B4-420B-90A4-91C745140A4E}">
      <dsp:nvSpPr>
        <dsp:cNvPr id="0" name=""/>
        <dsp:cNvSpPr/>
      </dsp:nvSpPr>
      <dsp:spPr>
        <a:xfrm>
          <a:off x="1829692"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Responsabilidad Social (ISO 26000)</a:t>
          </a:r>
        </a:p>
      </dsp:txBody>
      <dsp:txXfrm>
        <a:off x="1829692" y="728662"/>
        <a:ext cx="913507" cy="1530191"/>
      </dsp:txXfrm>
    </dsp:sp>
    <dsp:sp modelId="{89552275-55DB-48F9-94C2-E44D0E1C57B9}">
      <dsp:nvSpPr>
        <dsp:cNvPr id="0" name=""/>
        <dsp:cNvSpPr/>
      </dsp:nvSpPr>
      <dsp:spPr>
        <a:xfrm>
          <a:off x="2743200"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Principios de Ecuador (CFI)</a:t>
          </a:r>
        </a:p>
      </dsp:txBody>
      <dsp:txXfrm>
        <a:off x="2743200" y="728662"/>
        <a:ext cx="913507" cy="1530191"/>
      </dsp:txXfrm>
    </dsp:sp>
    <dsp:sp modelId="{515988C6-5FFF-4ED9-A138-9E9D1AFE0120}">
      <dsp:nvSpPr>
        <dsp:cNvPr id="0" name=""/>
        <dsp:cNvSpPr/>
      </dsp:nvSpPr>
      <dsp:spPr>
        <a:xfrm>
          <a:off x="3656707"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Directrices OCDE</a:t>
          </a:r>
        </a:p>
      </dsp:txBody>
      <dsp:txXfrm>
        <a:off x="3656707" y="728662"/>
        <a:ext cx="913507" cy="1530191"/>
      </dsp:txXfrm>
    </dsp:sp>
    <dsp:sp modelId="{645CBA2B-4EF9-4323-B231-145CCE1C1C84}">
      <dsp:nvSpPr>
        <dsp:cNvPr id="0" name=""/>
        <dsp:cNvSpPr/>
      </dsp:nvSpPr>
      <dsp:spPr>
        <a:xfrm>
          <a:off x="4570214" y="728662"/>
          <a:ext cx="913507" cy="15301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Estándares Internacionales de Sostenibilidad (SASB)</a:t>
          </a:r>
        </a:p>
      </dsp:txBody>
      <dsp:txXfrm>
        <a:off x="4570214" y="728662"/>
        <a:ext cx="913507" cy="1530191"/>
      </dsp:txXfrm>
    </dsp:sp>
    <dsp:sp modelId="{92360A56-19B5-431C-A199-1C63077133AA}">
      <dsp:nvSpPr>
        <dsp:cNvPr id="0" name=""/>
        <dsp:cNvSpPr/>
      </dsp:nvSpPr>
      <dsp:spPr>
        <a:xfrm>
          <a:off x="0" y="2258853"/>
          <a:ext cx="5486400" cy="170021"/>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OCD22</b:Tag>
    <b:SourceType>InternetSite</b:SourceType>
    <b:Guid>{88BFC7A0-CB80-405E-9DD9-FF55AA85A11D}</b:Guid>
    <b:Title>OECD</b:Title>
    <b:Year>2022</b:Year>
    <b:Author>
      <b:Author>
        <b:Corporate>OCDE</b:Corporate>
      </b:Author>
    </b:Author>
    <b:InternetSiteTitle>OECD</b:InternetSiteTitle>
    <b:Month>Noviembre </b:Month>
    <b:Day>30</b:Day>
    <b:URL>https://www.oecd.org/acerca/impacto/alcanzar-los-ods-en-las-ciudades-y-las-regiones.htm</b:URL>
    <b:RefOrder>1</b:RefOrder>
  </b:Source>
  <b:Source>
    <b:Tag>Dep22</b:Tag>
    <b:SourceType>InternetSite</b:SourceType>
    <b:Guid>{9560D797-FF56-490F-B237-41305D023D2A}</b:Guid>
    <b:Author>
      <b:Author>
        <b:Corporate>Departamento Nacional de Planeación </b:Corporate>
      </b:Author>
    </b:Author>
    <b:Title>Objetivos de Desarrollos Sostenible - Departamento Nacional de Planeación</b:Title>
    <b:InternetSiteTitle>Objetivos de Desarrollos Sostenible - Departamento Nacional de Planeación</b:InternetSiteTitle>
    <b:Year>2022</b:Year>
    <b:Month>Noviembre</b:Month>
    <b:Day>30</b:Day>
    <b:URL>https://ods.dnp.gov.co/</b:URL>
    <b:RefOrder>2</b:RefOrder>
  </b:Source>
  <b:Source>
    <b:Tag>Fun22</b:Tag>
    <b:SourceType>InternetSite</b:SourceType>
    <b:Guid>{6FB3860F-502F-4720-959D-0C255589DA82}</b:Guid>
    <b:Author>
      <b:Author>
        <b:Corporate>Fundación IFRS</b:Corporate>
      </b:Author>
    </b:Author>
    <b:Title>International Financial Reporting Standard</b:Title>
    <b:InternetSiteTitle>International Financial Reporting Standard</b:InternetSiteTitle>
    <b:Year>2022</b:Year>
    <b:Month>Noviembre</b:Month>
    <b:Day>30</b:Day>
    <b:URL>https://www.ifrs.org/</b:URL>
    <b:RefOrder>3</b:RefOrder>
  </b:Source>
  <b:Source>
    <b:Tag>ISS22</b:Tag>
    <b:SourceType>InternetSite</b:SourceType>
    <b:Guid>{8E471A96-2000-4FA8-A3A1-C6FAFF7C8C26}</b:Guid>
    <b:Author>
      <b:Author>
        <b:Corporate>ISSB</b:Corporate>
      </b:Author>
    </b:Author>
    <b:Title>International Sustainability Standard Board</b:Title>
    <b:InternetSiteTitle>International Sustainability Standard Board</b:InternetSiteTitle>
    <b:Year>2022</b:Year>
    <b:Month>Noviembre</b:Month>
    <b:Day>30</b:Day>
    <b:URL>https://www.ifrs.org/groups/international-sustainability-standards-board/</b:URL>
    <b:RefOrder>4</b:RefOrder>
  </b:Source>
  <b:Source>
    <b:Tag>NII22</b:Tag>
    <b:SourceType>InternetSite</b:SourceType>
    <b:Guid>{F915A8B9-A911-48B5-AECD-14DEC172B097}</b:Guid>
    <b:Author>
      <b:Author>
        <b:Corporate>NIIF S2 Divulgaciones relacionadas con aspectos climaticos</b:Corporate>
      </b:Author>
    </b:Author>
    <b:Title>IFRS divulgaciones relacionadas con aspectos climaticos</b:Title>
    <b:InternetSiteTitle>IFRS divulgaciones relacionadas con aspectos climaticos</b:InternetSiteTitle>
    <b:Year>2022</b:Year>
    <b:Month>Noviembre</b:Month>
    <b:Day>30</b:Day>
    <b:URL>https://www.ifrs.org/projects/work-plan/climate-related-disclosures/#published-documents</b:URL>
    <b:RefOrder>6</b:RefOrder>
  </b:Source>
  <b:Source>
    <b:Tag>NII221</b:Tag>
    <b:SourceType>InternetSite</b:SourceType>
    <b:Guid>{DEA3FDA8-BC17-4DA2-BAEB-4EEA7A4631CD}</b:Guid>
    <b:Author>
      <b:Author>
        <b:Corporate>NIIF S1 Requerimientos generales para la información a revelar sobre sostenibilidad relacionada con la información financiera</b:Corporate>
      </b:Author>
    </b:Author>
    <b:Title>IFRS S1</b:Title>
    <b:InternetSiteTitle>IFRS S1</b:InternetSiteTitle>
    <b:Year>2022</b:Year>
    <b:Month>Noviembre</b:Month>
    <b:Day>30</b:Day>
    <b:URL>https://www.ifrs.org/projects/work-plan/general-sustainability-related-disclosures/#published-documents</b:URL>
    <b:RefOrder>5</b:RefOrder>
  </b:Source>
  <b:Source>
    <b:Tag>Suá21</b:Tag>
    <b:SourceType>JournalArticle</b:SourceType>
    <b:Guid>{DE053596-A442-45AF-A536-E0A8F9746CC6}</b:Guid>
    <b:LCID>es-CO</b:LCID>
    <b:Title>La utilidad de los informes de sostenibilidad en entidades publicas y privadas en Colombia: la percepción de los stakeholders</b:Title>
    <b:Year>2021</b:Year>
    <b:Author>
      <b:Author>
        <b:NameList>
          <b:Person>
            <b:Last>Suárez-Rico</b:Last>
            <b:First>Y.,</b:First>
            <b:Middle>Gómez-Villegas, M., &amp; García-</b:Middle>
          </b:Person>
        </b:NameList>
      </b:Author>
    </b:Author>
    <b:JournalName>Contaduria Universidad de Antioquia</b:JournalName>
    <b:Pages>103-136</b:Pages>
    <b:RefOrder>7</b:RefOrder>
  </b:Source>
  <b:Source>
    <b:Tag>IFA23</b:Tag>
    <b:SourceType>InternetSite</b:SourceType>
    <b:Guid>{28D8CA54-DFFA-4D2D-A87A-AA53223C7571}</b:Guid>
    <b:Title>www.ifac.org</b:Title>
    <b:Year>2023</b:Year>
    <b:Author>
      <b:Author>
        <b:NameList>
          <b:Person>
            <b:Last>IFAC</b:Last>
          </b:Person>
        </b:NameList>
      </b:Author>
    </b:Author>
    <b:InternetSiteTitle>IFAC</b:InternetSiteTitle>
    <b:Month>02</b:Month>
    <b:Day>28</b:Day>
    <b:URL>https://www.ifac.org/news-events/2023-02/momentum-builds-corporate-esg-disclosure-and-assurance-yet-reporting-inconsistencies-linger-study</b:URL>
    <b:RefOrder>11</b:RefOrder>
  </b:Source>
  <b:Source>
    <b:Tag>AIC23</b:Tag>
    <b:SourceType>InternetSite</b:SourceType>
    <b:Guid>{4454851F-21B5-4502-A1BD-39C03AB95BA6}</b:Guid>
    <b:Author>
      <b:Author>
        <b:NameList>
          <b:Person>
            <b:Last>AICPA</b:Last>
          </b:Person>
        </b:NameList>
      </b:Author>
    </b:Author>
    <b:Title>AICPA</b:Title>
    <b:InternetSiteTitle>AICPA</b:InternetSiteTitle>
    <b:Year>2023</b:Year>
    <b:Month>02</b:Month>
    <b:Day>28</b:Day>
    <b:URL>https://www.ifac.org/news-events/2023-02/momentum-builds-corporate-esg-disclosure-and-assurance-yet-reporting-inconsistencies-linger-study</b:URL>
    <b:RefOrder>12</b:RefOrder>
  </b:Source>
  <b:Source>
    <b:Tag>ARA13</b:Tag>
    <b:SourceType>DocumentFromInternetSite</b:SourceType>
    <b:Guid>{D80BC37C-BA52-47B0-8EE7-47C73610DA6C}</b:Guid>
    <b:Title>¿COMO SE HACE UN BUEN REPORTE DE SOSTENIBILIDAD?</b:Title>
    <b:InternetSiteTitle>La Republica</b:InternetSiteTitle>
    <b:Year>2013</b:Year>
    <b:Month>08</b:Month>
    <b:Day>28</b:Day>
    <b:URL>https://www.larepublica.co/responsabilidad-social/como-se-hace-un-buen-reporte-de-sostenibilidad-2054131</b:URL>
    <b:Author>
      <b:Author>
        <b:NameList>
          <b:Person>
            <b:Last>ARANGO</b:Last>
            <b:First>TATIANA</b:First>
          </b:Person>
        </b:NameList>
      </b:Author>
    </b:Author>
    <b:PeriodicalTitle>LA REPUBLICA</b:PeriodicalTitle>
    <b:RefOrder>8</b:RefOrder>
  </b:Source>
  <b:Source>
    <b:Tag>GLO23</b:Tag>
    <b:SourceType>InternetSite</b:SourceType>
    <b:Guid>{6316E0DB-1BC1-41C0-9830-C5B053E1A236}</b:Guid>
    <b:Title>GLOBAL REPORTING INITIATIVE</b:Title>
    <b:InternetSiteTitle>GLOBAL REPORTING INITIATIVE</b:InternetSiteTitle>
    <b:Year>2023</b:Year>
    <b:Month>02</b:Month>
    <b:Day>28</b:Day>
    <b:URL>https://www.globalreporting.org/</b:URL>
    <b:RefOrder>9</b:RefOrder>
  </b:Source>
  <b:Source>
    <b:Tag>ACC23</b:Tag>
    <b:SourceType>InternetSite</b:SourceType>
    <b:Guid>{EC3941D0-97CD-4502-A3B4-6AB79275B26A}</b:Guid>
    <b:Title>ACCOUNTABILITY </b:Title>
    <b:InternetSiteTitle>ACCOUNTABILITY</b:InternetSiteTitle>
    <b:Year>2023</b:Year>
    <b:Month>02</b:Month>
    <b:Day>28</b:Day>
    <b:URL>https://www.accountability.org/standards/</b:URL>
    <b:RefOrder>13</b:RefOrder>
  </b:Source>
  <b:Source>
    <b:Tag>ISO23</b:Tag>
    <b:SourceType>InternetSite</b:SourceType>
    <b:Guid>{FA4155D3-6978-4DBD-9AD2-AE6AF88EA16D}</b:Guid>
    <b:Title>ISO 26000</b:Title>
    <b:InternetSiteTitle>ISO</b:InternetSiteTitle>
    <b:Year>2023</b:Year>
    <b:Month>02</b:Month>
    <b:Day>28</b:Day>
    <b:URL>https://www.iso.org/home.html</b:URL>
    <b:RefOrder>10</b:RefOrder>
  </b:Source>
  <b:Source>
    <b:Tag>ISO231</b:Tag>
    <b:SourceType>InternetSite</b:SourceType>
    <b:Guid>{8E96C5A0-E7A2-40BA-A913-A13F18A10926}</b:Guid>
    <b:Title>ISO 26000</b:Title>
    <b:InternetSiteTitle>ISO</b:InternetSiteTitle>
    <b:Year>2023</b:Year>
    <b:Month>02</b:Month>
    <b:Day>28</b:Day>
    <b:URL>https://www.iso.org/home.html</b:URL>
    <b:RefOrder>14</b:RefOrder>
  </b:Source>
</b:Sources>
</file>

<file path=customXml/itemProps1.xml><?xml version="1.0" encoding="utf-8"?>
<ds:datastoreItem xmlns:ds="http://schemas.openxmlformats.org/officeDocument/2006/customXml" ds:itemID="{EB26A03B-41F9-418A-8971-65EF091A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2079</Words>
  <Characters>11438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ARLEX GERMAN ANGEL CORREDOR</dc:creator>
  <cp:keywords/>
  <dc:description/>
  <cp:lastModifiedBy>OLGA LUCIA CARREÑO LEON</cp:lastModifiedBy>
  <cp:revision>2</cp:revision>
  <dcterms:created xsi:type="dcterms:W3CDTF">2023-03-01T14:52:00Z</dcterms:created>
  <dcterms:modified xsi:type="dcterms:W3CDTF">2023-03-01T14:52:00Z</dcterms:modified>
</cp:coreProperties>
</file>