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E0" w:rsidRPr="001652E0" w:rsidRDefault="001652E0" w:rsidP="001652E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r w:rsidRPr="001652E0">
        <w:rPr>
          <w:position w:val="-7"/>
          <w:sz w:val="121"/>
        </w:rPr>
        <w:t>U</w:t>
      </w:r>
    </w:p>
    <w:p w:rsidR="00973B6F" w:rsidRDefault="001652E0" w:rsidP="001652E0">
      <w:r>
        <w:t>na de las consecuencias de</w:t>
      </w:r>
      <w:r w:rsidR="00962A13">
        <w:t xml:space="preserve"> </w:t>
      </w:r>
      <w:r>
        <w:t>l</w:t>
      </w:r>
      <w:r w:rsidR="00962A13">
        <w:t>a</w:t>
      </w:r>
      <w:r>
        <w:t xml:space="preserve"> </w:t>
      </w:r>
      <w:hyperlink r:id="rId9" w:history="1">
        <w:proofErr w:type="spellStart"/>
        <w:r w:rsidRPr="000526EA">
          <w:rPr>
            <w:rStyle w:val="Hipervnculo"/>
          </w:rPr>
          <w:t>Sarbanes-Oxley</w:t>
        </w:r>
        <w:proofErr w:type="spellEnd"/>
        <w:r w:rsidRPr="000526EA">
          <w:rPr>
            <w:rStyle w:val="Hipervnculo"/>
          </w:rPr>
          <w:t xml:space="preserve"> </w:t>
        </w:r>
        <w:proofErr w:type="spellStart"/>
        <w:r w:rsidRPr="000526EA">
          <w:rPr>
            <w:rStyle w:val="Hipervnculo"/>
          </w:rPr>
          <w:t>Act</w:t>
        </w:r>
        <w:proofErr w:type="spellEnd"/>
        <w:r w:rsidRPr="000526EA">
          <w:rPr>
            <w:rStyle w:val="Hipervnculo"/>
          </w:rPr>
          <w:t xml:space="preserve"> of 2002</w:t>
        </w:r>
      </w:hyperlink>
      <w:r w:rsidR="00B323ED">
        <w:t xml:space="preserve"> es que las normas de auditoría para las empresas públicas </w:t>
      </w:r>
      <w:r w:rsidR="00A41574">
        <w:t xml:space="preserve">inscritas en Estados Unidos de América </w:t>
      </w:r>
      <w:r w:rsidR="00B323ED">
        <w:t>son distintas de las aplicables a las empresas no emisoras.</w:t>
      </w:r>
      <w:r w:rsidR="000526EA">
        <w:t xml:space="preserve"> </w:t>
      </w:r>
      <w:r w:rsidR="00B2602C">
        <w:t xml:space="preserve">Las primeras son de competencia del </w:t>
      </w:r>
      <w:hyperlink r:id="rId10" w:history="1">
        <w:r w:rsidR="00B2602C" w:rsidRPr="00B2602C">
          <w:rPr>
            <w:rStyle w:val="Hipervnculo"/>
          </w:rPr>
          <w:t>PCAOB</w:t>
        </w:r>
      </w:hyperlink>
      <w:r w:rsidR="00B2602C">
        <w:t xml:space="preserve">, mientras las segundas son promulgadas por </w:t>
      </w:r>
      <w:hyperlink r:id="rId11" w:history="1">
        <w:r w:rsidR="00B2602C" w:rsidRPr="00B2602C">
          <w:rPr>
            <w:rStyle w:val="Hipervnculo"/>
          </w:rPr>
          <w:t>AICPA</w:t>
        </w:r>
      </w:hyperlink>
      <w:r w:rsidR="00B2602C">
        <w:t>.</w:t>
      </w:r>
    </w:p>
    <w:p w:rsidR="00561EDA" w:rsidRDefault="00561EDA" w:rsidP="001652E0">
      <w:r>
        <w:t xml:space="preserve">En la Unión Europea la legislación en materia de auditoría distingue las empresas de interés público de las que no lo son. A las primeras aplica </w:t>
      </w:r>
      <w:r w:rsidR="00A957C9">
        <w:t xml:space="preserve">el </w:t>
      </w:r>
      <w:hyperlink r:id="rId12" w:history="1">
        <w:r w:rsidR="00A957C9" w:rsidRPr="00A957C9">
          <w:rPr>
            <w:rStyle w:val="Hipervnculo"/>
          </w:rPr>
          <w:t>Reglamento (UE) n °537/2014 del Parlamento Europeo y del Consejo, de 16 de abril de 2014, sobre los requisitos específicos para la auditoría legal de las entidades de interés público y por el que se deroga la Decisión 2005/909/CE de la Comisión Texto pertinente a efectos del EEE</w:t>
        </w:r>
      </w:hyperlink>
      <w:r w:rsidR="00A957C9">
        <w:t>.</w:t>
      </w:r>
    </w:p>
    <w:p w:rsidR="0049110F" w:rsidRDefault="0049110F" w:rsidP="001652E0">
      <w:r>
        <w:t>La profesión contable europea da repetidas muestras de su apersonamiento sobre los asuntos de su interés.</w:t>
      </w:r>
      <w:r w:rsidR="00786C9B">
        <w:t xml:space="preserve"> Así, por ejemplo, recientemente ha </w:t>
      </w:r>
      <w:hyperlink r:id="rId13" w:history="1">
        <w:r w:rsidR="00786C9B" w:rsidRPr="00AE60BF">
          <w:rPr>
            <w:rStyle w:val="Hipervnculo"/>
          </w:rPr>
          <w:t>publicado</w:t>
        </w:r>
      </w:hyperlink>
      <w:r w:rsidR="00786C9B">
        <w:t xml:space="preserve"> el resultado de su investigación sobre la definición de entidades de interés público en los países europeos.</w:t>
      </w:r>
    </w:p>
    <w:p w:rsidR="001A6C5C" w:rsidRDefault="001A6C5C" w:rsidP="001652E0">
      <w:r>
        <w:t xml:space="preserve">En </w:t>
      </w:r>
      <w:hyperlink r:id="rId14" w:history="1">
        <w:r w:rsidRPr="00431031">
          <w:rPr>
            <w:rStyle w:val="Hipervnculo"/>
          </w:rPr>
          <w:t>Colombia</w:t>
        </w:r>
      </w:hyperlink>
      <w:r>
        <w:t xml:space="preserve"> el Decreto reglamentario 2784 de 2012</w:t>
      </w:r>
      <w:r w:rsidR="00431031">
        <w:t xml:space="preserve">, definió </w:t>
      </w:r>
      <w:r w:rsidR="00A94A26">
        <w:t xml:space="preserve">que “(…) </w:t>
      </w:r>
      <w:r w:rsidR="00A94A26" w:rsidRPr="00433163">
        <w:rPr>
          <w:i/>
        </w:rPr>
        <w:t>son entidades y negocios de interés público los que, previa autorización de la autoridad estatal competente, captan, manejan o administran recursos del público</w:t>
      </w:r>
      <w:r w:rsidR="00A94A26">
        <w:t xml:space="preserve"> (…)”.</w:t>
      </w:r>
    </w:p>
    <w:p w:rsidR="00D70AC6" w:rsidRDefault="00D70AC6" w:rsidP="00D70AC6">
      <w:r>
        <w:t>Los estándares internacionales de aseguramiento emitidos por la IAASB contienen pronunciamientos sobre las “</w:t>
      </w:r>
      <w:proofErr w:type="spellStart"/>
      <w:r w:rsidRPr="00D70AC6">
        <w:rPr>
          <w:i/>
        </w:rPr>
        <w:t>Smaller</w:t>
      </w:r>
      <w:proofErr w:type="spellEnd"/>
      <w:r w:rsidRPr="00D70AC6">
        <w:rPr>
          <w:i/>
        </w:rPr>
        <w:t xml:space="preserve"> </w:t>
      </w:r>
      <w:proofErr w:type="spellStart"/>
      <w:r w:rsidRPr="00D70AC6">
        <w:rPr>
          <w:i/>
        </w:rPr>
        <w:t>entity</w:t>
      </w:r>
      <w:proofErr w:type="spellEnd"/>
      <w:r>
        <w:t>”. Este enfoque</w:t>
      </w:r>
      <w:r w:rsidR="00CF3320">
        <w:t>,</w:t>
      </w:r>
      <w:r>
        <w:t xml:space="preserve"> basado en la complejidad</w:t>
      </w:r>
      <w:r w:rsidR="00CF3320">
        <w:t>,</w:t>
      </w:r>
      <w:r>
        <w:t xml:space="preserve"> es diferente del adoptado en </w:t>
      </w:r>
      <w:r>
        <w:lastRenderedPageBreak/>
        <w:t>Estados Unidos y en Europa (los principales mercados de capitales del mundo).</w:t>
      </w:r>
    </w:p>
    <w:p w:rsidR="00C10B03" w:rsidRDefault="00C10B03" w:rsidP="00C10B03">
      <w:r>
        <w:t>IFAC ha defendido la unidad y unicidad de sus normas de auditoría. Nosotros no conocemos ningún estudio del CTCP sobre esta cuestión.</w:t>
      </w:r>
    </w:p>
    <w:p w:rsidR="00350ECB" w:rsidRDefault="00A107FA" w:rsidP="00A107FA">
      <w:r>
        <w:t xml:space="preserve">En </w:t>
      </w:r>
      <w:hyperlink r:id="rId15" w:history="1">
        <w:r w:rsidRPr="00F62764">
          <w:rPr>
            <w:rStyle w:val="Hipervnculo"/>
          </w:rPr>
          <w:t>Colombia</w:t>
        </w:r>
      </w:hyperlink>
      <w:r>
        <w:t xml:space="preserve"> “(…) </w:t>
      </w:r>
      <w:r w:rsidRPr="00F6704D">
        <w:rPr>
          <w:i/>
        </w:rPr>
        <w:t>El CTCP, propone que los contadores públicos y las firmas de contadores públicos que presten servicios de aseguramiento para las entidades del grupo 1 y las del grupo 2 apliquen los Estándares Internacionales de Auditoría y Aseguramiento de la Información  y las Normas de Control de Calidad (los  emitidos por el IAASB) y el Código de Ética para Profesionales de Contabilidad (el emitido por el IESBA) sin modificaciones, manteniendo su contenido original sin adaptaciones, desviaciones, adiciones, ni excepciones técnicas</w:t>
      </w:r>
      <w:r>
        <w:t xml:space="preserve"> (…)”</w:t>
      </w:r>
    </w:p>
    <w:p w:rsidR="00E76569" w:rsidRDefault="00E76569" w:rsidP="00A107FA">
      <w:r>
        <w:t xml:space="preserve">Como se sabe, en la Unión Europea se </w:t>
      </w:r>
      <w:hyperlink r:id="rId16" w:history="1">
        <w:r w:rsidRPr="005532F2">
          <w:rPr>
            <w:rStyle w:val="Hipervnculo"/>
          </w:rPr>
          <w:t>eliminó</w:t>
        </w:r>
      </w:hyperlink>
      <w:r>
        <w:t xml:space="preserve"> la obligación de muchas pequeñas compañías de someter sus estados financieros al dictamen de un auditor.</w:t>
      </w:r>
      <w:r w:rsidR="006A277F">
        <w:t xml:space="preserve"> En la actualidad la profesión contable europea se </w:t>
      </w:r>
      <w:hyperlink r:id="rId17" w:history="1">
        <w:r w:rsidR="006A277F" w:rsidRPr="00C3392E">
          <w:rPr>
            <w:rStyle w:val="Hipervnculo"/>
          </w:rPr>
          <w:t>prepara</w:t>
        </w:r>
      </w:hyperlink>
      <w:r w:rsidR="006A277F">
        <w:t xml:space="preserve"> para adaptarse a este cambio.</w:t>
      </w:r>
    </w:p>
    <w:p w:rsidR="00CF3320" w:rsidRDefault="005F01B0" w:rsidP="00A107FA">
      <w:r>
        <w:t>En Colombia l</w:t>
      </w:r>
      <w:r w:rsidR="00564C7F">
        <w:t xml:space="preserve">a intervención necesaria de los contadores públicos es el resultado, de un lado, de la exigencia de tener revisor fiscal y, de otro, de lo dispuesto en el </w:t>
      </w:r>
      <w:r w:rsidR="00A730F9">
        <w:t xml:space="preserve">artículo 13 de la </w:t>
      </w:r>
      <w:hyperlink r:id="rId18" w:history="1">
        <w:r w:rsidR="00A730F9" w:rsidRPr="00A730F9">
          <w:rPr>
            <w:rStyle w:val="Hipervnculo"/>
          </w:rPr>
          <w:t>Ley 43 de 1990</w:t>
        </w:r>
      </w:hyperlink>
      <w:r w:rsidR="00A730F9">
        <w:t>.</w:t>
      </w:r>
      <w:r w:rsidR="000A3BF4">
        <w:t xml:space="preserve"> </w:t>
      </w:r>
      <w:r w:rsidR="00170D91">
        <w:t xml:space="preserve">Uno de los grandes debates que está por darse en el País, es </w:t>
      </w:r>
      <w:r w:rsidR="00407E03">
        <w:t>cuáles</w:t>
      </w:r>
      <w:r w:rsidR="00170D91">
        <w:t xml:space="preserve"> </w:t>
      </w:r>
      <w:bookmarkStart w:id="0" w:name="_GoBack"/>
      <w:r w:rsidR="00170D91">
        <w:t>empresas deberían estar obligadas a someter sus estados financie</w:t>
      </w:r>
      <w:r w:rsidR="000A3BF4">
        <w:t>ros a auditoría</w:t>
      </w:r>
      <w:bookmarkEnd w:id="0"/>
      <w:r w:rsidR="000A3BF4">
        <w:t>.</w:t>
      </w:r>
    </w:p>
    <w:p w:rsidR="000A3BF4" w:rsidRPr="000A3BF4" w:rsidRDefault="000A3BF4" w:rsidP="000A3BF4">
      <w:pPr>
        <w:jc w:val="right"/>
        <w:rPr>
          <w:i/>
        </w:rPr>
      </w:pPr>
      <w:r w:rsidRPr="000A3BF4">
        <w:rPr>
          <w:i/>
        </w:rPr>
        <w:t>Hernando Bermúdez Gómez</w:t>
      </w:r>
    </w:p>
    <w:sectPr w:rsidR="000A3BF4" w:rsidRPr="000A3BF4" w:rsidSect="007F1D21">
      <w:headerReference w:type="default" r:id="rId19"/>
      <w:footerReference w:type="default" r:id="rId2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F65" w:rsidRDefault="00DF4F65" w:rsidP="00EE7812">
      <w:pPr>
        <w:spacing w:after="0" w:line="240" w:lineRule="auto"/>
      </w:pPr>
      <w:r>
        <w:separator/>
      </w:r>
    </w:p>
  </w:endnote>
  <w:endnote w:type="continuationSeparator" w:id="0">
    <w:p w:rsidR="00DF4F65" w:rsidRDefault="00DF4F6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F65" w:rsidRDefault="00DF4F65" w:rsidP="00EE7812">
      <w:pPr>
        <w:spacing w:after="0" w:line="240" w:lineRule="auto"/>
      </w:pPr>
      <w:r>
        <w:separator/>
      </w:r>
    </w:p>
  </w:footnote>
  <w:footnote w:type="continuationSeparator" w:id="0">
    <w:p w:rsidR="00DF4F65" w:rsidRDefault="00DF4F6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810C9E">
      <w:t>1009</w:t>
    </w:r>
    <w:r w:rsidR="00667D4D">
      <w:t>,</w:t>
    </w:r>
    <w:r w:rsidR="009D09BB">
      <w:t xml:space="preserve"> </w:t>
    </w:r>
    <w:r w:rsidR="00886E5F">
      <w:t>octubre</w:t>
    </w:r>
    <w:r w:rsidR="007E2BC9">
      <w:t xml:space="preserve"> </w:t>
    </w:r>
    <w:r w:rsidR="00810C9E">
      <w:t>20</w:t>
    </w:r>
    <w:r w:rsidR="007E2BC9">
      <w:t xml:space="preserve"> de 2014</w:t>
    </w:r>
  </w:p>
  <w:p w:rsidR="0046164F" w:rsidRDefault="00DF4F6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6EA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BF4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6EF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69D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2E0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91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6C5C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4792C"/>
    <w:rsid w:val="0035021B"/>
    <w:rsid w:val="00350239"/>
    <w:rsid w:val="003509D0"/>
    <w:rsid w:val="00350CEB"/>
    <w:rsid w:val="00350D42"/>
    <w:rsid w:val="00350ECB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E03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031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163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8CC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10F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92F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2F2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1EDA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4C7F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1B0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48A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160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77F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6C9B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756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C9E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6E5F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A13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9C7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7FA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2F89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574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0F9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26"/>
    <w:rsid w:val="00A94A9D"/>
    <w:rsid w:val="00A94D42"/>
    <w:rsid w:val="00A95057"/>
    <w:rsid w:val="00A95162"/>
    <w:rsid w:val="00A956DF"/>
    <w:rsid w:val="00A957C9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0BF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02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3ED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03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92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32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69E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0AC6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65"/>
    <w:rsid w:val="00DF4F96"/>
    <w:rsid w:val="00DF562B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569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CE3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764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04D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2FF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726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.be/images/publications/auditing/PIE_definition_survey_outcome_141008.pdf" TargetMode="External"/><Relationship Id="rId18" Type="http://schemas.openxmlformats.org/officeDocument/2006/relationships/hyperlink" Target="http://www.javeriana.edu.co/personales/hbermude/leycontable/contadores/1990-ley-4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eur-lex.europa.eu/legal-content/ES/TXT/?uri=CELEX:32014R0537" TargetMode="External"/><Relationship Id="rId17" Type="http://schemas.openxmlformats.org/officeDocument/2006/relationships/hyperlink" Target="http://economia.icaew.com/news/october-2014/accountants-must-be-smart-to-survi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LexUriServ/LexUriServ.do?uri=OJ:L:2013:182:0019:0076:Es: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cpa.org/Research/Standards/AuditAttest/Pages/audit%20and%20attest%20standards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tcp.gov.co/documentos2.php" TargetMode="External"/><Relationship Id="rId10" Type="http://schemas.openxmlformats.org/officeDocument/2006/relationships/hyperlink" Target="http://pcaobus.org/Standards/Pages/default.aspx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caobus.org/About/History/Documents/PDFs/Sarbanes_Oxley_Act_of_2002.pdf" TargetMode="External"/><Relationship Id="rId14" Type="http://schemas.openxmlformats.org/officeDocument/2006/relationships/hyperlink" Target="http://www.mincit.gov.co/publicaciones.php?id=649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3240AD88-A227-4486-985E-B3DFC84B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2014-10-16T01:34:00Z</dcterms:created>
  <dcterms:modified xsi:type="dcterms:W3CDTF">2014-10-16T01:34:00Z</dcterms:modified>
</cp:coreProperties>
</file>