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57" w:rsidRPr="00265157" w:rsidRDefault="00265157" w:rsidP="0026515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265157">
        <w:rPr>
          <w:position w:val="-8"/>
          <w:sz w:val="123"/>
        </w:rPr>
        <w:t>P</w:t>
      </w:r>
    </w:p>
    <w:p w:rsidR="00973B6F" w:rsidRDefault="00E04819" w:rsidP="004B3E22">
      <w:r>
        <w:t xml:space="preserve">alos de ciego dieron las autoridades regulatorias al expedir las normas aplicables a la transición entre las normas </w:t>
      </w:r>
      <w:r w:rsidR="00265157">
        <w:t xml:space="preserve">expedidas antes y después de la </w:t>
      </w:r>
      <w:hyperlink r:id="rId9" w:history="1">
        <w:r w:rsidR="00265157" w:rsidRPr="00B0779F">
          <w:rPr>
            <w:rStyle w:val="Hipervnculo"/>
          </w:rPr>
          <w:t>Ley 1314 de 2009</w:t>
        </w:r>
      </w:hyperlink>
      <w:r w:rsidR="00265157">
        <w:t>.</w:t>
      </w:r>
    </w:p>
    <w:p w:rsidR="00B0779F" w:rsidRDefault="00B0779F" w:rsidP="004B3E22">
      <w:r>
        <w:t>Uno de ellos es su reiterada manifestación sobre la información preparada</w:t>
      </w:r>
      <w:r w:rsidR="00084BB8">
        <w:t xml:space="preserve"> antes de la fecha de aplicación </w:t>
      </w:r>
      <w:r w:rsidR="00BD464C">
        <w:t xml:space="preserve">según la cual ella </w:t>
      </w:r>
      <w:r w:rsidR="00084BB8">
        <w:t xml:space="preserve">no “(…) </w:t>
      </w:r>
      <w:r w:rsidR="00084BB8" w:rsidRPr="00084BB8">
        <w:rPr>
          <w:i/>
        </w:rPr>
        <w:t>tendrá efectos legales en dicho momento</w:t>
      </w:r>
      <w:r w:rsidR="00084BB8">
        <w:t xml:space="preserve"> (…)”</w:t>
      </w:r>
      <w:r w:rsidR="00ED3212">
        <w:t xml:space="preserve">. Simultáneamente señalaron que la información preparada con base en las normas anteriores a las nuevas reglas se llevará para “(…) </w:t>
      </w:r>
      <w:r w:rsidR="00ED3212" w:rsidRPr="00ED3212">
        <w:rPr>
          <w:i/>
        </w:rPr>
        <w:t>todos los efectos legales</w:t>
      </w:r>
      <w:r w:rsidR="00ED3212" w:rsidRPr="00ED3212">
        <w:t xml:space="preserve"> </w:t>
      </w:r>
      <w:r w:rsidR="00ED3212">
        <w:t>(…)”</w:t>
      </w:r>
      <w:r w:rsidR="005379ED">
        <w:t xml:space="preserve"> – </w:t>
      </w:r>
      <w:r w:rsidR="003F103C">
        <w:t xml:space="preserve">artículo 3° del </w:t>
      </w:r>
      <w:hyperlink r:id="rId10" w:history="1">
        <w:r w:rsidR="003F103C" w:rsidRPr="003D21EF">
          <w:rPr>
            <w:rStyle w:val="Hipervnculo"/>
          </w:rPr>
          <w:t>Decreto reglamentario 2706 de 2012</w:t>
        </w:r>
      </w:hyperlink>
      <w:r w:rsidR="003F103C">
        <w:t xml:space="preserve">, </w:t>
      </w:r>
      <w:r w:rsidR="005379ED">
        <w:t xml:space="preserve">artículo 3° del </w:t>
      </w:r>
      <w:hyperlink r:id="rId11" w:history="1">
        <w:r w:rsidR="005379ED" w:rsidRPr="008060C3">
          <w:rPr>
            <w:rStyle w:val="Hipervnculo"/>
          </w:rPr>
          <w:t>Decreto reglamentario 2784 de 2012</w:t>
        </w:r>
      </w:hyperlink>
      <w:r w:rsidR="005379ED">
        <w:t xml:space="preserve">, </w:t>
      </w:r>
      <w:r w:rsidR="005106A4">
        <w:t xml:space="preserve">artículo 3° del </w:t>
      </w:r>
      <w:hyperlink r:id="rId12" w:history="1">
        <w:r w:rsidR="005106A4" w:rsidRPr="00EB05C1">
          <w:rPr>
            <w:rStyle w:val="Hipervnculo"/>
          </w:rPr>
          <w:t>Decreto Reglamentario 3022 de 2013</w:t>
        </w:r>
      </w:hyperlink>
      <w:r w:rsidR="00EB05C1">
        <w:t>.</w:t>
      </w:r>
    </w:p>
    <w:p w:rsidR="006C55D0" w:rsidRDefault="006C55D0" w:rsidP="004B3E22">
      <w:r>
        <w:t>Tan claro es que la información preparada antes de la fecha de aplicación si tiene efectos legales</w:t>
      </w:r>
      <w:r w:rsidR="00F44439">
        <w:t>, que las mismas disposiciones establecen que ella podrá ser objeto de requerimientos por parte de los supervisores</w:t>
      </w:r>
      <w:r w:rsidR="00440EE0">
        <w:t xml:space="preserve">, en forma tal que </w:t>
      </w:r>
      <w:r w:rsidR="006B4A04">
        <w:t xml:space="preserve">“(…) </w:t>
      </w:r>
      <w:r w:rsidR="00440EE0" w:rsidRPr="00535B7D">
        <w:rPr>
          <w:i/>
        </w:rPr>
        <w:t xml:space="preserve">la información </w:t>
      </w:r>
      <w:r w:rsidR="006B4A04" w:rsidRPr="00535B7D">
        <w:rPr>
          <w:i/>
        </w:rPr>
        <w:t>solicitada debe ser suministrada con todos los efectos legales que esto implica</w:t>
      </w:r>
      <w:r w:rsidR="006B4A04">
        <w:t xml:space="preserve"> (…)”</w:t>
      </w:r>
      <w:r w:rsidR="003A0961">
        <w:t>.</w:t>
      </w:r>
    </w:p>
    <w:p w:rsidR="00CF1532" w:rsidRDefault="00CF1532" w:rsidP="004B3E22">
      <w:r>
        <w:t xml:space="preserve">Ahora bien, toda información contable debe estar asentada en libros. Esto es una característica propia, connatural, de </w:t>
      </w:r>
      <w:r w:rsidR="00A63E6F">
        <w:t>tal tipo de información</w:t>
      </w:r>
      <w:r>
        <w:t>.</w:t>
      </w:r>
      <w:r w:rsidR="0015053B">
        <w:t xml:space="preserve"> Así las cosas, razón tiene</w:t>
      </w:r>
      <w:r w:rsidR="00CD197C">
        <w:t xml:space="preserve"> Samuel Alberto Mantilla cuando </w:t>
      </w:r>
      <w:hyperlink r:id="rId13" w:anchor="!SOFTWARE-IFRSNIIF/c128g/CCDB34BC-7E4D-4827-A8A4-246EAD4AC855" w:history="1">
        <w:r w:rsidR="00CD197C" w:rsidRPr="00D0734C">
          <w:rPr>
            <w:rStyle w:val="Hipervnculo"/>
          </w:rPr>
          <w:t>manifiesta</w:t>
        </w:r>
      </w:hyperlink>
      <w:r w:rsidR="00CD197C">
        <w:t xml:space="preserve">: “(…) </w:t>
      </w:r>
      <w:r w:rsidR="00CD197C" w:rsidRPr="00CD197C">
        <w:t>¿Su software de contabilidad lleva un solo libro de contabilidad o lleva tres? Si le dicen que solo uno, le están echando cuentos porque, dado que hay tres bases de contabilidad difere</w:t>
      </w:r>
      <w:r w:rsidR="00CD197C">
        <w:t>ntes, se necesitan tres libros. (…)”</w:t>
      </w:r>
      <w:r w:rsidR="00D0734C">
        <w:t>.</w:t>
      </w:r>
    </w:p>
    <w:p w:rsidR="006A5F61" w:rsidRDefault="006A5F61" w:rsidP="004B3E22">
      <w:r>
        <w:lastRenderedPageBreak/>
        <w:t>Obviamente, los libros en que se asiente la información contable preparada bajo las nuevas normas, sirven de prueba ante las autoridades de supervisión.</w:t>
      </w:r>
    </w:p>
    <w:p w:rsidR="00963CB3" w:rsidRDefault="00B60544" w:rsidP="004B3E22">
      <w:r>
        <w:t>E</w:t>
      </w:r>
      <w:r w:rsidR="00963CB3">
        <w:t xml:space="preserve">stos registros son los que deben ser examinados por los revisores para fundamentar informes como el exigido por </w:t>
      </w:r>
      <w:r w:rsidR="00367849">
        <w:t xml:space="preserve">la </w:t>
      </w:r>
      <w:hyperlink r:id="rId14" w:history="1">
        <w:r w:rsidR="00367849" w:rsidRPr="00B60544">
          <w:rPr>
            <w:rStyle w:val="Hipervnculo"/>
          </w:rPr>
          <w:t>Circular Externa 13 de 2014</w:t>
        </w:r>
      </w:hyperlink>
      <w:r w:rsidR="00367849">
        <w:t>, expedida por la Superintendencia Financiera de Colombia.</w:t>
      </w:r>
      <w:r>
        <w:t xml:space="preserve"> Así las cosas, dada la existencia de los libros a los que nos venimos refiriendo, los revisores no tendrán que incluir en sus papeles de trabajo una reproducción completa de los </w:t>
      </w:r>
      <w:r w:rsidR="004246C9">
        <w:t>datos</w:t>
      </w:r>
      <w:r>
        <w:t xml:space="preserve"> examinados</w:t>
      </w:r>
      <w:r w:rsidR="00744E04">
        <w:t xml:space="preserve">, como tendrían que hacerlo si </w:t>
      </w:r>
      <w:r w:rsidR="00CA60BD">
        <w:t>dichos libros</w:t>
      </w:r>
      <w:r w:rsidR="002D224F">
        <w:t xml:space="preserve"> </w:t>
      </w:r>
      <w:r w:rsidR="00744E04">
        <w:t>no existieran.</w:t>
      </w:r>
    </w:p>
    <w:p w:rsidR="006A5F61" w:rsidRDefault="006A5F61" w:rsidP="004B3E22">
      <w:r>
        <w:t>Consecuentemente,</w:t>
      </w:r>
      <w:r w:rsidR="003F7E1A">
        <w:t xml:space="preserve"> llegada la fecha de aplicación, las entidades no tendrán que volver a registrar la aludida información.</w:t>
      </w:r>
      <w:r w:rsidR="00CC4EC2">
        <w:t xml:space="preserve"> Simplemente en ese momento </w:t>
      </w:r>
      <w:r w:rsidR="00766D84">
        <w:t>tales</w:t>
      </w:r>
      <w:r w:rsidR="00CC4EC2">
        <w:t xml:space="preserve"> libros cobrarán efectos plenos.</w:t>
      </w:r>
    </w:p>
    <w:p w:rsidR="00A6592A" w:rsidRDefault="00CC35E9" w:rsidP="004B3E22">
      <w:r>
        <w:t xml:space="preserve">Durante el </w:t>
      </w:r>
      <w:bookmarkStart w:id="0" w:name="_GoBack"/>
      <w:r>
        <w:t>período de transición</w:t>
      </w:r>
      <w:bookmarkEnd w:id="0"/>
      <w:r>
        <w:t xml:space="preserve">, las </w:t>
      </w:r>
      <w:r w:rsidR="00B86D17">
        <w:t>normas</w:t>
      </w:r>
      <w:r>
        <w:t xml:space="preserve"> sobre registros y libros previstas en el </w:t>
      </w:r>
      <w:hyperlink r:id="rId15" w:history="1">
        <w:r w:rsidRPr="00CC35E9">
          <w:rPr>
            <w:rStyle w:val="Hipervnculo"/>
          </w:rPr>
          <w:t>Decreto Reglamentario 2649 de 1993</w:t>
        </w:r>
      </w:hyperlink>
      <w:r>
        <w:t xml:space="preserve">, modificadas por disposiciones posteriores como el </w:t>
      </w:r>
      <w:hyperlink r:id="rId16" w:history="1">
        <w:r w:rsidRPr="00CC35E9">
          <w:rPr>
            <w:rStyle w:val="Hipervnculo"/>
          </w:rPr>
          <w:t xml:space="preserve">Decreto Extraordinario </w:t>
        </w:r>
        <w:r w:rsidR="00F00B71">
          <w:rPr>
            <w:rStyle w:val="Hipervnculo"/>
          </w:rPr>
          <w:t xml:space="preserve">019 </w:t>
        </w:r>
        <w:r w:rsidRPr="00CC35E9">
          <w:rPr>
            <w:rStyle w:val="Hipervnculo"/>
          </w:rPr>
          <w:t>de 2012</w:t>
        </w:r>
      </w:hyperlink>
      <w:r>
        <w:t xml:space="preserve">, </w:t>
      </w:r>
      <w:r w:rsidR="001904FB">
        <w:t>son</w:t>
      </w:r>
      <w:r w:rsidR="00A36C87">
        <w:t xml:space="preserve"> aplicables al libro o libros que se lleven para registrar la información p</w:t>
      </w:r>
      <w:r w:rsidR="00324BC0">
        <w:t xml:space="preserve">reparada bajo las nuevas reglas, puesto que estas normas solo dejarán de </w:t>
      </w:r>
      <w:r w:rsidR="008471B0">
        <w:t>regir en la fecha de aplicación (esperamos que, como debiera ser, para entonces las autoridades reguladoras hayan expedido nuevas reglas en reemplazo de éstas).</w:t>
      </w:r>
    </w:p>
    <w:p w:rsidR="00DE3C4D" w:rsidRDefault="00DE3C4D" w:rsidP="004B3E22">
      <w:r>
        <w:t>De ninguna manera la modernización contable es</w:t>
      </w:r>
      <w:r w:rsidR="00B86D17">
        <w:t>, ni debe ser,</w:t>
      </w:r>
      <w:r>
        <w:t xml:space="preserve"> un salto al vacío.</w:t>
      </w:r>
    </w:p>
    <w:p w:rsidR="00DE3C4D" w:rsidRPr="00DE3C4D" w:rsidRDefault="00DE3C4D" w:rsidP="00DE3C4D">
      <w:pPr>
        <w:jc w:val="right"/>
        <w:rPr>
          <w:i/>
        </w:rPr>
      </w:pPr>
      <w:r w:rsidRPr="00DE3C4D">
        <w:rPr>
          <w:i/>
        </w:rPr>
        <w:t>Hernando Bermúdez Gómez</w:t>
      </w:r>
    </w:p>
    <w:sectPr w:rsidR="00DE3C4D" w:rsidRPr="00DE3C4D" w:rsidSect="007F1D21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E4" w:rsidRDefault="00CA76E4" w:rsidP="00EE7812">
      <w:pPr>
        <w:spacing w:after="0" w:line="240" w:lineRule="auto"/>
      </w:pPr>
      <w:r>
        <w:separator/>
      </w:r>
    </w:p>
  </w:endnote>
  <w:endnote w:type="continuationSeparator" w:id="0">
    <w:p w:rsidR="00CA76E4" w:rsidRDefault="00CA76E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E4" w:rsidRDefault="00CA76E4" w:rsidP="00EE7812">
      <w:pPr>
        <w:spacing w:after="0" w:line="240" w:lineRule="auto"/>
      </w:pPr>
      <w:r>
        <w:separator/>
      </w:r>
    </w:p>
  </w:footnote>
  <w:footnote w:type="continuationSeparator" w:id="0">
    <w:p w:rsidR="00CA76E4" w:rsidRDefault="00CA76E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AF751D">
      <w:t>1010</w:t>
    </w:r>
    <w:r w:rsidR="00667D4D">
      <w:t>,</w:t>
    </w:r>
    <w:r w:rsidR="009D09BB">
      <w:t xml:space="preserve"> </w:t>
    </w:r>
    <w:r w:rsidR="00752D36">
      <w:t>octubre</w:t>
    </w:r>
    <w:r w:rsidR="007E2BC9">
      <w:t xml:space="preserve"> </w:t>
    </w:r>
    <w:r w:rsidR="00AF751D">
      <w:t>20</w:t>
    </w:r>
    <w:r w:rsidR="007E2BC9">
      <w:t xml:space="preserve"> de 2014</w:t>
    </w:r>
  </w:p>
  <w:p w:rsidR="0046164F" w:rsidRDefault="00CA76E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BB8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59E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BF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53B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4FB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767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55E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4E93"/>
    <w:rsid w:val="00265125"/>
    <w:rsid w:val="00265157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4F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BC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49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961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1EF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03C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3F7E1A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6C9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E0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A4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7D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379ED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4F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44E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1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0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5D0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4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D36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D84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0C3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1B0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CB3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05A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6C87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E6F"/>
    <w:rsid w:val="00A63F37"/>
    <w:rsid w:val="00A63F96"/>
    <w:rsid w:val="00A64129"/>
    <w:rsid w:val="00A643B4"/>
    <w:rsid w:val="00A64967"/>
    <w:rsid w:val="00A64A57"/>
    <w:rsid w:val="00A64CF6"/>
    <w:rsid w:val="00A64F41"/>
    <w:rsid w:val="00A6592A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AF751D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79F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544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D17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4C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0BD"/>
    <w:rsid w:val="00CA6D29"/>
    <w:rsid w:val="00CA71EE"/>
    <w:rsid w:val="00CA755E"/>
    <w:rsid w:val="00CA76E4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5E9"/>
    <w:rsid w:val="00CC3616"/>
    <w:rsid w:val="00CC383F"/>
    <w:rsid w:val="00CC3E42"/>
    <w:rsid w:val="00CC4042"/>
    <w:rsid w:val="00CC4275"/>
    <w:rsid w:val="00CC48AC"/>
    <w:rsid w:val="00CC4CA5"/>
    <w:rsid w:val="00CC4DDA"/>
    <w:rsid w:val="00CC4EC2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97C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532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34C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0A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3C4D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819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5C1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212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B71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439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amantilla1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cit.gov.co/descargar.php?id=6928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javeriana.edu.co/personales/hbermude/leycontable/contadores/2012-decreto-19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cit.gov.co/descargar.php?id=666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averiana.edu.co/personales/hbermude/leycontable/contadores/1993-decreto-2649.doc" TargetMode="External"/><Relationship Id="rId10" Type="http://schemas.openxmlformats.org/officeDocument/2006/relationships/hyperlink" Target="http://www.mincit.gov.co/descargar.php?id=6667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hyperlink" Target="https://www.superfinanciera.gov.co/descargas?com=institucional&amp;name=pubFile1008385&amp;downloadname=ce013_1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72EB35C5-3F3A-46DA-AB1F-07374024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2014-10-16T01:38:00Z</dcterms:created>
  <dcterms:modified xsi:type="dcterms:W3CDTF">2014-10-16T01:38:00Z</dcterms:modified>
</cp:coreProperties>
</file>