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85" w:rsidRPr="00A73C85" w:rsidRDefault="00A73C85" w:rsidP="00A73C8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73C85">
        <w:rPr>
          <w:position w:val="-9"/>
          <w:sz w:val="123"/>
        </w:rPr>
        <w:t>L</w:t>
      </w:r>
    </w:p>
    <w:p w:rsidR="00EE6BC1" w:rsidRDefault="00A73C85" w:rsidP="003A54B0">
      <w:r>
        <w:t>as normas legales colombianas consagran diversos sistemas de responsabilidad, cuya concurrencia, especialmente en materia de sanciones contravencionales y disciplinarias, hemos censurado en el pasado.</w:t>
      </w:r>
      <w:r w:rsidR="003A54B0">
        <w:t xml:space="preserve"> </w:t>
      </w:r>
    </w:p>
    <w:p w:rsidR="003A54B0" w:rsidRDefault="003A54B0" w:rsidP="003A54B0">
      <w:r>
        <w:t>Las sanciones tributarias impuestas a un contribuyente pueden considerarse como un daño a la luz de la responsabilidad civil.</w:t>
      </w:r>
    </w:p>
    <w:p w:rsidR="00E04CE0" w:rsidRDefault="00A73C85" w:rsidP="004B3E22">
      <w:r>
        <w:t xml:space="preserve">Una de las mayores preocupaciones de los contadores en todo el mundo tiene que ver con </w:t>
      </w:r>
      <w:r w:rsidR="00D935EE">
        <w:t>dicha</w:t>
      </w:r>
      <w:r>
        <w:t xml:space="preserve"> responsabilidad civil (mejor llamada patrimonial). En el pasado hemos reseñado los logros alcanzados por dichos profesionales, materializados en legi</w:t>
      </w:r>
      <w:r w:rsidR="00A37700">
        <w:t>slaciones que consagran límites, como la del Reino Unido, o en la adopción de políticas recomendando adoptar limitaciones, como es el caso de la Unión Europea.</w:t>
      </w:r>
      <w:r w:rsidR="00805925">
        <w:t xml:space="preserve"> </w:t>
      </w:r>
      <w:r w:rsidR="00B16DB4">
        <w:t>En Colombia muchas normas reiteran la responsabilidad civil de los contadores públicos, dejando a las leyes generales (principalmente previstas en el Código Civil) su determinación y exigencia.</w:t>
      </w:r>
      <w:r w:rsidR="008807E9">
        <w:t xml:space="preserve"> Los proyectos de ley dirigidos a adoptar limitaciones en materia de responsabilidad civil, buscando así la reforma de las leyes generales, no han prosperado.</w:t>
      </w:r>
    </w:p>
    <w:p w:rsidR="00A002A8" w:rsidRDefault="00D86E09" w:rsidP="004B3E22">
      <w:r>
        <w:t xml:space="preserve">Cuando un contador público, con intención o por descuido, no prepara oportunamente una declaración tributaria, o la firma extemporáneamente, </w:t>
      </w:r>
      <w:r w:rsidR="00DD6876">
        <w:t>puede causar un daño a su cliente</w:t>
      </w:r>
      <w:r w:rsidR="00ED6DAD">
        <w:t xml:space="preserve"> (sanciones por extemporaneidad)</w:t>
      </w:r>
      <w:r w:rsidR="00DD6876">
        <w:t xml:space="preserve">, </w:t>
      </w:r>
      <w:r w:rsidR="00A002A8">
        <w:t>lo cual</w:t>
      </w:r>
      <w:r w:rsidR="00DD6876">
        <w:t xml:space="preserve"> podría originar</w:t>
      </w:r>
      <w:r w:rsidR="00A002A8">
        <w:t>le</w:t>
      </w:r>
      <w:r w:rsidR="00DD6876">
        <w:t xml:space="preserve"> una responsabilidad civil. Cuando un contador prepara equivocadamente una declaración, con intención o por descuido, </w:t>
      </w:r>
      <w:r w:rsidR="00A002A8">
        <w:lastRenderedPageBreak/>
        <w:t>también origina un daño, que igualmente podría generarle una responsabilidad civil.</w:t>
      </w:r>
      <w:r w:rsidR="00805925">
        <w:t xml:space="preserve"> </w:t>
      </w:r>
      <w:r w:rsidR="00A002A8">
        <w:t>Los clientes afectados por los actos de los contadores pueden demandar las consecuentes indemnizaciones.</w:t>
      </w:r>
    </w:p>
    <w:p w:rsidR="00207B5D" w:rsidRDefault="002575A5" w:rsidP="004B3E22">
      <w:r>
        <w:t xml:space="preserve">En muchos casos se preguntará si también puede considerarse como autor del daño a </w:t>
      </w:r>
      <w:r w:rsidR="000403E7">
        <w:t>la</w:t>
      </w:r>
      <w:r>
        <w:t xml:space="preserve"> persona que, actuando como representante legal o delegado de éste, haya firmado las declaraciones extemporáneas o mal elaboradas.</w:t>
      </w:r>
      <w:r w:rsidR="00207B5D">
        <w:t xml:space="preserve"> Así puede ser, más habrá de considerarse que la preparación profesional de estos puede no implicar un grado de conocimiento como para advertir una mala elaboración de una declaración.</w:t>
      </w:r>
      <w:r w:rsidR="00E04CE0">
        <w:t xml:space="preserve"> </w:t>
      </w:r>
      <w:r w:rsidR="00207B5D">
        <w:t xml:space="preserve">Si se concluye que varias personas </w:t>
      </w:r>
      <w:r w:rsidR="00A27EBF">
        <w:t>son causante</w:t>
      </w:r>
      <w:r w:rsidR="00445960">
        <w:t>s</w:t>
      </w:r>
      <w:r w:rsidR="00A27EBF">
        <w:t xml:space="preserve"> del daño </w:t>
      </w:r>
      <w:r w:rsidR="00207B5D">
        <w:t>(el representante o su delegado</w:t>
      </w:r>
      <w:r w:rsidR="00A27EBF">
        <w:t xml:space="preserve">,  </w:t>
      </w:r>
      <w:r w:rsidR="00205E8B">
        <w:t>el contador responsable de la elaboración de las declaraciones y, eventualmente, el revisor fiscal que no hubiere denunciado la extemporaneidad o la equivocada elaboración</w:t>
      </w:r>
      <w:r w:rsidR="00A27EBF">
        <w:t>)</w:t>
      </w:r>
      <w:r w:rsidR="00205E8B">
        <w:t>, el cliente podrá reclamar l</w:t>
      </w:r>
      <w:r w:rsidR="00DB59F1">
        <w:t>a indemnización de todos ellos. La sentencia del proceso respectivo resolverá si la responsabilidad debe asumirse en forma solidaria o conjunta, según lo que se haya acreditado en el litigio.</w:t>
      </w:r>
    </w:p>
    <w:p w:rsidR="001B2F85" w:rsidRDefault="001B2F85" w:rsidP="004B3E22">
      <w:r>
        <w:t xml:space="preserve">La responsabilidad civil que puede resultar en los casos descritos, no puede confundirse con la responsabilidad contravencional en materia tributaria prevista en </w:t>
      </w:r>
      <w:r w:rsidR="00FD6B12">
        <w:t>el título III del Estatuto Tributario</w:t>
      </w:r>
      <w:r w:rsidR="007C085C">
        <w:t>. Así las cosas, nos parece inadecuada la respuesta del Consejo Técnico de la Contaduría Pública, consignada en el oficio de 9 de octubre de 2014 mediante el cual atendió la radicación 2014-</w:t>
      </w:r>
      <w:hyperlink r:id="rId9" w:history="1">
        <w:r w:rsidR="007C085C" w:rsidRPr="00805925">
          <w:rPr>
            <w:rStyle w:val="Hipervnculo"/>
          </w:rPr>
          <w:t>519</w:t>
        </w:r>
      </w:hyperlink>
      <w:r w:rsidR="000A549D">
        <w:t xml:space="preserve">. </w:t>
      </w:r>
    </w:p>
    <w:p w:rsidR="00207B5D" w:rsidRPr="004B3E22" w:rsidRDefault="000A549D" w:rsidP="00445960">
      <w:pPr>
        <w:jc w:val="right"/>
      </w:pPr>
      <w:r w:rsidRPr="000A549D">
        <w:rPr>
          <w:i/>
        </w:rPr>
        <w:t>Hernando Bermúdez Gómez</w:t>
      </w:r>
    </w:p>
    <w:sectPr w:rsidR="00207B5D" w:rsidRPr="004B3E22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69" w:rsidRDefault="00EE4B69" w:rsidP="00EE7812">
      <w:pPr>
        <w:spacing w:after="0" w:line="240" w:lineRule="auto"/>
      </w:pPr>
      <w:r>
        <w:separator/>
      </w:r>
    </w:p>
  </w:endnote>
  <w:endnote w:type="continuationSeparator" w:id="0">
    <w:p w:rsidR="00EE4B69" w:rsidRDefault="00EE4B6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EF" w:rsidRDefault="00156E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EF" w:rsidRDefault="00156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69" w:rsidRDefault="00EE4B69" w:rsidP="00EE7812">
      <w:pPr>
        <w:spacing w:after="0" w:line="240" w:lineRule="auto"/>
      </w:pPr>
      <w:r>
        <w:separator/>
      </w:r>
    </w:p>
  </w:footnote>
  <w:footnote w:type="continuationSeparator" w:id="0">
    <w:p w:rsidR="00EE4B69" w:rsidRDefault="00EE4B6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EF" w:rsidRDefault="00156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70220E">
      <w:t>1019</w:t>
    </w:r>
    <w:r w:rsidR="00667D4D">
      <w:t>,</w:t>
    </w:r>
    <w:r w:rsidR="009D09BB">
      <w:t xml:space="preserve"> </w:t>
    </w:r>
    <w:r w:rsidR="00704BC6">
      <w:t>octubre</w:t>
    </w:r>
    <w:r w:rsidR="007E2BC9">
      <w:t xml:space="preserve"> </w:t>
    </w:r>
    <w:r w:rsidR="0070220E">
      <w:t>2</w:t>
    </w:r>
    <w:r w:rsidR="00156EEF">
      <w:t>8</w:t>
    </w:r>
    <w:bookmarkStart w:id="0" w:name="_GoBack"/>
    <w:bookmarkEnd w:id="0"/>
    <w:r w:rsidR="007E2BC9">
      <w:t xml:space="preserve"> de 2014</w:t>
    </w:r>
  </w:p>
  <w:p w:rsidR="0046164F" w:rsidRDefault="00EE4B6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EF" w:rsidRDefault="00156E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3E7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9D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EEF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2F85"/>
    <w:rsid w:val="001B309E"/>
    <w:rsid w:val="001B3759"/>
    <w:rsid w:val="001B3F32"/>
    <w:rsid w:val="001B404D"/>
    <w:rsid w:val="001B413E"/>
    <w:rsid w:val="001B487A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5E8B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07B5D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5A5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54B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9B4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960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2E6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20E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BC6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85C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925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7E9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049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2A8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27EBF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700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C85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71E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DB4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09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5EE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9F1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876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4CE0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AD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69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BC1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A2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B12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concept_id=20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BE455AA-50E3-478F-B4E1-58BC3F0F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2014-10-22T22:10:00Z</dcterms:created>
  <dcterms:modified xsi:type="dcterms:W3CDTF">2014-10-28T16:26:00Z</dcterms:modified>
</cp:coreProperties>
</file>