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9A" w:rsidRPr="0095679A" w:rsidRDefault="0095679A" w:rsidP="0095679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95679A">
        <w:rPr>
          <w:position w:val="-8"/>
          <w:sz w:val="122"/>
        </w:rPr>
        <w:t>N</w:t>
      </w:r>
    </w:p>
    <w:p w:rsidR="00973B6F" w:rsidRDefault="00B274E1" w:rsidP="004B3E22">
      <w:r>
        <w:t xml:space="preserve">uevamente insistimos en la necesidad de interpretar debidamente los estándares de contabilidad </w:t>
      </w:r>
      <w:r w:rsidR="00A637E0">
        <w:t xml:space="preserve">y de </w:t>
      </w:r>
      <w:r>
        <w:t xml:space="preserve">información financiera. En esta ocasión volvemos a llamar la atención sobre el elemento histórico. </w:t>
      </w:r>
      <w:r w:rsidR="00BF5400">
        <w:t>Además del análisis del contexto en el cual se producen los nuevos pronunciamientos, es necesario asumir e</w:t>
      </w:r>
      <w:r>
        <w:t xml:space="preserve">l estudio de las situaciones que originan el proceso </w:t>
      </w:r>
      <w:r w:rsidR="0095679A">
        <w:t xml:space="preserve">de formación y expedición de un estándar, </w:t>
      </w:r>
      <w:r w:rsidR="00240491">
        <w:t xml:space="preserve">de las discusiones ocurridas durante la etapa de gestación, de las propuestas de estándares, de las razones expuestas para adoptar un texto, </w:t>
      </w:r>
      <w:r w:rsidR="00BF5400">
        <w:t>de los procesos de votación,</w:t>
      </w:r>
      <w:r w:rsidR="00713E4A">
        <w:t xml:space="preserve"> de las posiciones minoritarias, etc.</w:t>
      </w:r>
      <w:r w:rsidR="003A5416">
        <w:t xml:space="preserve"> En el caso de IASB, como debería ser tratándose de nuestras autoridades de regulación y normalización, el proceso realizado desde el debate sobre si incluir o no un tema en la agenda hasta la eventual expedición de un estándar, está totalmente documentado y permanece disponible, en forma </w:t>
      </w:r>
      <w:r w:rsidR="00275406">
        <w:t xml:space="preserve">completa y </w:t>
      </w:r>
      <w:r w:rsidR="003A5416">
        <w:t>ordenada, en su página web.</w:t>
      </w:r>
      <w:r w:rsidR="00163CA2">
        <w:t xml:space="preserve"> Así las cosas, </w:t>
      </w:r>
      <w:r w:rsidR="00D72853">
        <w:t xml:space="preserve">es </w:t>
      </w:r>
      <w:r w:rsidR="00D72853" w:rsidRPr="00D72853">
        <w:t xml:space="preserve">evidente </w:t>
      </w:r>
      <w:r w:rsidR="00D72853">
        <w:t>la</w:t>
      </w:r>
      <w:r w:rsidR="00D72853" w:rsidRPr="00D72853">
        <w:t xml:space="preserve"> transparencia </w:t>
      </w:r>
      <w:r w:rsidR="00163CA2">
        <w:t>de dicho organismo internacional.</w:t>
      </w:r>
    </w:p>
    <w:p w:rsidR="005A40E6" w:rsidRDefault="00903A97" w:rsidP="004B3E22">
      <w:r>
        <w:t>Entre los documentos que se publican por IASB se encuentran los que han de discutirse en cada reunión, los cuales son divulgados con anterioridad a la sesión respectiva.</w:t>
      </w:r>
      <w:r w:rsidR="00047114">
        <w:t xml:space="preserve"> Muchas veces en éstos se encuentran la posición del </w:t>
      </w:r>
      <w:hyperlink r:id="rId9" w:history="1">
        <w:r w:rsidR="00047114" w:rsidRPr="00CA6D4D">
          <w:rPr>
            <w:rStyle w:val="Hipervnculo"/>
          </w:rPr>
          <w:t>personal de planta</w:t>
        </w:r>
      </w:hyperlink>
      <w:r w:rsidR="00047114">
        <w:t>, cuyas posiciones técnicas suelen influir mucho en los miembros del IASB.</w:t>
      </w:r>
    </w:p>
    <w:p w:rsidR="00815397" w:rsidRDefault="002A3C3C" w:rsidP="004B3E22">
      <w:r>
        <w:t xml:space="preserve">Con cierta frecuencia y con gran interés hemos podido seguir el </w:t>
      </w:r>
      <w:hyperlink r:id="rId10" w:history="1">
        <w:r w:rsidRPr="0028324D">
          <w:rPr>
            <w:rStyle w:val="Hipervnculo"/>
          </w:rPr>
          <w:t>proyecto de marco conceptual</w:t>
        </w:r>
      </w:hyperlink>
      <w:r>
        <w:t xml:space="preserve"> que IASB está desarrollando.</w:t>
      </w:r>
    </w:p>
    <w:p w:rsidR="002F7287" w:rsidRDefault="00BD6ED1" w:rsidP="004B3E22">
      <w:r>
        <w:lastRenderedPageBreak/>
        <w:t xml:space="preserve">El pasado 21 de octubre se </w:t>
      </w:r>
      <w:hyperlink r:id="rId11" w:history="1">
        <w:r w:rsidRPr="009E7175">
          <w:rPr>
            <w:rStyle w:val="Hipervnculo"/>
          </w:rPr>
          <w:t>publicaron</w:t>
        </w:r>
      </w:hyperlink>
      <w:r>
        <w:t xml:space="preserve"> los documentos que serán discutidos en la reunión del IASB programada del 22 al 24 de octubre del presente año.</w:t>
      </w:r>
      <w:r w:rsidR="00587563">
        <w:t xml:space="preserve"> Entre ellos encontramos uno cuyo tema es “</w:t>
      </w:r>
      <w:proofErr w:type="spellStart"/>
      <w:r w:rsidR="0043181F">
        <w:fldChar w:fldCharType="begin"/>
      </w:r>
      <w:r w:rsidR="0043181F">
        <w:instrText xml:space="preserve"> HYPERLINK "http://www.ifrs.org/Meetings/MeetingDocs/IASB/2014/October/AP10F-Conceptual-Framework.pdf" </w:instrText>
      </w:r>
      <w:r w:rsidR="0043181F">
        <w:fldChar w:fldCharType="separate"/>
      </w:r>
      <w:r w:rsidR="00587563" w:rsidRPr="0043181F">
        <w:rPr>
          <w:rStyle w:val="Hipervnculo"/>
        </w:rPr>
        <w:t>Proposed</w:t>
      </w:r>
      <w:proofErr w:type="spellEnd"/>
      <w:r w:rsidR="00587563" w:rsidRPr="0043181F">
        <w:rPr>
          <w:rStyle w:val="Hipervnculo"/>
        </w:rPr>
        <w:t xml:space="preserve"> </w:t>
      </w:r>
      <w:proofErr w:type="spellStart"/>
      <w:r w:rsidR="00587563" w:rsidRPr="0043181F">
        <w:rPr>
          <w:rStyle w:val="Hipervnculo"/>
        </w:rPr>
        <w:t>amendments</w:t>
      </w:r>
      <w:proofErr w:type="spellEnd"/>
      <w:r w:rsidR="00587563" w:rsidRPr="0043181F">
        <w:rPr>
          <w:rStyle w:val="Hipervnculo"/>
        </w:rPr>
        <w:t xml:space="preserve"> – </w:t>
      </w:r>
      <w:proofErr w:type="spellStart"/>
      <w:r w:rsidR="00587563" w:rsidRPr="0043181F">
        <w:rPr>
          <w:rStyle w:val="Hipervnculo"/>
        </w:rPr>
        <w:t>Clarifying</w:t>
      </w:r>
      <w:proofErr w:type="spellEnd"/>
      <w:r w:rsidR="00587563" w:rsidRPr="0043181F">
        <w:rPr>
          <w:rStyle w:val="Hipervnculo"/>
        </w:rPr>
        <w:t xml:space="preserve"> </w:t>
      </w:r>
      <w:proofErr w:type="spellStart"/>
      <w:r w:rsidR="00587563" w:rsidRPr="0043181F">
        <w:rPr>
          <w:rStyle w:val="Hipervnculo"/>
        </w:rPr>
        <w:t>the</w:t>
      </w:r>
      <w:proofErr w:type="spellEnd"/>
      <w:r w:rsidR="00587563" w:rsidRPr="0043181F">
        <w:rPr>
          <w:rStyle w:val="Hipervnculo"/>
        </w:rPr>
        <w:t xml:space="preserve"> </w:t>
      </w:r>
      <w:proofErr w:type="spellStart"/>
      <w:r w:rsidR="00587563" w:rsidRPr="0043181F">
        <w:rPr>
          <w:rStyle w:val="Hipervnculo"/>
        </w:rPr>
        <w:t>term</w:t>
      </w:r>
      <w:proofErr w:type="spellEnd"/>
      <w:r w:rsidR="00587563" w:rsidRPr="0043181F">
        <w:rPr>
          <w:rStyle w:val="Hipervnculo"/>
        </w:rPr>
        <w:t xml:space="preserve"> ‘</w:t>
      </w:r>
      <w:proofErr w:type="spellStart"/>
      <w:r w:rsidR="00587563" w:rsidRPr="0043181F">
        <w:rPr>
          <w:rStyle w:val="Hipervnculo"/>
        </w:rPr>
        <w:t>reliability</w:t>
      </w:r>
      <w:proofErr w:type="spellEnd"/>
      <w:r w:rsidR="00587563" w:rsidRPr="0043181F">
        <w:rPr>
          <w:rStyle w:val="Hipervnculo"/>
        </w:rPr>
        <w:t>’”</w:t>
      </w:r>
      <w:r w:rsidR="0043181F">
        <w:fldChar w:fldCharType="end"/>
      </w:r>
    </w:p>
    <w:p w:rsidR="00EF6FBA" w:rsidRDefault="00461499" w:rsidP="004B3E22">
      <w:r>
        <w:t xml:space="preserve">El personal de planta recuerda la decisión de reemplazar el término </w:t>
      </w:r>
      <w:proofErr w:type="spellStart"/>
      <w:r w:rsidRPr="00461499">
        <w:rPr>
          <w:i/>
        </w:rPr>
        <w:t>reliability</w:t>
      </w:r>
      <w:proofErr w:type="spellEnd"/>
      <w:r>
        <w:rPr>
          <w:i/>
        </w:rPr>
        <w:t xml:space="preserve"> </w:t>
      </w:r>
      <w:r w:rsidRPr="00461499">
        <w:t xml:space="preserve">por la expresión </w:t>
      </w:r>
      <w:proofErr w:type="spellStart"/>
      <w:r w:rsidRPr="00461499">
        <w:rPr>
          <w:i/>
        </w:rPr>
        <w:t>faithful</w:t>
      </w:r>
      <w:proofErr w:type="spellEnd"/>
      <w:r w:rsidRPr="00461499">
        <w:rPr>
          <w:i/>
        </w:rPr>
        <w:t xml:space="preserve"> </w:t>
      </w:r>
      <w:proofErr w:type="spellStart"/>
      <w:r w:rsidRPr="00461499">
        <w:rPr>
          <w:i/>
        </w:rPr>
        <w:t>representation</w:t>
      </w:r>
      <w:proofErr w:type="spellEnd"/>
      <w:r w:rsidR="006555AE">
        <w:rPr>
          <w:i/>
        </w:rPr>
        <w:t xml:space="preserve"> </w:t>
      </w:r>
      <w:r w:rsidR="006555AE" w:rsidRPr="006555AE">
        <w:t xml:space="preserve">cuando se trata </w:t>
      </w:r>
      <w:r w:rsidR="00165CFB">
        <w:t>de las cualidades de la información</w:t>
      </w:r>
      <w:r w:rsidR="002049E1">
        <w:t>. Así las cosas, recomienda que e</w:t>
      </w:r>
      <w:r w:rsidR="00C8368D">
        <w:t xml:space="preserve">l término </w:t>
      </w:r>
      <w:proofErr w:type="spellStart"/>
      <w:r w:rsidR="00C8368D" w:rsidRPr="00461499">
        <w:rPr>
          <w:i/>
        </w:rPr>
        <w:t>reliability</w:t>
      </w:r>
      <w:proofErr w:type="spellEnd"/>
      <w:r w:rsidR="00C8368D">
        <w:rPr>
          <w:i/>
        </w:rPr>
        <w:t xml:space="preserve"> </w:t>
      </w:r>
      <w:r w:rsidR="00C8368D">
        <w:t xml:space="preserve">se use </w:t>
      </w:r>
      <w:r w:rsidR="00C8368D" w:rsidRPr="00C8368D">
        <w:t>en el sentido de un nivel aceptable de incertidumbre de la medición</w:t>
      </w:r>
      <w:r w:rsidR="00CB288A">
        <w:t>.</w:t>
      </w:r>
    </w:p>
    <w:p w:rsidR="00CF54E5" w:rsidRDefault="00CF54E5" w:rsidP="004B3E22">
      <w:r>
        <w:t>Valga este ejemplo para ilustrar cómo el significado de una palabra puede tener una historia que lo explique.</w:t>
      </w:r>
      <w:r w:rsidR="00FF4559">
        <w:t xml:space="preserve"> Esta historia no se encuentra en los glosarios, ni en los traductores y, la mayoría de las veces, no se </w:t>
      </w:r>
      <w:r w:rsidR="00550F1C">
        <w:t>revela totalmente en las bases de las conclusiones que, a pesar de su extensión, son documentos que resumen muchísimas horas de estudio y discusión.</w:t>
      </w:r>
    </w:p>
    <w:p w:rsidR="00855178" w:rsidRDefault="002C1491" w:rsidP="004B3E22">
      <w:r>
        <w:t xml:space="preserve">En estos momentos estamos enfrentados a muchos que tras una simple lectura salen a sentar cátedra sobre los estándares. Las más de las veces se limitan a </w:t>
      </w:r>
      <w:hyperlink r:id="rId12" w:history="1">
        <w:r w:rsidRPr="00FF740A">
          <w:rPr>
            <w:rStyle w:val="Hipervnculo"/>
          </w:rPr>
          <w:t>parafrasearlos</w:t>
        </w:r>
      </w:hyperlink>
      <w:r>
        <w:t>.</w:t>
      </w:r>
      <w:r w:rsidR="00EE22A3">
        <w:t xml:space="preserve"> Estos y los que gustan de citar los textos sin explicaciones adicionales, demuestran su memoria más no su comprensión.</w:t>
      </w:r>
    </w:p>
    <w:p w:rsidR="00A17DD3" w:rsidRDefault="00BB0107" w:rsidP="004B3E22">
      <w:r>
        <w:t xml:space="preserve">Admiro los contadores que </w:t>
      </w:r>
      <w:hyperlink r:id="rId13" w:history="1">
        <w:r w:rsidRPr="009626FA">
          <w:rPr>
            <w:rStyle w:val="Hipervnculo"/>
          </w:rPr>
          <w:t>filosofan</w:t>
        </w:r>
      </w:hyperlink>
      <w:r>
        <w:t>. Los admiro porque han superado el estadio de la técnica, la cual dominan, para adentrarse en el fascinante mundo del pensamiento contable.</w:t>
      </w:r>
    </w:p>
    <w:p w:rsidR="00BB0107" w:rsidRPr="00BB0107" w:rsidRDefault="00BB0107" w:rsidP="00BB0107">
      <w:pPr>
        <w:jc w:val="right"/>
        <w:rPr>
          <w:i/>
        </w:rPr>
      </w:pPr>
      <w:r w:rsidRPr="00BB0107">
        <w:rPr>
          <w:i/>
        </w:rPr>
        <w:t>Hernando Bermúdez Gómez</w:t>
      </w:r>
    </w:p>
    <w:sectPr w:rsidR="00BB0107" w:rsidRPr="00BB0107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58" w:rsidRDefault="00024A58" w:rsidP="00EE7812">
      <w:pPr>
        <w:spacing w:after="0" w:line="240" w:lineRule="auto"/>
      </w:pPr>
      <w:r>
        <w:separator/>
      </w:r>
    </w:p>
  </w:endnote>
  <w:endnote w:type="continuationSeparator" w:id="0">
    <w:p w:rsidR="00024A58" w:rsidRDefault="00024A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58" w:rsidRDefault="00024A58" w:rsidP="00EE7812">
      <w:pPr>
        <w:spacing w:after="0" w:line="240" w:lineRule="auto"/>
      </w:pPr>
      <w:r>
        <w:separator/>
      </w:r>
    </w:p>
  </w:footnote>
  <w:footnote w:type="continuationSeparator" w:id="0">
    <w:p w:rsidR="00024A58" w:rsidRDefault="00024A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32FCE">
      <w:t>1027</w:t>
    </w:r>
    <w:r w:rsidR="00667D4D">
      <w:t>,</w:t>
    </w:r>
    <w:r w:rsidR="009D09BB">
      <w:t xml:space="preserve"> </w:t>
    </w:r>
    <w:r w:rsidR="006B5C4F">
      <w:t>octubre</w:t>
    </w:r>
    <w:r w:rsidR="007E2BC9">
      <w:t xml:space="preserve"> </w:t>
    </w:r>
    <w:r w:rsidR="00F32FCE">
      <w:t>2</w:t>
    </w:r>
    <w:r w:rsidR="0018466F">
      <w:t>8</w:t>
    </w:r>
    <w:r w:rsidR="007E2BC9">
      <w:t xml:space="preserve"> de 2014</w:t>
    </w:r>
  </w:p>
  <w:p w:rsidR="0046164F" w:rsidRDefault="00024A5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A58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114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2B4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CA2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CFB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466F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0B73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9E1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5AE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49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DD5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1B8A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5406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24D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C3C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491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87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5416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81F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499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B7D0E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0F1C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6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0E6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5AE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2DB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C4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3E4A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97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1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A97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090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679A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6FA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175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17DD3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7E0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4E1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07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6ED1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400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68D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6D4D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8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4E5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0D3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853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2A3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6FBA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2FCE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559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40A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ma.rae.es/drae/?val=filosofa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ma.rae.es/drae/?val=par%C3%A1fras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Alerts/Meeting/Pages/IASB-AP-added-October-2014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frs.org/Current-Projects/IASB-Projects/Conceptual-Framework/Pages/Conceptual-Framework-Summary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About-us/IASB/Pages/Home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077A1A64-425D-4591-9D31-1FAEFA79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2014-10-27T19:46:00Z</dcterms:created>
  <dcterms:modified xsi:type="dcterms:W3CDTF">2014-10-28T16:28:00Z</dcterms:modified>
</cp:coreProperties>
</file>