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90" w:rsidRPr="009D6890" w:rsidRDefault="003A7B78" w:rsidP="009D689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>
        <w:rPr>
          <w:position w:val="-9"/>
          <w:sz w:val="123"/>
        </w:rPr>
        <w:t>C</w:t>
      </w:r>
    </w:p>
    <w:p w:rsidR="00CA7406" w:rsidRDefault="003A7B78" w:rsidP="00913AA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onforme a lo expuesto en l</w:t>
      </w:r>
      <w:r w:rsidR="00A65BF3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Contrapartida 970 del 15 de septiembre, </w:t>
      </w:r>
      <w:r w:rsidR="00463ED7">
        <w:rPr>
          <w:rFonts w:asciiTheme="minorHAnsi" w:hAnsiTheme="minorHAnsi" w:cs="Arial"/>
        </w:rPr>
        <w:t>es claro</w:t>
      </w:r>
      <w:r w:rsidR="002A646E">
        <w:rPr>
          <w:rFonts w:asciiTheme="minorHAnsi" w:hAnsiTheme="minorHAnsi" w:cs="Arial"/>
        </w:rPr>
        <w:t xml:space="preserve"> que para el caso de la aplicación de la Sección 11 y 12, en lo relacionado con la opción de definir como política contable la aplicación de la NIC 39, es posible la aplicación de la versión 200</w:t>
      </w:r>
      <w:r w:rsidR="00913AA0">
        <w:rPr>
          <w:rFonts w:asciiTheme="minorHAnsi" w:hAnsiTheme="minorHAnsi" w:cs="Arial"/>
        </w:rPr>
        <w:t>9</w:t>
      </w:r>
      <w:r w:rsidR="002A646E">
        <w:rPr>
          <w:rFonts w:asciiTheme="minorHAnsi" w:hAnsiTheme="minorHAnsi" w:cs="Arial"/>
        </w:rPr>
        <w:t xml:space="preserve"> de esta norma, partiendo </w:t>
      </w:r>
      <w:r w:rsidR="00974093">
        <w:rPr>
          <w:rFonts w:asciiTheme="minorHAnsi" w:hAnsiTheme="minorHAnsi" w:cs="Arial"/>
        </w:rPr>
        <w:t>de</w:t>
      </w:r>
      <w:r w:rsidR="00CA7406" w:rsidRPr="005B6C17">
        <w:rPr>
          <w:rFonts w:asciiTheme="minorHAnsi" w:hAnsiTheme="minorHAnsi" w:cs="Arial"/>
          <w:lang w:val="es-MX"/>
        </w:rPr>
        <w:t>l orden jerárquico normativo incluido en la Sección 10</w:t>
      </w:r>
      <w:r w:rsidR="00463ED7">
        <w:rPr>
          <w:rFonts w:asciiTheme="minorHAnsi" w:hAnsiTheme="minorHAnsi" w:cs="Arial"/>
          <w:lang w:val="es-MX"/>
        </w:rPr>
        <w:t xml:space="preserve"> </w:t>
      </w:r>
      <w:r w:rsidR="00CA7406" w:rsidRPr="005B6C17">
        <w:rPr>
          <w:rFonts w:asciiTheme="minorHAnsi" w:hAnsiTheme="minorHAnsi" w:cs="Arial"/>
          <w:lang w:val="es-MX"/>
        </w:rPr>
        <w:t>de la NIIF para las PYMES</w:t>
      </w:r>
      <w:r w:rsidR="00CA7406" w:rsidRPr="005B6C17">
        <w:rPr>
          <w:rFonts w:asciiTheme="minorHAnsi" w:hAnsiTheme="minorHAnsi" w:cs="Arial"/>
          <w:bCs/>
        </w:rPr>
        <w:t xml:space="preserve">. </w:t>
      </w:r>
    </w:p>
    <w:p w:rsidR="005F430A" w:rsidRDefault="002660B9" w:rsidP="00913AA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Ahora bien, las empresas del  grupo 2 a la hora de establecer la política contable para el tratamiento contable de sus instrumentos financieros, deberá determinar la pertinencia de seguir los criterios de la NIC 39 (Versión 2009) y lo establecido en las secciones 11 y 12 de la NIIF PYMES.</w:t>
      </w:r>
    </w:p>
    <w:p w:rsidR="008F2F81" w:rsidRDefault="002660B9" w:rsidP="00913AA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Si se sigue</w:t>
      </w:r>
      <w:r w:rsidR="006804FD">
        <w:rPr>
          <w:rFonts w:asciiTheme="minorHAnsi" w:hAnsiTheme="minorHAnsi" w:cs="Arial"/>
          <w:bCs/>
        </w:rPr>
        <w:t>n</w:t>
      </w:r>
      <w:r>
        <w:rPr>
          <w:rFonts w:asciiTheme="minorHAnsi" w:hAnsiTheme="minorHAnsi" w:cs="Arial"/>
          <w:bCs/>
        </w:rPr>
        <w:t xml:space="preserve"> los criterios de las secciones 11 y 12, los activos financieros se clasificarían a costo amortizado, a valor razonable o a co</w:t>
      </w:r>
      <w:r w:rsidR="00A65BF3">
        <w:rPr>
          <w:rFonts w:asciiTheme="minorHAnsi" w:hAnsiTheme="minorHAnsi" w:cs="Arial"/>
          <w:bCs/>
        </w:rPr>
        <w:t>sto;</w:t>
      </w:r>
      <w:r w:rsidR="006804FD">
        <w:rPr>
          <w:rFonts w:asciiTheme="minorHAnsi" w:hAnsiTheme="minorHAnsi" w:cs="Arial"/>
          <w:bCs/>
        </w:rPr>
        <w:t xml:space="preserve"> esta última categoría</w:t>
      </w:r>
      <w:r>
        <w:rPr>
          <w:rFonts w:asciiTheme="minorHAnsi" w:hAnsiTheme="minorHAnsi" w:cs="Arial"/>
          <w:bCs/>
        </w:rPr>
        <w:t xml:space="preserve">, cuando no pueda estimarse de manera fiable el valor razonable. </w:t>
      </w:r>
    </w:p>
    <w:p w:rsidR="002660B9" w:rsidRDefault="002660B9" w:rsidP="00913AA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Por tanto, los activos financieros que generen flujos de efectivo futuro determinables y tengan fecha de vencimiento, se cla</w:t>
      </w:r>
      <w:r w:rsidR="00B368BD">
        <w:rPr>
          <w:rFonts w:asciiTheme="minorHAnsi" w:hAnsiTheme="minorHAnsi" w:cs="Arial"/>
          <w:bCs/>
        </w:rPr>
        <w:t>s</w:t>
      </w:r>
      <w:r>
        <w:rPr>
          <w:rFonts w:asciiTheme="minorHAnsi" w:hAnsiTheme="minorHAnsi" w:cs="Arial"/>
          <w:bCs/>
        </w:rPr>
        <w:t xml:space="preserve">ificarán </w:t>
      </w:r>
      <w:r w:rsidR="006804FD">
        <w:rPr>
          <w:rFonts w:asciiTheme="minorHAnsi" w:hAnsiTheme="minorHAnsi" w:cs="Arial"/>
          <w:bCs/>
        </w:rPr>
        <w:t xml:space="preserve">al costo amortizado, los instrumento de renta variable, que no tienen flujos previamente determinados ni fecha de vencimiento y los instrumentos financieros más complejos, como por ejemplo derivados, se clasificaran a valor razonable, no obstante, si la medición del valor razonable no se puede establecer de forma fiable, los instrumentos se mantendrán al costo y serán objeto de deterioro. </w:t>
      </w:r>
    </w:p>
    <w:p w:rsidR="002660B9" w:rsidRDefault="006804FD" w:rsidP="00913AA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 xml:space="preserve">Por su parte, si se </w:t>
      </w:r>
      <w:r w:rsidR="002660B9">
        <w:rPr>
          <w:rFonts w:asciiTheme="minorHAnsi" w:hAnsiTheme="minorHAnsi" w:cs="Arial"/>
          <w:bCs/>
        </w:rPr>
        <w:t>s</w:t>
      </w:r>
      <w:r w:rsidR="0092216B">
        <w:rPr>
          <w:rFonts w:asciiTheme="minorHAnsi" w:hAnsiTheme="minorHAnsi" w:cs="Arial"/>
          <w:bCs/>
        </w:rPr>
        <w:t>i</w:t>
      </w:r>
      <w:r w:rsidR="002660B9">
        <w:rPr>
          <w:rFonts w:asciiTheme="minorHAnsi" w:hAnsiTheme="minorHAnsi" w:cs="Arial"/>
          <w:bCs/>
        </w:rPr>
        <w:t>gue</w:t>
      </w:r>
      <w:r>
        <w:rPr>
          <w:rFonts w:asciiTheme="minorHAnsi" w:hAnsiTheme="minorHAnsi" w:cs="Arial"/>
          <w:bCs/>
        </w:rPr>
        <w:t>n</w:t>
      </w:r>
      <w:r w:rsidR="002660B9">
        <w:rPr>
          <w:rFonts w:asciiTheme="minorHAnsi" w:hAnsiTheme="minorHAnsi" w:cs="Arial"/>
          <w:bCs/>
        </w:rPr>
        <w:t xml:space="preserve"> los lineamientos de la NIC 39, los activos financieros </w:t>
      </w:r>
      <w:r w:rsidR="005926F0">
        <w:rPr>
          <w:rFonts w:asciiTheme="minorHAnsi" w:hAnsiTheme="minorHAnsi" w:cs="Arial"/>
          <w:bCs/>
        </w:rPr>
        <w:t>se clasificarían en cuatro</w:t>
      </w:r>
      <w:r w:rsidR="002660B9">
        <w:rPr>
          <w:rFonts w:asciiTheme="minorHAnsi" w:hAnsiTheme="minorHAnsi" w:cs="Arial"/>
          <w:bCs/>
        </w:rPr>
        <w:t xml:space="preserve"> categorías: Activos financieros a valor razonable con efectos en resultados, activos financieros disponibles para la venta, activos financieros mantenidos hasta el vencimiento y, cuentas y préstamos por cobrar.</w:t>
      </w:r>
      <w:r w:rsidR="005926F0">
        <w:rPr>
          <w:rFonts w:asciiTheme="minorHAnsi" w:hAnsiTheme="minorHAnsi" w:cs="Arial"/>
          <w:bCs/>
        </w:rPr>
        <w:t xml:space="preserve"> El criterio de clasificación se establece conforme a la intención en el instrumento más que por su naturaleza.</w:t>
      </w:r>
    </w:p>
    <w:p w:rsidR="008F2F81" w:rsidRDefault="003654B7" w:rsidP="00913AA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Ahora bien, ¿Cuál de las dos posibilidades es la más estratégica?</w:t>
      </w:r>
      <w:r w:rsidR="00E9021C">
        <w:rPr>
          <w:rFonts w:asciiTheme="minorHAnsi" w:hAnsiTheme="minorHAnsi" w:cs="Arial"/>
          <w:bCs/>
        </w:rPr>
        <w:t xml:space="preserve"> Esta es una pregunta que cada una de las entidades en este marco de regulación deberá responder.  </w:t>
      </w:r>
    </w:p>
    <w:p w:rsidR="003654B7" w:rsidRDefault="00E9021C" w:rsidP="00913AA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En mi opinión, la estrategia contable más acertada, es seguir las secciones de la NIIF</w:t>
      </w:r>
      <w:r w:rsidR="00A65BF3">
        <w:rPr>
          <w:rFonts w:asciiTheme="minorHAnsi" w:hAnsiTheme="minorHAnsi" w:cs="Arial"/>
          <w:bCs/>
        </w:rPr>
        <w:t xml:space="preserve"> para</w:t>
      </w:r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PYME</w:t>
      </w:r>
      <w:r w:rsidR="00A65BF3">
        <w:rPr>
          <w:rFonts w:asciiTheme="minorHAnsi" w:hAnsiTheme="minorHAnsi" w:cs="Arial"/>
          <w:bCs/>
        </w:rPr>
        <w:t>s</w:t>
      </w:r>
      <w:proofErr w:type="spellEnd"/>
      <w:r>
        <w:rPr>
          <w:rFonts w:asciiTheme="minorHAnsi" w:hAnsiTheme="minorHAnsi" w:cs="Arial"/>
          <w:bCs/>
        </w:rPr>
        <w:t xml:space="preserve">, teniendo en cuenta aspectos como: 1) Los criterios son más simplificados en comparación de la NIC 39. 2) La </w:t>
      </w:r>
      <w:r w:rsidR="008F2F81">
        <w:rPr>
          <w:rFonts w:asciiTheme="minorHAnsi" w:hAnsiTheme="minorHAnsi" w:cs="Arial"/>
          <w:bCs/>
        </w:rPr>
        <w:t xml:space="preserve">aplicación de la NIC 39 es </w:t>
      </w:r>
      <w:r>
        <w:rPr>
          <w:rFonts w:asciiTheme="minorHAnsi" w:hAnsiTheme="minorHAnsi" w:cs="Arial"/>
          <w:bCs/>
        </w:rPr>
        <w:t>complej</w:t>
      </w:r>
      <w:r w:rsidR="008F2F81">
        <w:rPr>
          <w:rFonts w:asciiTheme="minorHAnsi" w:hAnsiTheme="minorHAnsi" w:cs="Arial"/>
          <w:bCs/>
        </w:rPr>
        <w:t>a</w:t>
      </w:r>
      <w:r>
        <w:rPr>
          <w:rFonts w:asciiTheme="minorHAnsi" w:hAnsiTheme="minorHAnsi" w:cs="Arial"/>
          <w:bCs/>
        </w:rPr>
        <w:t xml:space="preserve">, razón por la cual </w:t>
      </w:r>
      <w:r w:rsidR="008F2F81">
        <w:rPr>
          <w:rFonts w:asciiTheme="minorHAnsi" w:hAnsiTheme="minorHAnsi" w:cs="Arial"/>
          <w:bCs/>
        </w:rPr>
        <w:t>se</w:t>
      </w:r>
      <w:r>
        <w:rPr>
          <w:rFonts w:asciiTheme="minorHAnsi" w:hAnsiTheme="minorHAnsi" w:cs="Arial"/>
          <w:bCs/>
        </w:rPr>
        <w:t xml:space="preserve"> reemplaz</w:t>
      </w:r>
      <w:r w:rsidR="008F2F81">
        <w:rPr>
          <w:rFonts w:asciiTheme="minorHAnsi" w:hAnsiTheme="minorHAnsi" w:cs="Arial"/>
          <w:bCs/>
        </w:rPr>
        <w:t>a</w:t>
      </w:r>
      <w:r>
        <w:rPr>
          <w:rFonts w:asciiTheme="minorHAnsi" w:hAnsiTheme="minorHAnsi" w:cs="Arial"/>
          <w:bCs/>
        </w:rPr>
        <w:t xml:space="preserve"> con la NIIF 9. 3) A la fecha, la NIIF 9 ya ha sido culminada, los criterios de clasificación establecidos en la N</w:t>
      </w:r>
      <w:r w:rsidR="00A65BF3">
        <w:rPr>
          <w:rFonts w:asciiTheme="minorHAnsi" w:hAnsiTheme="minorHAnsi" w:cs="Arial"/>
          <w:bCs/>
        </w:rPr>
        <w:t>IIF 9 convergen más con la NIIF-</w:t>
      </w:r>
      <w:r>
        <w:rPr>
          <w:rFonts w:asciiTheme="minorHAnsi" w:hAnsiTheme="minorHAnsi" w:cs="Arial"/>
          <w:bCs/>
        </w:rPr>
        <w:t>PYME que con la NIC 39. 4) Dado que la NIIF 9 es obligatoria a partir del año 2018, seguramente una de la modificaciones del modelo NIIF</w:t>
      </w:r>
      <w:r w:rsidR="00A65BF3">
        <w:rPr>
          <w:rFonts w:asciiTheme="minorHAnsi" w:hAnsiTheme="minorHAnsi" w:cs="Arial"/>
          <w:bCs/>
        </w:rPr>
        <w:t>-</w:t>
      </w:r>
      <w:r>
        <w:rPr>
          <w:rFonts w:asciiTheme="minorHAnsi" w:hAnsiTheme="minorHAnsi" w:cs="Arial"/>
          <w:bCs/>
        </w:rPr>
        <w:t>PYME para ese entonces, será permitir la aplicación de la NIIF 9 y no la antigua NIC 39, lo cual para la empresas que hayan optado por la NIIF</w:t>
      </w:r>
      <w:r w:rsidR="00A65BF3">
        <w:rPr>
          <w:rFonts w:asciiTheme="minorHAnsi" w:hAnsiTheme="minorHAnsi" w:cs="Arial"/>
          <w:bCs/>
        </w:rPr>
        <w:t>-</w:t>
      </w:r>
      <w:r>
        <w:rPr>
          <w:rFonts w:asciiTheme="minorHAnsi" w:hAnsiTheme="minorHAnsi" w:cs="Arial"/>
          <w:bCs/>
        </w:rPr>
        <w:t>PYME si quieren migrar a la NIIF 9, los impactos tecnológicos y funcionales serán menores con relación al cambio entre la NIC 39 a NIIF 9.</w:t>
      </w:r>
    </w:p>
    <w:p w:rsidR="004D3F0C" w:rsidRPr="004D3F0C" w:rsidRDefault="00913AA0" w:rsidP="004D3F0C">
      <w:pPr>
        <w:jc w:val="right"/>
        <w:rPr>
          <w:i/>
        </w:rPr>
      </w:pPr>
      <w:r>
        <w:rPr>
          <w:i/>
        </w:rPr>
        <w:t>Martha Liliana Arias Bello</w:t>
      </w:r>
    </w:p>
    <w:sectPr w:rsidR="004D3F0C" w:rsidRPr="004D3F0C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4E" w:rsidRDefault="00D25D4E" w:rsidP="00EE7812">
      <w:pPr>
        <w:spacing w:after="0" w:line="240" w:lineRule="auto"/>
      </w:pPr>
      <w:r>
        <w:separator/>
      </w:r>
    </w:p>
  </w:endnote>
  <w:endnote w:type="continuationSeparator" w:id="0">
    <w:p w:rsidR="00D25D4E" w:rsidRDefault="00D25D4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4E" w:rsidRDefault="00D25D4E" w:rsidP="00EE7812">
      <w:pPr>
        <w:spacing w:after="0" w:line="240" w:lineRule="auto"/>
      </w:pPr>
      <w:r>
        <w:separator/>
      </w:r>
    </w:p>
  </w:footnote>
  <w:footnote w:type="continuationSeparator" w:id="0">
    <w:p w:rsidR="00D25D4E" w:rsidRDefault="00D25D4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46164F" w:rsidRDefault="0046164F" w:rsidP="00705DA6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5DA6">
      <w:t xml:space="preserve"> </w:t>
    </w:r>
    <w:r w:rsidR="00A65BF3">
      <w:t>1029,</w:t>
    </w:r>
    <w:r w:rsidR="00705DA6">
      <w:t xml:space="preserve"> </w:t>
    </w:r>
    <w:r w:rsidR="00A65BF3">
      <w:t>octubre 2</w:t>
    </w:r>
    <w:r w:rsidR="00935720">
      <w:t>8</w:t>
    </w:r>
    <w:r w:rsidR="00A65BF3">
      <w:t xml:space="preserve"> de</w:t>
    </w:r>
    <w:r w:rsidR="007E2BC9">
      <w:t xml:space="preserve"> 2014</w:t>
    </w:r>
    <w:r w:rsidR="00D25D4E"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78C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67BC3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382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0FE1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A60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4DC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D4A"/>
    <w:rsid w:val="001B3E0B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4D73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0B9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9FB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646E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725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B7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A7B78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BC3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5A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37CC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1F7"/>
    <w:rsid w:val="0046357E"/>
    <w:rsid w:val="00463ED7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6B37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0C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8C2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A1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3E3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6F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567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30A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3DD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1EF4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4FD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5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C3A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DA6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09F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8A5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3CE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24D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A2B"/>
    <w:rsid w:val="00847DD1"/>
    <w:rsid w:val="00847E8E"/>
    <w:rsid w:val="00847ECB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A2E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2F81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AA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16B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959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720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4C7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093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890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983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6CD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1FB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079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5BF3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294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8C4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478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977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2CD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8BD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A8B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28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2D2"/>
    <w:rsid w:val="00C22454"/>
    <w:rsid w:val="00C22A96"/>
    <w:rsid w:val="00C2337F"/>
    <w:rsid w:val="00C23579"/>
    <w:rsid w:val="00C235C7"/>
    <w:rsid w:val="00C238A3"/>
    <w:rsid w:val="00C241BF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5D4D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406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5D4E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0D84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61A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2FC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6A2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2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AF1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41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7E2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9D3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701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6FEC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14E"/>
    <w:rsid w:val="00FE53F6"/>
    <w:rsid w:val="00FE545E"/>
    <w:rsid w:val="00FE557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B0F40EBB-13BF-4DCC-9E37-03C0D31B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2014-10-27T19:58:00Z</dcterms:created>
  <dcterms:modified xsi:type="dcterms:W3CDTF">2014-10-28T16:28:00Z</dcterms:modified>
</cp:coreProperties>
</file>