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65E" w:rsidRPr="0096565E" w:rsidRDefault="0096565E" w:rsidP="0096565E">
      <w:pPr>
        <w:keepNext/>
        <w:framePr w:dropCap="drop" w:lines="3" w:wrap="around" w:vAnchor="text" w:hAnchor="text"/>
        <w:spacing w:after="0" w:line="926" w:lineRule="exact"/>
        <w:textAlignment w:val="baseline"/>
        <w:rPr>
          <w:position w:val="-8"/>
          <w:sz w:val="123"/>
        </w:rPr>
      </w:pPr>
      <w:bookmarkStart w:id="0" w:name="_GoBack"/>
      <w:bookmarkEnd w:id="0"/>
      <w:r w:rsidRPr="0096565E">
        <w:rPr>
          <w:position w:val="-8"/>
          <w:sz w:val="123"/>
        </w:rPr>
        <w:t>M</w:t>
      </w:r>
    </w:p>
    <w:p w:rsidR="0096565E" w:rsidRDefault="003A3047" w:rsidP="004B3E22">
      <w:r>
        <w:t xml:space="preserve">ientras no terminemos de comprender el concepto de valor razonable, seguiremos inquietos por </w:t>
      </w:r>
      <w:r w:rsidR="0096565E">
        <w:t>el abandono del valor facial. Afortunadamente la literatura sobre este tema es amplísima.</w:t>
      </w:r>
    </w:p>
    <w:p w:rsidR="0096565E" w:rsidRDefault="00DD56EB" w:rsidP="004B3E22">
      <w:r>
        <w:t xml:space="preserve">Me ha llamado la atención el artículo del profesor </w:t>
      </w:r>
      <w:hyperlink r:id="rId9" w:history="1">
        <w:proofErr w:type="spellStart"/>
        <w:r w:rsidRPr="0084500A">
          <w:rPr>
            <w:rStyle w:val="Hipervnculo"/>
          </w:rPr>
          <w:t>Karthik</w:t>
        </w:r>
        <w:proofErr w:type="spellEnd"/>
        <w:r w:rsidRPr="0084500A">
          <w:rPr>
            <w:rStyle w:val="Hipervnculo"/>
          </w:rPr>
          <w:t xml:space="preserve"> </w:t>
        </w:r>
        <w:proofErr w:type="spellStart"/>
        <w:r w:rsidRPr="0084500A">
          <w:rPr>
            <w:rStyle w:val="Hipervnculo"/>
          </w:rPr>
          <w:t>Ramanna</w:t>
        </w:r>
        <w:proofErr w:type="spellEnd"/>
      </w:hyperlink>
      <w:r w:rsidR="00C8242B">
        <w:t xml:space="preserve">, titulado </w:t>
      </w:r>
      <w:hyperlink r:id="rId10" w:history="1">
        <w:proofErr w:type="spellStart"/>
        <w:r w:rsidR="00C8242B" w:rsidRPr="00C8242B">
          <w:rPr>
            <w:rStyle w:val="Hipervnculo"/>
            <w:i/>
          </w:rPr>
          <w:t>Why</w:t>
        </w:r>
        <w:proofErr w:type="spellEnd"/>
        <w:r w:rsidR="00C8242B" w:rsidRPr="00C8242B">
          <w:rPr>
            <w:rStyle w:val="Hipervnculo"/>
            <w:i/>
          </w:rPr>
          <w:t xml:space="preserve"> “</w:t>
        </w:r>
        <w:proofErr w:type="spellStart"/>
        <w:r w:rsidR="00C8242B" w:rsidRPr="00C8242B">
          <w:rPr>
            <w:rStyle w:val="Hipervnculo"/>
            <w:i/>
          </w:rPr>
          <w:t>Fair</w:t>
        </w:r>
        <w:proofErr w:type="spellEnd"/>
        <w:r w:rsidR="00C8242B" w:rsidRPr="00C8242B">
          <w:rPr>
            <w:rStyle w:val="Hipervnculo"/>
            <w:i/>
          </w:rPr>
          <w:t xml:space="preserve"> </w:t>
        </w:r>
        <w:proofErr w:type="spellStart"/>
        <w:r w:rsidR="00C8242B" w:rsidRPr="00C8242B">
          <w:rPr>
            <w:rStyle w:val="Hipervnculo"/>
            <w:i/>
          </w:rPr>
          <w:t>Value</w:t>
        </w:r>
        <w:proofErr w:type="spellEnd"/>
        <w:r w:rsidR="00C8242B" w:rsidRPr="00C8242B">
          <w:rPr>
            <w:rStyle w:val="Hipervnculo"/>
            <w:i/>
          </w:rPr>
          <w:t xml:space="preserve">” </w:t>
        </w:r>
        <w:proofErr w:type="spellStart"/>
        <w:r w:rsidR="00C8242B" w:rsidRPr="00C8242B">
          <w:rPr>
            <w:rStyle w:val="Hipervnculo"/>
            <w:i/>
          </w:rPr>
          <w:t>Is</w:t>
        </w:r>
        <w:proofErr w:type="spellEnd"/>
        <w:r w:rsidR="00C8242B" w:rsidRPr="00C8242B">
          <w:rPr>
            <w:rStyle w:val="Hipervnculo"/>
            <w:i/>
          </w:rPr>
          <w:t xml:space="preserve"> </w:t>
        </w:r>
        <w:proofErr w:type="spellStart"/>
        <w:r w:rsidR="00C8242B" w:rsidRPr="00C8242B">
          <w:rPr>
            <w:rStyle w:val="Hipervnculo"/>
            <w:i/>
          </w:rPr>
          <w:t>the</w:t>
        </w:r>
        <w:proofErr w:type="spellEnd"/>
        <w:r w:rsidR="00C8242B" w:rsidRPr="00C8242B">
          <w:rPr>
            <w:rStyle w:val="Hipervnculo"/>
            <w:i/>
          </w:rPr>
          <w:t xml:space="preserve"> Rule</w:t>
        </w:r>
      </w:hyperlink>
      <w:r w:rsidR="00FC23FF">
        <w:rPr>
          <w:i/>
        </w:rPr>
        <w:t xml:space="preserve"> </w:t>
      </w:r>
      <w:r w:rsidR="00FC23FF">
        <w:t>(</w:t>
      </w:r>
      <w:r w:rsidR="00FC23FF" w:rsidRPr="00FC23FF">
        <w:t xml:space="preserve">Harvard Business </w:t>
      </w:r>
      <w:proofErr w:type="spellStart"/>
      <w:r w:rsidR="00FC23FF" w:rsidRPr="00FC23FF">
        <w:t>Review</w:t>
      </w:r>
      <w:proofErr w:type="spellEnd"/>
      <w:r w:rsidR="00FC23FF" w:rsidRPr="00FC23FF">
        <w:t xml:space="preserve"> 91, no. 3 (</w:t>
      </w:r>
      <w:proofErr w:type="spellStart"/>
      <w:r w:rsidR="00FC23FF" w:rsidRPr="00FC23FF">
        <w:t>March</w:t>
      </w:r>
      <w:proofErr w:type="spellEnd"/>
      <w:r w:rsidR="00FC23FF" w:rsidRPr="00FC23FF">
        <w:t xml:space="preserve"> 2013)</w:t>
      </w:r>
      <w:r w:rsidR="00FC23FF">
        <w:t>)</w:t>
      </w:r>
      <w:r w:rsidR="00C8242B">
        <w:rPr>
          <w:i/>
        </w:rPr>
        <w:t>.</w:t>
      </w:r>
      <w:r w:rsidR="00E07711">
        <w:t xml:space="preserve"> En este artículo el profesor cita un trabajo anterior, escrito en unión de </w:t>
      </w:r>
      <w:r w:rsidR="00E07711" w:rsidRPr="00E07711">
        <w:t>Abigail M. Allen</w:t>
      </w:r>
      <w:r w:rsidR="00E91E82">
        <w:t xml:space="preserve">, </w:t>
      </w:r>
      <w:hyperlink r:id="rId11" w:history="1">
        <w:proofErr w:type="spellStart"/>
        <w:r w:rsidR="00E91E82" w:rsidRPr="00E91E82">
          <w:rPr>
            <w:rStyle w:val="Hipervnculo"/>
            <w:i/>
          </w:rPr>
          <w:t>Towards</w:t>
        </w:r>
        <w:proofErr w:type="spellEnd"/>
        <w:r w:rsidR="00E91E82" w:rsidRPr="00E91E82">
          <w:rPr>
            <w:rStyle w:val="Hipervnculo"/>
            <w:i/>
          </w:rPr>
          <w:t xml:space="preserve"> </w:t>
        </w:r>
        <w:proofErr w:type="spellStart"/>
        <w:r w:rsidR="00E91E82" w:rsidRPr="00E91E82">
          <w:rPr>
            <w:rStyle w:val="Hipervnculo"/>
            <w:i/>
          </w:rPr>
          <w:t>an</w:t>
        </w:r>
        <w:proofErr w:type="spellEnd"/>
        <w:r w:rsidR="00E91E82" w:rsidRPr="00E91E82">
          <w:rPr>
            <w:rStyle w:val="Hipervnculo"/>
            <w:i/>
          </w:rPr>
          <w:t xml:space="preserve"> </w:t>
        </w:r>
        <w:proofErr w:type="spellStart"/>
        <w:r w:rsidR="00E91E82" w:rsidRPr="00E91E82">
          <w:rPr>
            <w:rStyle w:val="Hipervnculo"/>
            <w:i/>
          </w:rPr>
          <w:t>Understanding</w:t>
        </w:r>
        <w:proofErr w:type="spellEnd"/>
        <w:r w:rsidR="00E91E82" w:rsidRPr="00E91E82">
          <w:rPr>
            <w:rStyle w:val="Hipervnculo"/>
            <w:i/>
          </w:rPr>
          <w:t xml:space="preserve"> of </w:t>
        </w:r>
        <w:proofErr w:type="spellStart"/>
        <w:r w:rsidR="00E91E82" w:rsidRPr="00E91E82">
          <w:rPr>
            <w:rStyle w:val="Hipervnculo"/>
            <w:i/>
          </w:rPr>
          <w:t>the</w:t>
        </w:r>
        <w:proofErr w:type="spellEnd"/>
        <w:r w:rsidR="00E91E82" w:rsidRPr="00E91E82">
          <w:rPr>
            <w:rStyle w:val="Hipervnculo"/>
            <w:i/>
          </w:rPr>
          <w:t xml:space="preserve"> Role of Standard </w:t>
        </w:r>
        <w:proofErr w:type="spellStart"/>
        <w:r w:rsidR="00E91E82" w:rsidRPr="00E91E82">
          <w:rPr>
            <w:rStyle w:val="Hipervnculo"/>
            <w:i/>
          </w:rPr>
          <w:t>Setters</w:t>
        </w:r>
        <w:proofErr w:type="spellEnd"/>
        <w:r w:rsidR="00E91E82" w:rsidRPr="00E91E82">
          <w:rPr>
            <w:rStyle w:val="Hipervnculo"/>
            <w:i/>
          </w:rPr>
          <w:t xml:space="preserve"> in Standard </w:t>
        </w:r>
        <w:proofErr w:type="spellStart"/>
        <w:r w:rsidR="00E91E82" w:rsidRPr="00E91E82">
          <w:rPr>
            <w:rStyle w:val="Hipervnculo"/>
            <w:i/>
          </w:rPr>
          <w:t>Setting</w:t>
        </w:r>
        <w:proofErr w:type="spellEnd"/>
      </w:hyperlink>
      <w:r w:rsidR="00E91E82">
        <w:t>.</w:t>
      </w:r>
    </w:p>
    <w:p w:rsidR="00434DBA" w:rsidRDefault="00B45403" w:rsidP="004B3E22">
      <w:r>
        <w:t xml:space="preserve">Desde hace mucho tiempo, los estudios sociológicos han demostrado que el actuar de los legisladores y de los jueces está dominado por su cultura (es decir, por sus filiaciones religiosas, políticas, sociales, </w:t>
      </w:r>
      <w:r w:rsidR="006624E0">
        <w:t xml:space="preserve">profesionales, gremiales, </w:t>
      </w:r>
      <w:r>
        <w:t>etc.).</w:t>
      </w:r>
      <w:r w:rsidR="00F7629B">
        <w:t xml:space="preserve"> </w:t>
      </w:r>
      <w:r w:rsidR="00F7629B" w:rsidRPr="00F7629B">
        <w:t>La investidura propia de un cargo no despoja al respectivo individuo de su cultura, ni elimina sus vínculos con las diferentes comunidades.</w:t>
      </w:r>
    </w:p>
    <w:p w:rsidR="004D0185" w:rsidRDefault="00CC1F1A" w:rsidP="004B3E22">
      <w:r>
        <w:t xml:space="preserve">El artículo del profesor </w:t>
      </w:r>
      <w:proofErr w:type="spellStart"/>
      <w:r w:rsidRPr="00DD56EB">
        <w:t>Ramanna</w:t>
      </w:r>
      <w:proofErr w:type="spellEnd"/>
      <w:r>
        <w:t xml:space="preserve"> analiza la orientación de los estándares de contabilidad a la luz de las vinculaciones de los emisores con la industria de servicios financieros</w:t>
      </w:r>
      <w:r w:rsidR="00A87689">
        <w:t>:</w:t>
      </w:r>
      <w:r>
        <w:t xml:space="preserve"> </w:t>
      </w:r>
      <w:r w:rsidR="00434DBA" w:rsidRPr="00A87689">
        <w:t xml:space="preserve">“(…) </w:t>
      </w:r>
      <w:r w:rsidR="00434DBA" w:rsidRPr="001C6DA2">
        <w:rPr>
          <w:i/>
          <w:lang w:val="en-US"/>
        </w:rPr>
        <w:t>We found that the backgrounds of the individual standard setters on the FASB predict which standards they have proposed. Notably, those with a background in the financial services industry—defined for our purposes as investment banking or investment management—are more likely to propose the use of fair value methods</w:t>
      </w:r>
      <w:r w:rsidR="00434DBA" w:rsidRPr="00434DBA">
        <w:rPr>
          <w:lang w:val="en-US"/>
        </w:rPr>
        <w:t>.</w:t>
      </w:r>
      <w:r w:rsidR="00434DBA">
        <w:rPr>
          <w:lang w:val="en-US"/>
        </w:rPr>
        <w:t xml:space="preserve"> </w:t>
      </w:r>
      <w:r w:rsidR="00434DBA" w:rsidRPr="0058485C">
        <w:t>(…)”</w:t>
      </w:r>
      <w:r w:rsidR="00A87689" w:rsidRPr="0058485C">
        <w:t>.</w:t>
      </w:r>
    </w:p>
    <w:p w:rsidR="005C56E9" w:rsidRDefault="000B5F32" w:rsidP="002B7B9C">
      <w:r>
        <w:t xml:space="preserve">Así planteadas las cosas, cobran especial importancia los criterios de selección de los </w:t>
      </w:r>
      <w:r>
        <w:lastRenderedPageBreak/>
        <w:t xml:space="preserve">cuerpos emisores de estándares. En el caso de IASB, la </w:t>
      </w:r>
      <w:hyperlink r:id="rId12" w:history="1">
        <w:r w:rsidRPr="00A11548">
          <w:rPr>
            <w:rStyle w:val="Hipervnculo"/>
          </w:rPr>
          <w:t>constitución</w:t>
        </w:r>
      </w:hyperlink>
      <w:r>
        <w:t xml:space="preserve"> de la IFRS </w:t>
      </w:r>
      <w:proofErr w:type="spellStart"/>
      <w:r>
        <w:t>Foundation</w:t>
      </w:r>
      <w:proofErr w:type="spellEnd"/>
      <w:r>
        <w:t xml:space="preserve"> </w:t>
      </w:r>
      <w:r w:rsidR="00B435EE">
        <w:t>establece los siguientes criterios</w:t>
      </w:r>
      <w:r>
        <w:t xml:space="preserve">: </w:t>
      </w:r>
      <w:r w:rsidR="00B435EE">
        <w:t xml:space="preserve">(1) </w:t>
      </w:r>
      <w:proofErr w:type="spellStart"/>
      <w:r w:rsidR="00B435EE">
        <w:t>Demonstrated</w:t>
      </w:r>
      <w:proofErr w:type="spellEnd"/>
      <w:r w:rsidR="00B435EE">
        <w:t xml:space="preserve"> </w:t>
      </w:r>
      <w:proofErr w:type="spellStart"/>
      <w:r w:rsidR="00B435EE">
        <w:t>technical</w:t>
      </w:r>
      <w:proofErr w:type="spellEnd"/>
      <w:r w:rsidR="00B435EE">
        <w:t xml:space="preserve"> </w:t>
      </w:r>
      <w:proofErr w:type="spellStart"/>
      <w:r w:rsidR="00B435EE">
        <w:t>competence</w:t>
      </w:r>
      <w:proofErr w:type="spellEnd"/>
      <w:r w:rsidR="00B435EE">
        <w:t xml:space="preserve"> and </w:t>
      </w:r>
      <w:proofErr w:type="spellStart"/>
      <w:r w:rsidR="00B435EE">
        <w:t>knowledge</w:t>
      </w:r>
      <w:proofErr w:type="spellEnd"/>
      <w:r w:rsidR="00B435EE">
        <w:t xml:space="preserve"> of </w:t>
      </w:r>
      <w:proofErr w:type="spellStart"/>
      <w:r w:rsidR="00B435EE">
        <w:t>financial</w:t>
      </w:r>
      <w:proofErr w:type="spellEnd"/>
      <w:r w:rsidR="00B435EE">
        <w:t xml:space="preserve"> </w:t>
      </w:r>
      <w:proofErr w:type="spellStart"/>
      <w:r w:rsidR="00B435EE">
        <w:t>accounting</w:t>
      </w:r>
      <w:proofErr w:type="spellEnd"/>
      <w:r w:rsidR="00B435EE">
        <w:t xml:space="preserve"> and </w:t>
      </w:r>
      <w:proofErr w:type="spellStart"/>
      <w:r w:rsidR="00B435EE">
        <w:t>reporting</w:t>
      </w:r>
      <w:proofErr w:type="spellEnd"/>
      <w:r w:rsidR="00B435EE">
        <w:t xml:space="preserve">. (2) </w:t>
      </w:r>
      <w:proofErr w:type="spellStart"/>
      <w:r w:rsidR="00B435EE" w:rsidRPr="00B435EE">
        <w:t>Ability</w:t>
      </w:r>
      <w:proofErr w:type="spellEnd"/>
      <w:r w:rsidR="00B435EE" w:rsidRPr="00B435EE">
        <w:t xml:space="preserve"> to </w:t>
      </w:r>
      <w:proofErr w:type="spellStart"/>
      <w:r w:rsidR="00B435EE" w:rsidRPr="00B435EE">
        <w:t>analyse</w:t>
      </w:r>
      <w:proofErr w:type="spellEnd"/>
      <w:r w:rsidR="00B435EE">
        <w:t xml:space="preserve">. </w:t>
      </w:r>
      <w:r w:rsidR="00B435EE" w:rsidRPr="005649D4">
        <w:rPr>
          <w:lang w:val="en-US"/>
        </w:rPr>
        <w:t xml:space="preserve">(3) </w:t>
      </w:r>
      <w:r w:rsidR="00A11548" w:rsidRPr="005649D4">
        <w:rPr>
          <w:lang w:val="en-US"/>
        </w:rPr>
        <w:t>Communication skills</w:t>
      </w:r>
      <w:r w:rsidR="005649D4" w:rsidRPr="005649D4">
        <w:rPr>
          <w:lang w:val="en-US"/>
        </w:rPr>
        <w:t>. (4) Judicious decision-making. (5) Awareness of the financial reporting environment</w:t>
      </w:r>
      <w:r w:rsidR="005649D4">
        <w:rPr>
          <w:lang w:val="en-US"/>
        </w:rPr>
        <w:t xml:space="preserve">. (6) </w:t>
      </w:r>
      <w:r w:rsidR="005649D4" w:rsidRPr="005649D4">
        <w:rPr>
          <w:lang w:val="en-US"/>
        </w:rPr>
        <w:t>Ability to work in a collegial atmosphere</w:t>
      </w:r>
      <w:r w:rsidR="005649D4">
        <w:rPr>
          <w:lang w:val="en-US"/>
        </w:rPr>
        <w:t xml:space="preserve">. (7) </w:t>
      </w:r>
      <w:r w:rsidR="009A2B9D" w:rsidRPr="009A2B9D">
        <w:rPr>
          <w:lang w:val="en-US"/>
        </w:rPr>
        <w:t>Integrity, objectivity and discipline</w:t>
      </w:r>
      <w:r w:rsidR="009A2B9D">
        <w:rPr>
          <w:lang w:val="en-US"/>
        </w:rPr>
        <w:t xml:space="preserve">. (8) </w:t>
      </w:r>
      <w:r w:rsidR="009A2B9D" w:rsidRPr="009A2B9D">
        <w:rPr>
          <w:lang w:val="en-US"/>
        </w:rPr>
        <w:t>Commitment to the IFRS Foundation’s mission and public interest</w:t>
      </w:r>
      <w:r w:rsidR="009A2B9D">
        <w:rPr>
          <w:lang w:val="en-US"/>
        </w:rPr>
        <w:t xml:space="preserve">. </w:t>
      </w:r>
      <w:r w:rsidR="00F75404" w:rsidRPr="00E05BDD">
        <w:t xml:space="preserve">Por otra parte, los párrafos </w:t>
      </w:r>
      <w:r w:rsidR="00E05BDD" w:rsidRPr="00E05BDD">
        <w:t>24 a 27 de la Constitución determinan la forma de proceder de los Fiduciarios</w:t>
      </w:r>
      <w:r w:rsidR="00F46557">
        <w:t xml:space="preserve"> –</w:t>
      </w:r>
      <w:r w:rsidR="00F46557" w:rsidRPr="00F46557">
        <w:t xml:space="preserve"> </w:t>
      </w:r>
      <w:proofErr w:type="spellStart"/>
      <w:r w:rsidR="00F46557" w:rsidRPr="00F46557">
        <w:t>Trustees</w:t>
      </w:r>
      <w:proofErr w:type="spellEnd"/>
      <w:r w:rsidR="00F46557">
        <w:t>-</w:t>
      </w:r>
      <w:r w:rsidR="00E05BDD" w:rsidRPr="00E05BDD">
        <w:t xml:space="preserve"> al elegir los miembros de IASB. </w:t>
      </w:r>
      <w:r w:rsidR="00E05BDD" w:rsidRPr="00E05BDD">
        <w:rPr>
          <w:lang w:val="en-US"/>
        </w:rPr>
        <w:t xml:space="preserve">En el </w:t>
      </w:r>
      <w:proofErr w:type="spellStart"/>
      <w:r w:rsidR="00E05BDD" w:rsidRPr="00E05BDD">
        <w:rPr>
          <w:lang w:val="en-US"/>
        </w:rPr>
        <w:t>párrafo</w:t>
      </w:r>
      <w:proofErr w:type="spellEnd"/>
      <w:r w:rsidR="00E05BDD" w:rsidRPr="00E05BDD">
        <w:rPr>
          <w:lang w:val="en-US"/>
        </w:rPr>
        <w:t xml:space="preserve"> 25 se lee: </w:t>
      </w:r>
      <w:r w:rsidR="00E05BDD">
        <w:rPr>
          <w:lang w:val="en-US"/>
        </w:rPr>
        <w:t xml:space="preserve">“(…) </w:t>
      </w:r>
      <w:r w:rsidR="00E05BDD" w:rsidRPr="00190158">
        <w:rPr>
          <w:i/>
          <w:lang w:val="en-US"/>
        </w:rPr>
        <w:t>so that it will comprise a group of people representing, within that group, the best available combination of technical expertise and diversity of international business and market experience in order to contribute to the development of high quality, global financial reporting standards</w:t>
      </w:r>
      <w:r w:rsidR="00E05BDD">
        <w:rPr>
          <w:lang w:val="en-US"/>
        </w:rPr>
        <w:t xml:space="preserve"> (…) y el </w:t>
      </w:r>
      <w:proofErr w:type="spellStart"/>
      <w:r w:rsidR="00E05BDD">
        <w:rPr>
          <w:lang w:val="en-US"/>
        </w:rPr>
        <w:t>párrafo</w:t>
      </w:r>
      <w:proofErr w:type="spellEnd"/>
      <w:r w:rsidR="00E05BDD">
        <w:rPr>
          <w:lang w:val="en-US"/>
        </w:rPr>
        <w:t xml:space="preserve"> </w:t>
      </w:r>
      <w:r w:rsidR="00E01E51">
        <w:rPr>
          <w:lang w:val="en-US"/>
        </w:rPr>
        <w:t xml:space="preserve">27 </w:t>
      </w:r>
      <w:proofErr w:type="spellStart"/>
      <w:r w:rsidR="002B7B9C">
        <w:rPr>
          <w:lang w:val="en-US"/>
        </w:rPr>
        <w:t>reza</w:t>
      </w:r>
      <w:proofErr w:type="spellEnd"/>
      <w:r w:rsidR="002B7B9C">
        <w:rPr>
          <w:lang w:val="en-US"/>
        </w:rPr>
        <w:t xml:space="preserve">: “(…) </w:t>
      </w:r>
      <w:r w:rsidR="002B7B9C" w:rsidRPr="00190158">
        <w:rPr>
          <w:i/>
          <w:lang w:val="en-US"/>
        </w:rPr>
        <w:t xml:space="preserve">as a group provides an appropriate mix of recent practical experience among auditors, preparers, users and academics </w:t>
      </w:r>
      <w:r w:rsidR="002B7B9C">
        <w:rPr>
          <w:lang w:val="en-US"/>
        </w:rPr>
        <w:t>(…)”</w:t>
      </w:r>
      <w:r w:rsidR="00190158">
        <w:rPr>
          <w:lang w:val="en-US"/>
        </w:rPr>
        <w:t xml:space="preserve">. </w:t>
      </w:r>
      <w:r w:rsidR="00190158" w:rsidRPr="00E01E51">
        <w:t>El párrafo 26 regula la procedencia geográfica de los consejeros.</w:t>
      </w:r>
      <w:r w:rsidR="00E01E51" w:rsidRPr="00E01E51">
        <w:t xml:space="preserve"> </w:t>
      </w:r>
      <w:r w:rsidR="004B0F4B">
        <w:t>Compárese</w:t>
      </w:r>
      <w:r w:rsidR="00E01E51" w:rsidRPr="00E01E51">
        <w:t xml:space="preserve"> estos criterios y reglas con los previstos en </w:t>
      </w:r>
      <w:r w:rsidR="004B0F4B">
        <w:t>el</w:t>
      </w:r>
      <w:r w:rsidR="00E01E51" w:rsidRPr="00E01E51">
        <w:t xml:space="preserve"> art</w:t>
      </w:r>
      <w:r w:rsidR="00E01E51">
        <w:t xml:space="preserve">ículo </w:t>
      </w:r>
      <w:r w:rsidR="00827041">
        <w:t xml:space="preserve">11 </w:t>
      </w:r>
      <w:r w:rsidR="00E01E51">
        <w:t xml:space="preserve">de la </w:t>
      </w:r>
      <w:hyperlink r:id="rId13" w:history="1">
        <w:r w:rsidR="00E01E51" w:rsidRPr="00E01E51">
          <w:rPr>
            <w:rStyle w:val="Hipervnculo"/>
          </w:rPr>
          <w:t>Ley 1314 de 2009</w:t>
        </w:r>
      </w:hyperlink>
      <w:r w:rsidR="00827041">
        <w:t xml:space="preserve"> o con el artículo </w:t>
      </w:r>
      <w:r w:rsidR="00FA4BA1">
        <w:t xml:space="preserve">3° del </w:t>
      </w:r>
      <w:hyperlink r:id="rId14" w:history="1">
        <w:r w:rsidR="00FA4BA1" w:rsidRPr="006B5300">
          <w:rPr>
            <w:rStyle w:val="Hipervnculo"/>
          </w:rPr>
          <w:t>Decreto reglamentario 1955 de 2010</w:t>
        </w:r>
      </w:hyperlink>
      <w:r w:rsidR="00FA4BA1">
        <w:t>.</w:t>
      </w:r>
      <w:r w:rsidR="005C56E9">
        <w:t xml:space="preserve"> </w:t>
      </w:r>
    </w:p>
    <w:p w:rsidR="004B0F4B" w:rsidRDefault="004B0F4B" w:rsidP="002B7B9C">
      <w:r>
        <w:t xml:space="preserve">Así las cosas, para entender por qué los estándares </w:t>
      </w:r>
      <w:r w:rsidR="007F7C84">
        <w:t xml:space="preserve">se remiten al valor razonable, es necesario revisar la </w:t>
      </w:r>
      <w:hyperlink r:id="rId15" w:history="1">
        <w:r w:rsidR="007F7C84" w:rsidRPr="0059259B">
          <w:rPr>
            <w:rStyle w:val="Hipervnculo"/>
          </w:rPr>
          <w:t>hoja de vida</w:t>
        </w:r>
      </w:hyperlink>
      <w:r w:rsidR="007F7C84">
        <w:t xml:space="preserve"> de los miembros de IASB.</w:t>
      </w:r>
      <w:r w:rsidR="00E0721B">
        <w:t xml:space="preserve"> </w:t>
      </w:r>
    </w:p>
    <w:p w:rsidR="00171E2C" w:rsidRPr="00171E2C" w:rsidRDefault="00171E2C" w:rsidP="00171E2C">
      <w:pPr>
        <w:jc w:val="right"/>
        <w:rPr>
          <w:i/>
        </w:rPr>
      </w:pPr>
      <w:r w:rsidRPr="00171E2C">
        <w:rPr>
          <w:i/>
        </w:rPr>
        <w:t>Hernando Bermúdez Gómez</w:t>
      </w:r>
    </w:p>
    <w:sectPr w:rsidR="00171E2C" w:rsidRPr="00171E2C" w:rsidSect="007F1D21">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965" w:rsidRDefault="00890965" w:rsidP="00EE7812">
      <w:pPr>
        <w:spacing w:after="0" w:line="240" w:lineRule="auto"/>
      </w:pPr>
      <w:r>
        <w:separator/>
      </w:r>
    </w:p>
  </w:endnote>
  <w:endnote w:type="continuationSeparator" w:id="0">
    <w:p w:rsidR="00890965" w:rsidRDefault="008909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965" w:rsidRDefault="00890965" w:rsidP="00EE7812">
      <w:pPr>
        <w:spacing w:after="0" w:line="240" w:lineRule="auto"/>
      </w:pPr>
      <w:r>
        <w:separator/>
      </w:r>
    </w:p>
  </w:footnote>
  <w:footnote w:type="continuationSeparator" w:id="0">
    <w:p w:rsidR="00890965" w:rsidRDefault="0089096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23275">
      <w:t>1035</w:t>
    </w:r>
    <w:r w:rsidR="00667D4D">
      <w:t>,</w:t>
    </w:r>
    <w:r w:rsidR="009D09BB">
      <w:t xml:space="preserve"> </w:t>
    </w:r>
    <w:r w:rsidR="00923275">
      <w:t xml:space="preserve">noviembre </w:t>
    </w:r>
    <w:r w:rsidR="008D54E6">
      <w:t>5</w:t>
    </w:r>
    <w:r w:rsidR="007E2BC9">
      <w:t xml:space="preserve"> de 2014</w:t>
    </w:r>
  </w:p>
  <w:p w:rsidR="0046164F" w:rsidRDefault="00890965"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147"/>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32"/>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2EEC"/>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6FC6"/>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1E2C"/>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158"/>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77A"/>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6DA2"/>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95D"/>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B9C"/>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047"/>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DBA"/>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2AE"/>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718"/>
    <w:rsid w:val="004B0CA2"/>
    <w:rsid w:val="004B0E32"/>
    <w:rsid w:val="004B0F4B"/>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185"/>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9D4"/>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85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59B"/>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68"/>
    <w:rsid w:val="005C3672"/>
    <w:rsid w:val="005C3CE0"/>
    <w:rsid w:val="005C4786"/>
    <w:rsid w:val="005C4A20"/>
    <w:rsid w:val="005C4F6B"/>
    <w:rsid w:val="005C56E9"/>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0E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B07"/>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4E0"/>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300"/>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C84"/>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41"/>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00A"/>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65"/>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4E6"/>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275"/>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65E"/>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B9D"/>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548"/>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689"/>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B8A"/>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4973"/>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5EE"/>
    <w:rsid w:val="00B43780"/>
    <w:rsid w:val="00B4425D"/>
    <w:rsid w:val="00B44904"/>
    <w:rsid w:val="00B45086"/>
    <w:rsid w:val="00B450B7"/>
    <w:rsid w:val="00B453D6"/>
    <w:rsid w:val="00B45403"/>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42B"/>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A"/>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6EB"/>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E5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BDD"/>
    <w:rsid w:val="00E05F83"/>
    <w:rsid w:val="00E06120"/>
    <w:rsid w:val="00E063D7"/>
    <w:rsid w:val="00E0663D"/>
    <w:rsid w:val="00E0677C"/>
    <w:rsid w:val="00E06D72"/>
    <w:rsid w:val="00E06EEA"/>
    <w:rsid w:val="00E0715B"/>
    <w:rsid w:val="00E0721B"/>
    <w:rsid w:val="00E07711"/>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DCC"/>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1E82"/>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7AA"/>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57"/>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4"/>
    <w:rsid w:val="00F7540A"/>
    <w:rsid w:val="00F760DB"/>
    <w:rsid w:val="00F7629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BA1"/>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3FF"/>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2009-ley-1314.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frs.org/The-organisation/Governance-and-accountability/Constitution/Documents/IFRS-Foundation-Constitution-January-2013.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pers.ssrn.com/sol3/papers.cfm?abstract_id=1617398" TargetMode="External"/><Relationship Id="rId5" Type="http://schemas.openxmlformats.org/officeDocument/2006/relationships/settings" Target="settings.xml"/><Relationship Id="rId15" Type="http://schemas.openxmlformats.org/officeDocument/2006/relationships/hyperlink" Target="http://www.ifrs.org/About-us/IASB/Members/Pages/Members-of-the-IASB.aspx" TargetMode="External"/><Relationship Id="rId10" Type="http://schemas.openxmlformats.org/officeDocument/2006/relationships/hyperlink" Target="http://hbr.org/2013/03/why-fair-value-is-the-rule/ar/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bs.edu/faculty/Pages/profile.aspx?facId=441533&amp;facInfo=pub" TargetMode="External"/><Relationship Id="rId14" Type="http://schemas.openxmlformats.org/officeDocument/2006/relationships/hyperlink" Target="http://www.javeriana.edu.co/personales/hbermude/leycontable/contadores/2010-decreto-195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D45DBCBD-68E0-4733-8B43-8CEA2B849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570</Words>
  <Characters>3135</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3</cp:revision>
  <cp:lastPrinted>2011-08-23T16:28:00Z</cp:lastPrinted>
  <dcterms:created xsi:type="dcterms:W3CDTF">2014-10-30T19:38:00Z</dcterms:created>
  <dcterms:modified xsi:type="dcterms:W3CDTF">2014-11-05T16:05:00Z</dcterms:modified>
</cp:coreProperties>
</file>