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8D35B" w14:textId="77777777" w:rsidR="003008C9" w:rsidRPr="003008C9" w:rsidRDefault="002D15B4" w:rsidP="003008C9">
      <w:pPr>
        <w:keepNext/>
        <w:framePr w:dropCap="drop" w:lines="3" w:wrap="around" w:vAnchor="text" w:hAnchor="text"/>
        <w:spacing w:after="0" w:line="926" w:lineRule="exact"/>
        <w:textAlignment w:val="baseline"/>
        <w:rPr>
          <w:position w:val="-9"/>
          <w:sz w:val="123"/>
        </w:rPr>
      </w:pPr>
      <w:r>
        <w:rPr>
          <w:position w:val="-9"/>
          <w:sz w:val="123"/>
        </w:rPr>
        <w:t>S</w:t>
      </w:r>
    </w:p>
    <w:p w14:paraId="46211D01" w14:textId="77777777" w:rsidR="002D15B4" w:rsidRPr="00E23E6C" w:rsidRDefault="005677E6" w:rsidP="004E2BFB">
      <w:r>
        <w:t xml:space="preserve">n la </w:t>
      </w:r>
      <w:r w:rsidR="002D15B4" w:rsidRPr="00E23E6C">
        <w:t>puede leer en el</w:t>
      </w:r>
      <w:r w:rsidR="002D15B4">
        <w:t xml:space="preserve"> </w:t>
      </w:r>
      <w:hyperlink r:id="rId9" w:history="1">
        <w:r w:rsidR="002D15B4" w:rsidRPr="00253569">
          <w:rPr>
            <w:rStyle w:val="Hipervnculo"/>
          </w:rPr>
          <w:t>October IASB  Update</w:t>
        </w:r>
      </w:hyperlink>
      <w:r w:rsidR="002D15B4" w:rsidRPr="00E23E6C">
        <w:t xml:space="preserve"> un importante cambio</w:t>
      </w:r>
      <w:r w:rsidR="002D15B4">
        <w:t xml:space="preserve"> </w:t>
      </w:r>
      <w:r w:rsidR="002D15B4" w:rsidRPr="00E23E6C">
        <w:t>en el proyecto de modificación a la NIIF para las PYMES:</w:t>
      </w:r>
    </w:p>
    <w:p w14:paraId="7F628C1F" w14:textId="77777777" w:rsidR="002D15B4" w:rsidRPr="002D15B4" w:rsidRDefault="002D15B4" w:rsidP="004E2BFB">
      <w:pPr>
        <w:rPr>
          <w:i/>
          <w:lang w:val="en-US"/>
        </w:rPr>
      </w:pPr>
      <w:r w:rsidRPr="002D15B4">
        <w:rPr>
          <w:i/>
          <w:lang w:val="en-US"/>
        </w:rPr>
        <w:t>“Accounting policy options</w:t>
      </w:r>
      <w:r w:rsidR="009118AF">
        <w:rPr>
          <w:i/>
          <w:lang w:val="en-US"/>
        </w:rPr>
        <w:t xml:space="preserve">: </w:t>
      </w:r>
      <w:r w:rsidRPr="002D15B4">
        <w:rPr>
          <w:i/>
          <w:lang w:val="en-US"/>
        </w:rPr>
        <w:t>The IASB tentatively decided that an option to use the revaluation model for property, plant and equipment should be added to the IFRS for SMEs. Eight of the thirteen IASB members present agreed with this decision.”</w:t>
      </w:r>
    </w:p>
    <w:p w14:paraId="02A67C86" w14:textId="77777777" w:rsidR="002D15B4" w:rsidRPr="00E23E6C" w:rsidRDefault="002D15B4" w:rsidP="004E2BFB">
      <w:r w:rsidRPr="00E23E6C">
        <w:t>Aunque desde el punto de vista conceptual existen argumentos importantes para defender el uso de un modelo de costo, como por ejemplo el hecho de que estos elemen</w:t>
      </w:r>
      <w:r>
        <w:t>t</w:t>
      </w:r>
      <w:r w:rsidRPr="00E23E6C">
        <w:t>os no se venden reg</w:t>
      </w:r>
      <w:r>
        <w:t xml:space="preserve">ularmente sino que se consumen por </w:t>
      </w:r>
      <w:r w:rsidRPr="00E23E6C">
        <w:t xml:space="preserve">el uso en la </w:t>
      </w:r>
      <w:r w:rsidR="009118AF" w:rsidRPr="00E23E6C">
        <w:t>producción</w:t>
      </w:r>
      <w:r w:rsidRPr="00E23E6C">
        <w:t xml:space="preserve"> de bie</w:t>
      </w:r>
      <w:r w:rsidR="009118AF">
        <w:t>nes o prestación d</w:t>
      </w:r>
      <w:r w:rsidRPr="00E23E6C">
        <w:t>e servicios entre otros,  entiendo que muchos usuarios de la información</w:t>
      </w:r>
      <w:r>
        <w:t xml:space="preserve"> (Véase </w:t>
      </w:r>
      <w:hyperlink r:id="rId10" w:history="1">
        <w:r w:rsidRPr="004E2BFB">
          <w:rPr>
            <w:rStyle w:val="Hipervnculo"/>
          </w:rPr>
          <w:t>contrapartida</w:t>
        </w:r>
      </w:hyperlink>
      <w:r>
        <w:t xml:space="preserve"> 754),</w:t>
      </w:r>
      <w:r w:rsidRPr="00E23E6C">
        <w:t xml:space="preserve"> en general no encuentran </w:t>
      </w:r>
      <w:r>
        <w:t>adecuada</w:t>
      </w:r>
      <w:r w:rsidRPr="00E23E6C">
        <w:t xml:space="preserve"> la información financiera </w:t>
      </w:r>
      <w:r>
        <w:t xml:space="preserve">empleando el </w:t>
      </w:r>
      <w:r w:rsidRPr="00E23E6C">
        <w:t>modelo de</w:t>
      </w:r>
      <w:r>
        <w:t>l</w:t>
      </w:r>
      <w:r w:rsidRPr="00E23E6C">
        <w:t xml:space="preserve"> costo, y por lo tanto</w:t>
      </w:r>
      <w:r>
        <w:t>,</w:t>
      </w:r>
      <w:r w:rsidRPr="00E23E6C">
        <w:t xml:space="preserve"> en áras de la utilidad de la información para la toma de decisiones por parte de los usuarios</w:t>
      </w:r>
      <w:r>
        <w:t>,</w:t>
      </w:r>
      <w:r w:rsidRPr="00E23E6C">
        <w:t xml:space="preserve"> puede resultar comprensible el cambio de posición.</w:t>
      </w:r>
    </w:p>
    <w:p w14:paraId="4803CC83" w14:textId="77777777" w:rsidR="002D15B4" w:rsidRPr="00E23E6C" w:rsidRDefault="002D15B4" w:rsidP="004E2BFB">
      <w:r w:rsidRPr="00E23E6C">
        <w:t xml:space="preserve">Por otra parte, en Colombia se argumentó para la adopción de la </w:t>
      </w:r>
      <w:r w:rsidR="004E2BFB" w:rsidRPr="00E23E6C">
        <w:t>versión</w:t>
      </w:r>
      <w:r w:rsidRPr="00E23E6C">
        <w:t xml:space="preserve"> actual de la NIIF para las PYMES </w:t>
      </w:r>
      <w:r>
        <w:t>(</w:t>
      </w:r>
      <w:r w:rsidRPr="00E23E6C">
        <w:t xml:space="preserve">la cual seguramente </w:t>
      </w:r>
      <w:r w:rsidR="004E2BFB" w:rsidRPr="00E23E6C">
        <w:t>será</w:t>
      </w:r>
      <w:r w:rsidRPr="00E23E6C">
        <w:t xml:space="preserve"> la base de la transición en enero de 2015</w:t>
      </w:r>
      <w:r>
        <w:t xml:space="preserve">) </w:t>
      </w:r>
      <w:r w:rsidRPr="00E23E6C">
        <w:t>para las entidades del grupo</w:t>
      </w:r>
      <w:r>
        <w:t xml:space="preserve"> </w:t>
      </w:r>
      <w:r w:rsidRPr="00E23E6C">
        <w:t>2:</w:t>
      </w:r>
    </w:p>
    <w:p w14:paraId="54C9A165" w14:textId="77777777" w:rsidR="002D15B4" w:rsidRPr="00E23E6C" w:rsidRDefault="002D15B4" w:rsidP="004E2BFB">
      <w:pPr>
        <w:widowControl w:val="0"/>
        <w:autoSpaceDE w:val="0"/>
        <w:autoSpaceDN w:val="0"/>
        <w:adjustRightInd w:val="0"/>
        <w:spacing w:after="240"/>
      </w:pPr>
      <w:r w:rsidRPr="00E23E6C">
        <w:t>“</w:t>
      </w:r>
      <w:r w:rsidRPr="009B4615">
        <w:rPr>
          <w:i/>
        </w:rPr>
        <w:t xml:space="preserve">El CTCP, como integrante del grupo de trabajo que en su oportunidad organizó GLENIF, para la revisión de este estándar recomendó incluir la opción de que las PYMES puedan escoger la medición al valor revaluado. Sin embargo, la mayoría de los integrantes del grupo, decidió no incluir esta </w:t>
      </w:r>
      <w:r w:rsidRPr="009B4615">
        <w:rPr>
          <w:i/>
        </w:rPr>
        <w:lastRenderedPageBreak/>
        <w:t>propuesta, en el entendido de que la NIIF para las PYMES es una simplificación de las NIIF plenas, y el valor revaluado para las propiedades, planta y equipo es una metodología de valoración compleja y costosa, por lo cual esta norma no se debería permitir esta opción.”</w:t>
      </w:r>
    </w:p>
    <w:p w14:paraId="56418E6F" w14:textId="77777777" w:rsidR="002D15B4" w:rsidRPr="00E23E6C" w:rsidRDefault="004E2BFB" w:rsidP="004E2BFB">
      <w:r>
        <w:t xml:space="preserve">Ahora bien, </w:t>
      </w:r>
      <w:r w:rsidR="002D15B4" w:rsidRPr="00E23E6C">
        <w:t xml:space="preserve">¿Este cambio de posición de IASB hará que cambien las posiciones y justificaciones adoptadas en Colombia? </w:t>
      </w:r>
    </w:p>
    <w:p w14:paraId="2C0223FF" w14:textId="77777777" w:rsidR="002D15B4" w:rsidRPr="00E23E6C" w:rsidRDefault="002D15B4" w:rsidP="004E2BFB">
      <w:r w:rsidRPr="00E23E6C">
        <w:t xml:space="preserve">¿En Colombia la regulación para las entidades del grupo 2 debe ser siempre </w:t>
      </w:r>
      <w:r w:rsidR="004E2BFB" w:rsidRPr="00E23E6C">
        <w:t>idéntica</w:t>
      </w:r>
      <w:r w:rsidRPr="00E23E6C">
        <w:t xml:space="preserve"> a la NIIF para las PYMES expedida por IASB?</w:t>
      </w:r>
      <w:r>
        <w:t xml:space="preserve"> (En otros </w:t>
      </w:r>
      <w:r w:rsidR="004E2BFB">
        <w:t>países</w:t>
      </w:r>
      <w:r>
        <w:t xml:space="preserve"> la respuesta es no. </w:t>
      </w:r>
      <w:r w:rsidR="004E2BFB">
        <w:t>Véase</w:t>
      </w:r>
      <w:r>
        <w:t xml:space="preserve"> </w:t>
      </w:r>
      <w:hyperlink r:id="rId11" w:history="1">
        <w:r w:rsidRPr="004E2BFB">
          <w:rPr>
            <w:rStyle w:val="Hipervnculo"/>
          </w:rPr>
          <w:t>contrapartida</w:t>
        </w:r>
      </w:hyperlink>
      <w:r>
        <w:t xml:space="preserve"> 836)</w:t>
      </w:r>
    </w:p>
    <w:p w14:paraId="692BC826" w14:textId="77777777" w:rsidR="002D15B4" w:rsidRPr="004E2BFB" w:rsidRDefault="002D15B4" w:rsidP="004E2BFB">
      <w:pPr>
        <w:rPr>
          <w:i/>
        </w:rPr>
      </w:pPr>
      <w:r>
        <w:t>E</w:t>
      </w:r>
      <w:r w:rsidRPr="00E23E6C">
        <w:t>n el</w:t>
      </w:r>
      <w:r>
        <w:t xml:space="preserve"> mencionado</w:t>
      </w:r>
      <w:r w:rsidRPr="00E23E6C">
        <w:t xml:space="preserve"> documento</w:t>
      </w:r>
      <w:r>
        <w:t xml:space="preserve"> </w:t>
      </w:r>
      <w:r w:rsidR="004E2BFB">
        <w:t>también</w:t>
      </w:r>
      <w:r w:rsidRPr="00E23E6C">
        <w:t xml:space="preserve"> se </w:t>
      </w:r>
      <w:r>
        <w:t>reitera</w:t>
      </w:r>
      <w:r w:rsidRPr="00E23E6C">
        <w:t>:</w:t>
      </w:r>
      <w:r w:rsidR="004E2BFB">
        <w:t xml:space="preserve"> </w:t>
      </w:r>
      <w:r w:rsidRPr="004E2BFB">
        <w:rPr>
          <w:i/>
        </w:rPr>
        <w:t>“The IASB tentatively decided:</w:t>
      </w:r>
      <w:r w:rsidR="004E2BFB" w:rsidRPr="004E2BFB">
        <w:rPr>
          <w:i/>
        </w:rPr>
        <w:t xml:space="preserve"> </w:t>
      </w:r>
    </w:p>
    <w:p w14:paraId="4FAA43D4" w14:textId="77777777" w:rsidR="002D15B4" w:rsidRPr="002D15B4" w:rsidRDefault="002D15B4" w:rsidP="00DF3CFF">
      <w:pPr>
        <w:pStyle w:val="Sinespaciado"/>
        <w:numPr>
          <w:ilvl w:val="0"/>
          <w:numId w:val="14"/>
        </w:numPr>
        <w:rPr>
          <w:i/>
          <w:lang w:val="en-US"/>
        </w:rPr>
      </w:pPr>
      <w:r w:rsidRPr="002D15B4">
        <w:rPr>
          <w:i/>
          <w:lang w:val="en-US"/>
        </w:rPr>
        <w:t xml:space="preserve">not to include an option (or requirement) for development costs to be </w:t>
      </w:r>
      <w:r w:rsidR="00DF3CFF">
        <w:rPr>
          <w:i/>
          <w:lang w:val="en-US"/>
        </w:rPr>
        <w:pgNum/>
      </w:r>
      <w:proofErr w:type="spellStart"/>
      <w:r w:rsidR="00DF3CFF">
        <w:rPr>
          <w:i/>
          <w:lang w:val="en-US"/>
        </w:rPr>
        <w:t>apitalized</w:t>
      </w:r>
      <w:proofErr w:type="spellEnd"/>
      <w:r w:rsidRPr="002D15B4">
        <w:rPr>
          <w:i/>
          <w:lang w:val="en-US"/>
        </w:rPr>
        <w:t xml:space="preserve"> on a similar basis to IAS 38 Intangible Assets;</w:t>
      </w:r>
    </w:p>
    <w:p w14:paraId="51F8F6AE" w14:textId="77777777" w:rsidR="002D15B4" w:rsidRPr="002D15B4" w:rsidRDefault="002D15B4" w:rsidP="004E2BFB">
      <w:pPr>
        <w:pStyle w:val="Sinespaciado"/>
        <w:rPr>
          <w:i/>
          <w:lang w:val="en-US"/>
        </w:rPr>
      </w:pPr>
      <w:proofErr w:type="gramStart"/>
      <w:r w:rsidRPr="002D15B4">
        <w:rPr>
          <w:i/>
          <w:lang w:val="en-US"/>
        </w:rPr>
        <w:t>and</w:t>
      </w:r>
      <w:proofErr w:type="gramEnd"/>
    </w:p>
    <w:p w14:paraId="571C42CF" w14:textId="77777777" w:rsidR="002D15B4" w:rsidRPr="002D15B4" w:rsidRDefault="002D15B4" w:rsidP="00DF3CFF">
      <w:pPr>
        <w:pStyle w:val="Sinespaciado"/>
        <w:numPr>
          <w:ilvl w:val="0"/>
          <w:numId w:val="15"/>
        </w:numPr>
        <w:rPr>
          <w:i/>
          <w:lang w:val="en-US"/>
        </w:rPr>
      </w:pPr>
      <w:proofErr w:type="gramStart"/>
      <w:r w:rsidRPr="002D15B4">
        <w:rPr>
          <w:i/>
          <w:lang w:val="en-US"/>
        </w:rPr>
        <w:t>not</w:t>
      </w:r>
      <w:proofErr w:type="gramEnd"/>
      <w:r w:rsidRPr="002D15B4">
        <w:rPr>
          <w:i/>
          <w:lang w:val="en-US"/>
        </w:rPr>
        <w:t xml:space="preserve"> to include an option (or requirement) for borrowing costs to be </w:t>
      </w:r>
      <w:r w:rsidR="00DF3CFF">
        <w:rPr>
          <w:i/>
          <w:lang w:val="en-US"/>
        </w:rPr>
        <w:pgNum/>
      </w:r>
      <w:proofErr w:type="spellStart"/>
      <w:r w:rsidR="00DF3CFF">
        <w:rPr>
          <w:i/>
          <w:lang w:val="en-US"/>
        </w:rPr>
        <w:t>apitalized</w:t>
      </w:r>
      <w:proofErr w:type="spellEnd"/>
      <w:r w:rsidRPr="002D15B4">
        <w:rPr>
          <w:i/>
          <w:lang w:val="en-US"/>
        </w:rPr>
        <w:t xml:space="preserve"> on a similar basis to IAS 23 Borrowing Costs.”</w:t>
      </w:r>
    </w:p>
    <w:p w14:paraId="723BD19E" w14:textId="77777777" w:rsidR="002D15B4" w:rsidRPr="002D15B4" w:rsidRDefault="002D15B4" w:rsidP="004E2BFB">
      <w:pPr>
        <w:pStyle w:val="Sinespaciado"/>
        <w:rPr>
          <w:i/>
          <w:lang w:val="en-US"/>
        </w:rPr>
      </w:pPr>
    </w:p>
    <w:p w14:paraId="7BE5931B" w14:textId="0EC45F8C" w:rsidR="002D15B4" w:rsidRDefault="002D15B4" w:rsidP="00DF3CFF">
      <w:pPr>
        <w:jc w:val="both"/>
      </w:pPr>
      <w:r w:rsidRPr="00E23E6C">
        <w:t xml:space="preserve">Insisto en que en estos dos </w:t>
      </w:r>
      <w:r w:rsidR="004E2BFB" w:rsidRPr="00E23E6C">
        <w:t>últimos</w:t>
      </w:r>
      <w:r w:rsidRPr="00E23E6C">
        <w:t xml:space="preserve"> casos</w:t>
      </w:r>
      <w:r w:rsidR="004E2BFB">
        <w:t>,</w:t>
      </w:r>
      <w:r w:rsidRPr="00E23E6C">
        <w:t xml:space="preserve"> debe debatirse su conveniencia nacional aunque eso implique ser distintos a IASB</w:t>
      </w:r>
      <w:r w:rsidR="00DF3CFF">
        <w:t xml:space="preserve"> o a las posiciones de</w:t>
      </w:r>
      <w:r w:rsidR="0089510C">
        <w:t>l</w:t>
      </w:r>
      <w:r w:rsidR="00DF3CFF">
        <w:t xml:space="preserve"> GLENIF</w:t>
      </w:r>
      <w:r w:rsidRPr="00E23E6C">
        <w:t>.</w:t>
      </w:r>
    </w:p>
    <w:p w14:paraId="314964A0" w14:textId="21100F4B" w:rsidR="00DF3CFF" w:rsidRPr="00E23E6C" w:rsidRDefault="00DF3CFF" w:rsidP="00DF3CFF">
      <w:pPr>
        <w:jc w:val="both"/>
      </w:pPr>
      <w:r>
        <w:t xml:space="preserve">Los organismos </w:t>
      </w:r>
      <w:r w:rsidR="00A52FE4">
        <w:t xml:space="preserve">normalizadores y </w:t>
      </w:r>
      <w:r>
        <w:t xml:space="preserve">reguladores </w:t>
      </w:r>
      <w:r w:rsidR="002A3408">
        <w:t>deben entonces</w:t>
      </w:r>
      <w:r>
        <w:t xml:space="preserve"> investigar, debatir, escuchar. Asi mismo</w:t>
      </w:r>
      <w:r w:rsidR="00CB77D5">
        <w:t>,</w:t>
      </w:r>
      <w:r>
        <w:t xml:space="preserve"> la academia y la comunidad contable en general debe participar, criticar, argumentar. </w:t>
      </w:r>
    </w:p>
    <w:p w14:paraId="67A624AA" w14:textId="7BA5CF9E" w:rsidR="00AB2BF5" w:rsidRPr="00AB2BF5" w:rsidRDefault="00271B50" w:rsidP="00DF3CFF">
      <w:pPr>
        <w:pStyle w:val="Sinespaciado"/>
        <w:ind w:left="708"/>
        <w:jc w:val="center"/>
        <w:rPr>
          <w:i/>
        </w:rPr>
      </w:pPr>
      <w:r>
        <w:rPr>
          <w:i/>
        </w:rPr>
        <w:t>Cé</w:t>
      </w:r>
      <w:r w:rsidR="002D15B4" w:rsidRPr="00797E54">
        <w:rPr>
          <w:i/>
        </w:rPr>
        <w:t>sar Augusto Salazar Baquero</w:t>
      </w:r>
    </w:p>
    <w:sectPr w:rsidR="00AB2BF5" w:rsidRPr="00AB2BF5" w:rsidSect="007F1D21">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6EDC0" w14:textId="77777777" w:rsidR="00B41CA7" w:rsidRDefault="00B41CA7" w:rsidP="00EE7812">
      <w:pPr>
        <w:spacing w:after="0" w:line="240" w:lineRule="auto"/>
      </w:pPr>
      <w:r>
        <w:separator/>
      </w:r>
    </w:p>
  </w:endnote>
  <w:endnote w:type="continuationSeparator" w:id="0">
    <w:p w14:paraId="3756C5D1" w14:textId="77777777" w:rsidR="00B41CA7" w:rsidRDefault="00B41C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B5B6A" w14:textId="77777777" w:rsidR="00D65956" w:rsidRDefault="00D6595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EBB40" w14:textId="77777777"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F71DF" w14:textId="77777777" w:rsidR="00D65956" w:rsidRDefault="00D6595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9817F" w14:textId="77777777" w:rsidR="00B41CA7" w:rsidRDefault="00B41CA7" w:rsidP="00EE7812">
      <w:pPr>
        <w:spacing w:after="0" w:line="240" w:lineRule="auto"/>
      </w:pPr>
      <w:r>
        <w:separator/>
      </w:r>
    </w:p>
  </w:footnote>
  <w:footnote w:type="continuationSeparator" w:id="0">
    <w:p w14:paraId="16875803" w14:textId="77777777" w:rsidR="00B41CA7" w:rsidRDefault="00B41CA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0C1CD" w14:textId="77777777" w:rsidR="00D65956" w:rsidRDefault="00D659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51B84" w14:textId="77777777"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14:paraId="719D84CC" w14:textId="77777777" w:rsidR="0046164F" w:rsidRDefault="0046164F" w:rsidP="009E760E">
    <w:pPr>
      <w:spacing w:after="0"/>
      <w:jc w:val="right"/>
      <w:rPr>
        <w:b/>
        <w:bCs/>
        <w:color w:val="1F497D"/>
        <w:sz w:val="28"/>
        <w:szCs w:val="28"/>
      </w:rPr>
    </w:pPr>
    <w:r>
      <w:t>De Computationis Jure Opiniones</w:t>
    </w:r>
  </w:p>
  <w:p w14:paraId="42FC6B0A" w14:textId="6843C5F2" w:rsidR="00942BD2" w:rsidRDefault="0046164F" w:rsidP="00613BC8">
    <w:pPr>
      <w:pStyle w:val="Encabezado"/>
      <w:tabs>
        <w:tab w:val="left" w:pos="2580"/>
        <w:tab w:val="left" w:pos="2985"/>
      </w:tabs>
      <w:spacing w:line="276" w:lineRule="auto"/>
      <w:jc w:val="right"/>
    </w:pPr>
    <w:r>
      <w:t>Número</w:t>
    </w:r>
    <w:r w:rsidR="00E465AF">
      <w:t xml:space="preserve"> </w:t>
    </w:r>
    <w:r w:rsidR="00A103ED">
      <w:t>103</w:t>
    </w:r>
    <w:r w:rsidR="009118AF">
      <w:t>9</w:t>
    </w:r>
    <w:r w:rsidR="00667D4D">
      <w:t>,</w:t>
    </w:r>
    <w:r w:rsidR="009D09BB">
      <w:t xml:space="preserve"> </w:t>
    </w:r>
    <w:r w:rsidR="00A103ED">
      <w:t>noviemb</w:t>
    </w:r>
    <w:r w:rsidR="00B26FD4">
      <w:t>re</w:t>
    </w:r>
    <w:r w:rsidR="007E2BC9">
      <w:t xml:space="preserve"> </w:t>
    </w:r>
    <w:r w:rsidR="00D65956">
      <w:t xml:space="preserve">10 </w:t>
    </w:r>
    <w:bookmarkStart w:id="0" w:name="_GoBack"/>
    <w:bookmarkEnd w:id="0"/>
    <w:r w:rsidR="007E2BC9">
      <w:t>de 2014</w:t>
    </w:r>
  </w:p>
  <w:p w14:paraId="68A32BE2" w14:textId="77777777" w:rsidR="0046164F" w:rsidRDefault="00B41CA7" w:rsidP="00613BC8">
    <w:pPr>
      <w:pStyle w:val="Encabezado"/>
      <w:tabs>
        <w:tab w:val="left" w:pos="2580"/>
        <w:tab w:val="left" w:pos="2985"/>
      </w:tabs>
      <w:spacing w:line="276" w:lineRule="auto"/>
      <w:jc w:val="right"/>
    </w:pPr>
    <w:r>
      <w:rPr>
        <w:lang w:val="es-ES" w:eastAsia="zh-TW"/>
      </w:rPr>
      <w:pict w14:anchorId="32123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66DBA" w14:textId="77777777" w:rsidR="00D65956" w:rsidRDefault="00D659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C8362F1"/>
    <w:multiLevelType w:val="hybridMultilevel"/>
    <w:tmpl w:val="3CF0101C"/>
    <w:lvl w:ilvl="0" w:tplc="86281EB4">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8800B28"/>
    <w:multiLevelType w:val="hybridMultilevel"/>
    <w:tmpl w:val="EA7C2DF2"/>
    <w:lvl w:ilvl="0" w:tplc="9B8E0450">
      <w:start w:val="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0"/>
  </w:num>
  <w:num w:numId="4">
    <w:abstractNumId w:val="3"/>
  </w:num>
  <w:num w:numId="5">
    <w:abstractNumId w:val="12"/>
  </w:num>
  <w:num w:numId="6">
    <w:abstractNumId w:val="14"/>
  </w:num>
  <w:num w:numId="7">
    <w:abstractNumId w:val="6"/>
  </w:num>
  <w:num w:numId="8">
    <w:abstractNumId w:val="1"/>
  </w:num>
  <w:num w:numId="9">
    <w:abstractNumId w:val="5"/>
  </w:num>
  <w:num w:numId="10">
    <w:abstractNumId w:val="9"/>
  </w:num>
  <w:num w:numId="11">
    <w:abstractNumId w:val="10"/>
  </w:num>
  <w:num w:numId="12">
    <w:abstractNumId w:val="7"/>
  </w:num>
  <w:num w:numId="13">
    <w:abstractNumId w:val="13"/>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D6D"/>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94E"/>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DD5"/>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565"/>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0FD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4AB"/>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03F"/>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45"/>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B50"/>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408"/>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5B4"/>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8C9"/>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37F9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55"/>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83C"/>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A38"/>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BFB"/>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AB1"/>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7E6"/>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39E3"/>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C6C"/>
    <w:rsid w:val="005A7F82"/>
    <w:rsid w:val="005B0274"/>
    <w:rsid w:val="005B049D"/>
    <w:rsid w:val="005B0D3F"/>
    <w:rsid w:val="005B1276"/>
    <w:rsid w:val="005B1974"/>
    <w:rsid w:val="005B1B47"/>
    <w:rsid w:val="005B1FA6"/>
    <w:rsid w:val="005B215D"/>
    <w:rsid w:val="005B218D"/>
    <w:rsid w:val="005B237D"/>
    <w:rsid w:val="005B24DA"/>
    <w:rsid w:val="005B2ACF"/>
    <w:rsid w:val="005B2EF8"/>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B43"/>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624"/>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2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2E"/>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4FB7"/>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2CE9"/>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10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A9C"/>
    <w:rsid w:val="008A5D27"/>
    <w:rsid w:val="008A610F"/>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A4D"/>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8AF"/>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B61"/>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B88"/>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3E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829"/>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5D"/>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2FE4"/>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2F7"/>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BF5"/>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AB9"/>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D7FAC"/>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6FD4"/>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CA7"/>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27"/>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74"/>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675"/>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A5"/>
    <w:rsid w:val="00C378B4"/>
    <w:rsid w:val="00C378C7"/>
    <w:rsid w:val="00C37DA1"/>
    <w:rsid w:val="00C402D8"/>
    <w:rsid w:val="00C4071D"/>
    <w:rsid w:val="00C407FA"/>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D5"/>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42"/>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95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406"/>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CFF"/>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327"/>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AFB"/>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71A"/>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73E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javeriana.edu.co/personales/hbermude/contrapartid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edia.ifrs.org/2014/IASB/October/IASB-Update-October-2014.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4BADC5D7-6FA1-42F9-96DE-99202A5A7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2554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2014-11-05T21:20:00Z</dcterms:created>
  <dcterms:modified xsi:type="dcterms:W3CDTF">2014-11-05T21:23:00Z</dcterms:modified>
</cp:coreProperties>
</file>