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907" w:rsidRPr="00307907" w:rsidRDefault="00307907" w:rsidP="00307907">
      <w:pPr>
        <w:keepNext/>
        <w:framePr w:dropCap="drop" w:lines="3" w:wrap="around" w:vAnchor="text" w:hAnchor="text"/>
        <w:spacing w:after="0" w:line="926" w:lineRule="exact"/>
        <w:textAlignment w:val="baseline"/>
        <w:rPr>
          <w:position w:val="-7"/>
          <w:sz w:val="121"/>
        </w:rPr>
      </w:pPr>
      <w:r w:rsidRPr="00307907">
        <w:rPr>
          <w:position w:val="-7"/>
          <w:sz w:val="121"/>
        </w:rPr>
        <w:t>U</w:t>
      </w:r>
    </w:p>
    <w:p w:rsidR="00973B6F" w:rsidRPr="004C7B43" w:rsidRDefault="00307907" w:rsidP="004B3E22">
      <w:pPr>
        <w:rPr>
          <w:lang w:val="en-US"/>
        </w:rPr>
      </w:pPr>
      <w:r>
        <w:t xml:space="preserve">no de los mayores avances de los reguladores contables consiste en diseñar normas para las empresas no inscritas en bolsa. Aunque al principio declaró que no estaba en sus planes, luego IASB expidió su </w:t>
      </w:r>
      <w:hyperlink r:id="rId8" w:anchor="sme_es" w:history="1">
        <w:r w:rsidR="00F568C2" w:rsidRPr="00F568C2">
          <w:rPr>
            <w:rStyle w:val="Hipervnculo"/>
          </w:rPr>
          <w:t xml:space="preserve">IFRS </w:t>
        </w:r>
        <w:proofErr w:type="spellStart"/>
        <w:r w:rsidR="00F568C2" w:rsidRPr="00F568C2">
          <w:rPr>
            <w:rStyle w:val="Hipervnculo"/>
          </w:rPr>
          <w:t>for</w:t>
        </w:r>
        <w:proofErr w:type="spellEnd"/>
        <w:r w:rsidR="00F568C2" w:rsidRPr="00F568C2">
          <w:rPr>
            <w:rStyle w:val="Hipervnculo"/>
          </w:rPr>
          <w:t xml:space="preserve"> </w:t>
        </w:r>
        <w:proofErr w:type="spellStart"/>
        <w:r w:rsidR="00F568C2" w:rsidRPr="00F568C2">
          <w:rPr>
            <w:rStyle w:val="Hipervnculo"/>
          </w:rPr>
          <w:t>SMEs</w:t>
        </w:r>
        <w:proofErr w:type="spellEnd"/>
      </w:hyperlink>
      <w:r w:rsidR="00F568C2">
        <w:t>. Como se sabe</w:t>
      </w:r>
      <w:r w:rsidR="008532DC">
        <w:t>,</w:t>
      </w:r>
      <w:r w:rsidR="00F568C2">
        <w:t xml:space="preserve"> en la actualidad IASB estudia una </w:t>
      </w:r>
      <w:hyperlink r:id="rId9" w:history="1">
        <w:r w:rsidR="00F568C2" w:rsidRPr="004965F4">
          <w:rPr>
            <w:rStyle w:val="Hipervnculo"/>
          </w:rPr>
          <w:t>actualización de ese estándar</w:t>
        </w:r>
      </w:hyperlink>
      <w:r w:rsidR="00F568C2">
        <w:t>.</w:t>
      </w:r>
      <w:r w:rsidR="004C7B43">
        <w:t xml:space="preserve"> </w:t>
      </w:r>
      <w:proofErr w:type="spellStart"/>
      <w:r w:rsidR="004C7B43" w:rsidRPr="004C7B43">
        <w:rPr>
          <w:lang w:val="en-US"/>
        </w:rPr>
        <w:t>Según</w:t>
      </w:r>
      <w:proofErr w:type="spellEnd"/>
      <w:r w:rsidR="004C7B43" w:rsidRPr="004C7B43">
        <w:rPr>
          <w:lang w:val="en-US"/>
        </w:rPr>
        <w:t xml:space="preserve"> </w:t>
      </w:r>
      <w:proofErr w:type="spellStart"/>
      <w:r w:rsidR="004C7B43" w:rsidRPr="004C7B43">
        <w:rPr>
          <w:lang w:val="en-US"/>
        </w:rPr>
        <w:t>sus</w:t>
      </w:r>
      <w:proofErr w:type="spellEnd"/>
      <w:r w:rsidR="004C7B43" w:rsidRPr="004C7B43">
        <w:rPr>
          <w:lang w:val="en-US"/>
        </w:rPr>
        <w:t xml:space="preserve"> </w:t>
      </w:r>
      <w:hyperlink r:id="rId10" w:history="1">
        <w:proofErr w:type="spellStart"/>
        <w:r w:rsidR="004C7B43" w:rsidRPr="004C7B43">
          <w:rPr>
            <w:rStyle w:val="Hipervnculo"/>
            <w:lang w:val="en-US"/>
          </w:rPr>
          <w:t>informes</w:t>
        </w:r>
        <w:proofErr w:type="spellEnd"/>
      </w:hyperlink>
      <w:r w:rsidR="004C7B43" w:rsidRPr="004C7B43">
        <w:rPr>
          <w:lang w:val="en-US"/>
        </w:rPr>
        <w:t xml:space="preserve"> “(…)</w:t>
      </w:r>
      <w:r w:rsidR="004C7B43">
        <w:rPr>
          <w:lang w:val="en-US"/>
        </w:rPr>
        <w:t xml:space="preserve"> </w:t>
      </w:r>
      <w:r w:rsidR="004C7B43" w:rsidRPr="004C7B43">
        <w:rPr>
          <w:i/>
          <w:lang w:val="en-US"/>
        </w:rPr>
        <w:t>Sixty-nine of the 138 jurisdictions whose profiles are posted require or permit the IFRS for SMEs. It is also currently under consideration in a further 17 jurisdictions</w:t>
      </w:r>
      <w:r w:rsidR="004C7B43" w:rsidRPr="004C7B43">
        <w:rPr>
          <w:lang w:val="en-US"/>
        </w:rPr>
        <w:t>.</w:t>
      </w:r>
      <w:r w:rsidR="004C7B43">
        <w:rPr>
          <w:lang w:val="en-US"/>
        </w:rPr>
        <w:t xml:space="preserve"> (…)”.</w:t>
      </w:r>
    </w:p>
    <w:p w:rsidR="004C4703" w:rsidRDefault="004C4703" w:rsidP="004B3E22">
      <w:r>
        <w:t xml:space="preserve">Como lo hemos anotado en otras oportunidades, la Unión Europea </w:t>
      </w:r>
      <w:hyperlink r:id="rId11" w:history="1">
        <w:r w:rsidRPr="00B62611">
          <w:rPr>
            <w:rStyle w:val="Hipervnculo"/>
          </w:rPr>
          <w:t>simplificó sus normas contables</w:t>
        </w:r>
      </w:hyperlink>
      <w:r>
        <w:t xml:space="preserve"> teniendo presente las pequeñas organizaci</w:t>
      </w:r>
      <w:r w:rsidR="00B62611">
        <w:t>o</w:t>
      </w:r>
      <w:r>
        <w:t>nes.</w:t>
      </w:r>
    </w:p>
    <w:p w:rsidR="00F518E6" w:rsidRDefault="0031752D" w:rsidP="004B3E22">
      <w:pPr>
        <w:rPr>
          <w:lang w:val="en-US"/>
        </w:rPr>
      </w:pPr>
      <w:r>
        <w:t xml:space="preserve">Por su parte AICPA divulgó su </w:t>
      </w:r>
      <w:hyperlink r:id="rId12" w:history="1">
        <w:proofErr w:type="spellStart"/>
        <w:r w:rsidRPr="0031752D">
          <w:rPr>
            <w:rStyle w:val="Hipervnculo"/>
          </w:rPr>
          <w:t>Financial</w:t>
        </w:r>
        <w:proofErr w:type="spellEnd"/>
        <w:r w:rsidRPr="0031752D">
          <w:rPr>
            <w:rStyle w:val="Hipervnculo"/>
          </w:rPr>
          <w:t xml:space="preserve"> </w:t>
        </w:r>
        <w:proofErr w:type="spellStart"/>
        <w:r w:rsidRPr="0031752D">
          <w:rPr>
            <w:rStyle w:val="Hipervnculo"/>
          </w:rPr>
          <w:t>Reporting</w:t>
        </w:r>
        <w:proofErr w:type="spellEnd"/>
        <w:r w:rsidRPr="0031752D">
          <w:rPr>
            <w:rStyle w:val="Hipervnculo"/>
          </w:rPr>
          <w:t xml:space="preserve"> Framework </w:t>
        </w:r>
        <w:proofErr w:type="spellStart"/>
        <w:r w:rsidRPr="0031752D">
          <w:rPr>
            <w:rStyle w:val="Hipervnculo"/>
          </w:rPr>
          <w:t>for</w:t>
        </w:r>
        <w:proofErr w:type="spellEnd"/>
        <w:r w:rsidRPr="0031752D">
          <w:rPr>
            <w:rStyle w:val="Hipervnculo"/>
          </w:rPr>
          <w:t xml:space="preserve"> </w:t>
        </w:r>
        <w:proofErr w:type="spellStart"/>
        <w:r w:rsidRPr="0031752D">
          <w:rPr>
            <w:rStyle w:val="Hipervnculo"/>
          </w:rPr>
          <w:t>SMEs</w:t>
        </w:r>
        <w:proofErr w:type="spellEnd"/>
      </w:hyperlink>
      <w:r>
        <w:t xml:space="preserve">. </w:t>
      </w:r>
      <w:r w:rsidR="009103E3" w:rsidRPr="009103E3">
        <w:rPr>
          <w:lang w:val="en-US"/>
        </w:rPr>
        <w:t xml:space="preserve">Jake </w:t>
      </w:r>
      <w:proofErr w:type="spellStart"/>
      <w:r w:rsidR="009103E3" w:rsidRPr="009103E3">
        <w:rPr>
          <w:lang w:val="en-US"/>
        </w:rPr>
        <w:t>Vossen</w:t>
      </w:r>
      <w:proofErr w:type="spellEnd"/>
      <w:r w:rsidR="009103E3" w:rsidRPr="009103E3">
        <w:rPr>
          <w:lang w:val="en-US"/>
        </w:rPr>
        <w:t xml:space="preserve"> </w:t>
      </w:r>
      <w:proofErr w:type="spellStart"/>
      <w:r w:rsidR="009103E3" w:rsidRPr="009103E3">
        <w:rPr>
          <w:lang w:val="en-US"/>
        </w:rPr>
        <w:t>publicó</w:t>
      </w:r>
      <w:proofErr w:type="spellEnd"/>
      <w:r w:rsidR="009103E3" w:rsidRPr="009103E3">
        <w:rPr>
          <w:lang w:val="en-US"/>
        </w:rPr>
        <w:t xml:space="preserve"> </w:t>
      </w:r>
      <w:proofErr w:type="spellStart"/>
      <w:r w:rsidR="009103E3" w:rsidRPr="009103E3">
        <w:rPr>
          <w:lang w:val="en-US"/>
        </w:rPr>
        <w:t>recientemente</w:t>
      </w:r>
      <w:proofErr w:type="spellEnd"/>
      <w:r w:rsidR="009103E3" w:rsidRPr="009103E3">
        <w:rPr>
          <w:lang w:val="en-US"/>
        </w:rPr>
        <w:t xml:space="preserve"> </w:t>
      </w:r>
      <w:proofErr w:type="gramStart"/>
      <w:r w:rsidR="009103E3" w:rsidRPr="009103E3">
        <w:rPr>
          <w:lang w:val="en-US"/>
        </w:rPr>
        <w:t>un</w:t>
      </w:r>
      <w:proofErr w:type="gramEnd"/>
      <w:r w:rsidR="009103E3" w:rsidRPr="009103E3">
        <w:rPr>
          <w:lang w:val="en-US"/>
        </w:rPr>
        <w:t xml:space="preserve"> </w:t>
      </w:r>
      <w:proofErr w:type="spellStart"/>
      <w:r w:rsidR="009103E3" w:rsidRPr="009103E3">
        <w:rPr>
          <w:lang w:val="en-US"/>
        </w:rPr>
        <w:t>artículo</w:t>
      </w:r>
      <w:proofErr w:type="spellEnd"/>
      <w:r w:rsidR="009103E3" w:rsidRPr="009103E3">
        <w:rPr>
          <w:lang w:val="en-US"/>
        </w:rPr>
        <w:t xml:space="preserve"> </w:t>
      </w:r>
      <w:proofErr w:type="spellStart"/>
      <w:r w:rsidR="009103E3" w:rsidRPr="009103E3">
        <w:rPr>
          <w:lang w:val="en-US"/>
        </w:rPr>
        <w:t>que</w:t>
      </w:r>
      <w:proofErr w:type="spellEnd"/>
      <w:r w:rsidR="009103E3" w:rsidRPr="009103E3">
        <w:rPr>
          <w:lang w:val="en-US"/>
        </w:rPr>
        <w:t xml:space="preserve"> </w:t>
      </w:r>
      <w:proofErr w:type="spellStart"/>
      <w:r w:rsidR="009103E3" w:rsidRPr="009103E3">
        <w:rPr>
          <w:lang w:val="en-US"/>
        </w:rPr>
        <w:t>tituló</w:t>
      </w:r>
      <w:proofErr w:type="spellEnd"/>
      <w:r w:rsidR="009103E3" w:rsidRPr="009103E3">
        <w:rPr>
          <w:lang w:val="en-US"/>
        </w:rPr>
        <w:t xml:space="preserve"> </w:t>
      </w:r>
      <w:hyperlink r:id="rId13" w:history="1">
        <w:r w:rsidR="009103E3" w:rsidRPr="009103E3">
          <w:rPr>
            <w:rStyle w:val="Hipervnculo"/>
            <w:lang w:val="en-US"/>
          </w:rPr>
          <w:t>Key Differences Between New Private Company and GAAP Reporting Standards</w:t>
        </w:r>
      </w:hyperlink>
      <w:r w:rsidR="009103E3">
        <w:rPr>
          <w:lang w:val="en-US"/>
        </w:rPr>
        <w:t>.</w:t>
      </w:r>
    </w:p>
    <w:p w:rsidR="00490FC0" w:rsidRDefault="00490FC0" w:rsidP="004B3E22">
      <w:r w:rsidRPr="00490FC0">
        <w:t xml:space="preserve">En Colombia, por un lado incorporamos las normas para pequeñas empresas emitidas por IASB </w:t>
      </w:r>
      <w:r w:rsidR="005C22AA">
        <w:t>(</w:t>
      </w:r>
      <w:hyperlink r:id="rId14" w:history="1">
        <w:r w:rsidR="005C22AA" w:rsidRPr="003634DD">
          <w:rPr>
            <w:rStyle w:val="Hipervnculo"/>
          </w:rPr>
          <w:t>Decreto reglamentario 3022 de 2013</w:t>
        </w:r>
      </w:hyperlink>
      <w:r w:rsidR="00890ADA">
        <w:t>)</w:t>
      </w:r>
      <w:r w:rsidR="005C22AA">
        <w:t xml:space="preserve"> </w:t>
      </w:r>
      <w:r w:rsidRPr="00490FC0">
        <w:t>y por el otro expedimos unas reglas para las microempresas (</w:t>
      </w:r>
      <w:hyperlink r:id="rId15" w:history="1">
        <w:r w:rsidRPr="005C22AA">
          <w:rPr>
            <w:rStyle w:val="Hipervnculo"/>
          </w:rPr>
          <w:t xml:space="preserve">Decreto reglamentario </w:t>
        </w:r>
        <w:r w:rsidR="005C22AA" w:rsidRPr="005C22AA">
          <w:rPr>
            <w:rStyle w:val="Hipervnculo"/>
          </w:rPr>
          <w:t>2706 de 2012</w:t>
        </w:r>
      </w:hyperlink>
      <w:r w:rsidR="005C22AA">
        <w:t xml:space="preserve"> y </w:t>
      </w:r>
      <w:hyperlink r:id="rId16" w:history="1">
        <w:r w:rsidR="00682008" w:rsidRPr="00682008">
          <w:rPr>
            <w:rStyle w:val="Hipervnculo"/>
          </w:rPr>
          <w:t>Decreto reglamentario 3019 de 2013</w:t>
        </w:r>
      </w:hyperlink>
      <w:r w:rsidR="00682008">
        <w:t>)</w:t>
      </w:r>
      <w:r w:rsidR="00230E4E">
        <w:t>.</w:t>
      </w:r>
      <w:bookmarkStart w:id="0" w:name="_GoBack"/>
      <w:bookmarkEnd w:id="0"/>
    </w:p>
    <w:p w:rsidR="00CB643C" w:rsidRDefault="00553812" w:rsidP="004B3E22">
      <w:r>
        <w:t xml:space="preserve">En este momento </w:t>
      </w:r>
      <w:r w:rsidR="00481F7B">
        <w:t>muchos</w:t>
      </w:r>
      <w:r>
        <w:t xml:space="preserve"> contadores colombianos están dedicados a conocer y poner en práctica los mencionados decretos. Aunque es lamentable la ausencia de las universidades</w:t>
      </w:r>
      <w:r w:rsidR="002B66FF">
        <w:t xml:space="preserve">, </w:t>
      </w:r>
      <w:r w:rsidR="00481F7B">
        <w:t xml:space="preserve">la </w:t>
      </w:r>
      <w:r w:rsidR="006D2121">
        <w:t xml:space="preserve">estrategia del Consejo Técnico de la Contaduría Pública </w:t>
      </w:r>
      <w:r w:rsidR="007F5EB9">
        <w:t xml:space="preserve">de realizar </w:t>
      </w:r>
      <w:hyperlink r:id="rId17" w:history="1">
        <w:r w:rsidR="007F5EB9" w:rsidRPr="00DF6AD5">
          <w:rPr>
            <w:rStyle w:val="Hipervnculo"/>
          </w:rPr>
          <w:t>jornadas de capacitación</w:t>
        </w:r>
      </w:hyperlink>
      <w:r w:rsidR="007F5EB9">
        <w:t xml:space="preserve"> ha mostrado mayor </w:t>
      </w:r>
      <w:r w:rsidR="007F5EB9">
        <w:lastRenderedPageBreak/>
        <w:t xml:space="preserve">energía que la </w:t>
      </w:r>
      <w:r w:rsidR="00433B4F">
        <w:t>desplegada en el pasado</w:t>
      </w:r>
      <w:r w:rsidR="005A13DC">
        <w:t xml:space="preserve"> por ese organismo</w:t>
      </w:r>
      <w:r w:rsidR="00433B4F">
        <w:t>.</w:t>
      </w:r>
    </w:p>
    <w:p w:rsidR="00433B4F" w:rsidRDefault="00B654AE" w:rsidP="004B3E22">
      <w:r>
        <w:t>Es muy posible que la gran mayoría de contadores se contente con aprender la mecánica de las nuevas normas.</w:t>
      </w:r>
    </w:p>
    <w:p w:rsidR="003A6F69" w:rsidRDefault="00523289" w:rsidP="004B3E22">
      <w:r>
        <w:t>Como ya lo hemos planteado</w:t>
      </w:r>
      <w:r w:rsidR="003B70D0">
        <w:t>,</w:t>
      </w:r>
      <w:r>
        <w:t xml:space="preserve"> el Gobierno (entiéndase todas las autoridades involucradas en el asunto, sean reguladoras, normalizadoras o supervisoras) deberían efectuar estudios rigurosos sobre la </w:t>
      </w:r>
      <w:r w:rsidR="003B70D0">
        <w:t xml:space="preserve">real manera de </w:t>
      </w:r>
      <w:r>
        <w:t xml:space="preserve">aplicación </w:t>
      </w:r>
      <w:r w:rsidR="003B70D0">
        <w:t>de las aludidas disposiciones y deberían propiciar análisis y debates sobre los resultados de sus estudios, tod</w:t>
      </w:r>
      <w:r w:rsidR="00CD4648">
        <w:t>o lo cual debería desembocar en ajustes a la regulación.</w:t>
      </w:r>
    </w:p>
    <w:p w:rsidR="00CD4648" w:rsidRDefault="00010662" w:rsidP="004B3E22">
      <w:r>
        <w:t xml:space="preserve">La academia contable y los organismos técnicos de la profesión deberían ir más allá. Deberían estudiar los principales cuerpos normativos existentes a nivel mundial y deberían juzgar, desde el punto de vista científico, las conveniencias o </w:t>
      </w:r>
      <w:r w:rsidR="00FA4296">
        <w:t>discrepancias</w:t>
      </w:r>
      <w:r w:rsidR="00AE1F39">
        <w:t xml:space="preserve"> de esas regulaciones.</w:t>
      </w:r>
      <w:r w:rsidR="006945E5">
        <w:t xml:space="preserve"> Así mantendrían abierta la mente a distintas posibilidades, en lugar de entronizar a un solo emisor de estándares</w:t>
      </w:r>
      <w:r w:rsidR="00AF7BD9">
        <w:t>.</w:t>
      </w:r>
    </w:p>
    <w:p w:rsidR="00AF7BD9" w:rsidRDefault="00CB0609" w:rsidP="004B3E22">
      <w:r>
        <w:t>El posicionamiento social de la profesión contable aumentaría si los contadores deja</w:t>
      </w:r>
      <w:r w:rsidR="00A34FC3">
        <w:t>ra</w:t>
      </w:r>
      <w:r>
        <w:t>n de recitar modelos legales</w:t>
      </w:r>
      <w:r w:rsidR="005F33E1">
        <w:t xml:space="preserve"> e hicieran gala de una formación filosófica, de un pensamiento basado en teorías y modelos, </w:t>
      </w:r>
      <w:r w:rsidR="007F5FDB">
        <w:t xml:space="preserve">de un conocimiento profundo, </w:t>
      </w:r>
      <w:r w:rsidR="005F33E1">
        <w:t xml:space="preserve">de un análisis incisivo, </w:t>
      </w:r>
      <w:r w:rsidR="00931011">
        <w:t xml:space="preserve">de una gran capacidad de falsear </w:t>
      </w:r>
      <w:hyperlink r:id="rId18" w:history="1">
        <w:r w:rsidR="003105D1" w:rsidRPr="00C82DAE">
          <w:rPr>
            <w:rStyle w:val="Hipervnculo"/>
          </w:rPr>
          <w:t>en los términos de Karl Popper</w:t>
        </w:r>
      </w:hyperlink>
      <w:r w:rsidR="003105D1">
        <w:t xml:space="preserve">, </w:t>
      </w:r>
      <w:r w:rsidR="00C82DAE">
        <w:t>de una actitud de búsqueda del bien común.</w:t>
      </w:r>
    </w:p>
    <w:p w:rsidR="00C82DAE" w:rsidRPr="00C82DAE" w:rsidRDefault="00C82DAE" w:rsidP="00C82DAE">
      <w:pPr>
        <w:jc w:val="right"/>
        <w:rPr>
          <w:i/>
        </w:rPr>
      </w:pPr>
      <w:r w:rsidRPr="00C82DAE">
        <w:rPr>
          <w:i/>
        </w:rPr>
        <w:t>Hernando Bermúdez Gómez</w:t>
      </w:r>
    </w:p>
    <w:sectPr w:rsidR="00C82DAE" w:rsidRPr="00C82DAE" w:rsidSect="007F1D21">
      <w:headerReference w:type="default" r:id="rId19"/>
      <w:footerReference w:type="default" r:id="rId2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7A8" w:rsidRDefault="006B67A8" w:rsidP="00EE7812">
      <w:pPr>
        <w:spacing w:after="0" w:line="240" w:lineRule="auto"/>
      </w:pPr>
      <w:r>
        <w:separator/>
      </w:r>
    </w:p>
  </w:endnote>
  <w:endnote w:type="continuationSeparator" w:id="0">
    <w:p w:rsidR="006B67A8" w:rsidRDefault="006B67A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7A8" w:rsidRDefault="006B67A8" w:rsidP="00EE7812">
      <w:pPr>
        <w:spacing w:after="0" w:line="240" w:lineRule="auto"/>
      </w:pPr>
      <w:r>
        <w:separator/>
      </w:r>
    </w:p>
  </w:footnote>
  <w:footnote w:type="continuationSeparator" w:id="0">
    <w:p w:rsidR="006B67A8" w:rsidRDefault="006B67A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73093B">
      <w:t>1050</w:t>
    </w:r>
    <w:r w:rsidR="00667D4D">
      <w:t>,</w:t>
    </w:r>
    <w:r w:rsidR="009D09BB">
      <w:t xml:space="preserve"> </w:t>
    </w:r>
    <w:r w:rsidR="0073093B">
      <w:t>noviembre</w:t>
    </w:r>
    <w:r w:rsidR="007E2BC9">
      <w:t xml:space="preserve"> </w:t>
    </w:r>
    <w:r w:rsidR="0073093B">
      <w:t>18</w:t>
    </w:r>
    <w:r w:rsidR="007E2BC9">
      <w:t xml:space="preserve"> de 2014</w:t>
    </w:r>
  </w:p>
  <w:p w:rsidR="0046164F" w:rsidRDefault="006B67A8"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62"/>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305"/>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0E4E"/>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6FF"/>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07"/>
    <w:rsid w:val="00307973"/>
    <w:rsid w:val="00307CB0"/>
    <w:rsid w:val="00307FA1"/>
    <w:rsid w:val="00310134"/>
    <w:rsid w:val="00310242"/>
    <w:rsid w:val="003104D5"/>
    <w:rsid w:val="003105D1"/>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2D"/>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4DD"/>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6F69"/>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0D0"/>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B4F"/>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1F7B"/>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0FC0"/>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5F4"/>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703"/>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C7B43"/>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289"/>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812"/>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3DC"/>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2AA"/>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3E1"/>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29D7"/>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008"/>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45E5"/>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7A8"/>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21"/>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93B"/>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EC6"/>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5EB9"/>
    <w:rsid w:val="007F5FDB"/>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2DC"/>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AD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2EA"/>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3E3"/>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011"/>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420"/>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4FC3"/>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1F39"/>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AF7BD9"/>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2611"/>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4AE"/>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DAE"/>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609"/>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43C"/>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648"/>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324"/>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AD5"/>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18E6"/>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8C2"/>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96"/>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28B90D8-5875-4A7C-A5B0-87C83AB9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34028582">
      <w:bodyDiv w:val="1"/>
      <w:marLeft w:val="0"/>
      <w:marRight w:val="0"/>
      <w:marTop w:val="0"/>
      <w:marBottom w:val="0"/>
      <w:divBdr>
        <w:top w:val="none" w:sz="0" w:space="0" w:color="auto"/>
        <w:left w:val="none" w:sz="0" w:space="0" w:color="auto"/>
        <w:bottom w:val="none" w:sz="0" w:space="0" w:color="auto"/>
        <w:right w:val="none" w:sz="0" w:space="0" w:color="auto"/>
      </w:divBdr>
      <w:divsChild>
        <w:div w:id="550267414">
          <w:marLeft w:val="0"/>
          <w:marRight w:val="0"/>
          <w:marTop w:val="0"/>
          <w:marBottom w:val="0"/>
          <w:divBdr>
            <w:top w:val="none" w:sz="0" w:space="0" w:color="auto"/>
            <w:left w:val="none" w:sz="0" w:space="0" w:color="auto"/>
            <w:bottom w:val="none" w:sz="0" w:space="0" w:color="auto"/>
            <w:right w:val="none" w:sz="0" w:space="0" w:color="auto"/>
          </w:divBdr>
          <w:divsChild>
            <w:div w:id="592055381">
              <w:marLeft w:val="150"/>
              <w:marRight w:val="150"/>
              <w:marTop w:val="0"/>
              <w:marBottom w:val="0"/>
              <w:divBdr>
                <w:top w:val="none" w:sz="0" w:space="0" w:color="auto"/>
                <w:left w:val="none" w:sz="0" w:space="0" w:color="auto"/>
                <w:bottom w:val="none" w:sz="0" w:space="0" w:color="auto"/>
                <w:right w:val="none" w:sz="0" w:space="0" w:color="auto"/>
              </w:divBdr>
              <w:divsChild>
                <w:div w:id="800928766">
                  <w:marLeft w:val="150"/>
                  <w:marRight w:val="150"/>
                  <w:marTop w:val="0"/>
                  <w:marBottom w:val="0"/>
                  <w:divBdr>
                    <w:top w:val="none" w:sz="0" w:space="0" w:color="auto"/>
                    <w:left w:val="none" w:sz="0" w:space="0" w:color="auto"/>
                    <w:bottom w:val="none" w:sz="0" w:space="0" w:color="auto"/>
                    <w:right w:val="none" w:sz="0" w:space="0" w:color="auto"/>
                  </w:divBdr>
                  <w:divsChild>
                    <w:div w:id="108623404">
                      <w:marLeft w:val="150"/>
                      <w:marRight w:val="150"/>
                      <w:marTop w:val="0"/>
                      <w:marBottom w:val="0"/>
                      <w:divBdr>
                        <w:top w:val="none" w:sz="0" w:space="0" w:color="auto"/>
                        <w:left w:val="none" w:sz="0" w:space="0" w:color="auto"/>
                        <w:bottom w:val="none" w:sz="0" w:space="0" w:color="auto"/>
                        <w:right w:val="none" w:sz="0" w:space="0" w:color="auto"/>
                      </w:divBdr>
                      <w:divsChild>
                        <w:div w:id="1529484253">
                          <w:marLeft w:val="0"/>
                          <w:marRight w:val="0"/>
                          <w:marTop w:val="0"/>
                          <w:marBottom w:val="300"/>
                          <w:divBdr>
                            <w:top w:val="none" w:sz="0" w:space="0" w:color="auto"/>
                            <w:left w:val="none" w:sz="0" w:space="0" w:color="auto"/>
                            <w:bottom w:val="none" w:sz="0" w:space="0" w:color="auto"/>
                            <w:right w:val="none" w:sz="0" w:space="0" w:color="auto"/>
                          </w:divBdr>
                          <w:divsChild>
                            <w:div w:id="4026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rs.org/IFRS-for-SMEs/Pages/IFRS-for-SMEs-and-related-material.aspx" TargetMode="External"/><Relationship Id="rId13" Type="http://schemas.openxmlformats.org/officeDocument/2006/relationships/hyperlink" Target="http://www.accountingtoday.com/news/accounting-news/key-differences-private-company-gaap-reporting-standards-72320-1.html" TargetMode="External"/><Relationship Id="rId18" Type="http://schemas.openxmlformats.org/officeDocument/2006/relationships/hyperlink" Target="http://es.wikipedia.org/wiki/Falsacionism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icpa.org/InterestAreas/FRC/AccountingFinancialReporting/PCFR/Pages/Financial-Reporting-Framework.aspx" TargetMode="External"/><Relationship Id="rId17" Type="http://schemas.openxmlformats.org/officeDocument/2006/relationships/hyperlink" Target="http://www.ctcp.gov.co/index!.php?NEWS_ID=387" TargetMode="External"/><Relationship Id="rId2" Type="http://schemas.openxmlformats.org/officeDocument/2006/relationships/numbering" Target="numbering.xml"/><Relationship Id="rId16" Type="http://schemas.openxmlformats.org/officeDocument/2006/relationships/hyperlink" Target="http://www.mincit.gov.co/descargar.php?id=6934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internal_market/accounting/sme_accounting/index_en.htm" TargetMode="External"/><Relationship Id="rId5" Type="http://schemas.openxmlformats.org/officeDocument/2006/relationships/webSettings" Target="webSettings.xml"/><Relationship Id="rId15" Type="http://schemas.openxmlformats.org/officeDocument/2006/relationships/hyperlink" Target="http://www.mincit.gov.co/descargar.php?id=66679" TargetMode="External"/><Relationship Id="rId10" Type="http://schemas.openxmlformats.org/officeDocument/2006/relationships/hyperlink" Target="http://www.ifrs.org/Use-around-the-world/Pages/Analysis-of-SME-profiles.asp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rs.org/IFRS-for-SMEs/Comprehensive-review-IFRS-for-SMEs/Pages/default.aspx" TargetMode="External"/><Relationship Id="rId14" Type="http://schemas.openxmlformats.org/officeDocument/2006/relationships/hyperlink" Target="http://www.mincit.gov.co/publicaciones.php?id=649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0BADCD43-E98D-4132-BC91-3FB8836DE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570</Words>
  <Characters>3140</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Valderrama</cp:lastModifiedBy>
  <cp:revision>2</cp:revision>
  <cp:lastPrinted>2011-08-23T16:28:00Z</cp:lastPrinted>
  <dcterms:created xsi:type="dcterms:W3CDTF">2014-11-14T13:21:00Z</dcterms:created>
  <dcterms:modified xsi:type="dcterms:W3CDTF">2014-11-14T13:21:00Z</dcterms:modified>
</cp:coreProperties>
</file>