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43" w:rsidRPr="00A07443" w:rsidRDefault="00C316E2" w:rsidP="00A0744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>
        <w:rPr>
          <w:position w:val="-8"/>
          <w:sz w:val="120"/>
        </w:rPr>
        <w:t>A</w:t>
      </w:r>
    </w:p>
    <w:p w:rsidR="00C316E2" w:rsidRDefault="00C316E2" w:rsidP="0051047F">
      <w:r>
        <w:t>nalizando las consideraciones del recién emitido Decreto 2267 de 2014 sobre las excepciones a las NIIF, específicamente en lo relacionado con la NIIF 9</w:t>
      </w:r>
      <w:r w:rsidR="00760869">
        <w:t>,</w:t>
      </w:r>
      <w:r>
        <w:t xml:space="preserve">  en la clasificación y valoración de las inversiones, resulta curioso que dentro de la exposición de las razones que conllevan a esta inoportuna decisión, se argumenta que</w:t>
      </w:r>
      <w:r w:rsidR="00D84984">
        <w:t xml:space="preserve"> </w:t>
      </w:r>
      <w:r w:rsidR="00760869">
        <w:t>é</w:t>
      </w:r>
      <w:r>
        <w:t xml:space="preserve">sta se origina a raíz de la emisión de la versión definitiva de la NIIF 9 </w:t>
      </w:r>
      <w:r w:rsidR="00760869">
        <w:t>en el</w:t>
      </w:r>
      <w:r>
        <w:t xml:space="preserve"> mes de julio, y dado que este estándar incorpora tres categorías, </w:t>
      </w:r>
      <w:r w:rsidR="00760869">
        <w:t xml:space="preserve">se </w:t>
      </w:r>
      <w:r w:rsidR="00D84984">
        <w:t xml:space="preserve">busca </w:t>
      </w:r>
      <w:r>
        <w:t xml:space="preserve">salvaguardar la </w:t>
      </w:r>
      <w:r>
        <w:rPr>
          <w:color w:val="000000"/>
          <w:sz w:val="23"/>
          <w:szCs w:val="23"/>
        </w:rPr>
        <w:t>solidez del sistema financiero, su régimen prudencial y proteger la confianza del público en los mismos.</w:t>
      </w:r>
      <w:r w:rsidR="004C0030">
        <w:t xml:space="preserve"> </w:t>
      </w:r>
      <w:r w:rsidR="00D84984">
        <w:t>Estas argumentaciones terminan generando varios interrogantes:</w:t>
      </w:r>
    </w:p>
    <w:p w:rsidR="00D84984" w:rsidRDefault="00D84984" w:rsidP="004F700C">
      <w:pPr>
        <w:pStyle w:val="Prrafodelista"/>
        <w:numPr>
          <w:ilvl w:val="0"/>
          <w:numId w:val="16"/>
        </w:numPr>
        <w:tabs>
          <w:tab w:val="left" w:pos="426"/>
        </w:tabs>
        <w:ind w:left="0" w:firstLine="0"/>
      </w:pPr>
      <w:r w:rsidRPr="00FB31DA">
        <w:rPr>
          <w:i/>
        </w:rPr>
        <w:t xml:space="preserve">¿Con anterioridad no se podía advertir esta diferencia </w:t>
      </w:r>
      <w:r w:rsidR="00FB31DA" w:rsidRPr="00FB31DA">
        <w:rPr>
          <w:i/>
        </w:rPr>
        <w:t>en la clasificación</w:t>
      </w:r>
      <w:r w:rsidRPr="00FB31DA">
        <w:rPr>
          <w:i/>
        </w:rPr>
        <w:t xml:space="preserve"> a partir del </w:t>
      </w:r>
      <w:proofErr w:type="spellStart"/>
      <w:r w:rsidRPr="00FB31DA">
        <w:rPr>
          <w:i/>
        </w:rPr>
        <w:t>Draft</w:t>
      </w:r>
      <w:proofErr w:type="spellEnd"/>
      <w:r w:rsidRPr="00FB31DA">
        <w:rPr>
          <w:i/>
        </w:rPr>
        <w:t xml:space="preserve"> emitido en noviembre de 2012 por IASB? </w:t>
      </w:r>
      <w:r>
        <w:t xml:space="preserve"> En el contrapartida </w:t>
      </w:r>
      <w:hyperlink r:id="rId9" w:history="1">
        <w:r w:rsidR="00FB31DA" w:rsidRPr="004F700C">
          <w:rPr>
            <w:rStyle w:val="Hipervnculo"/>
          </w:rPr>
          <w:t>774</w:t>
        </w:r>
      </w:hyperlink>
      <w:r w:rsidR="00FB31DA">
        <w:t xml:space="preserve"> </w:t>
      </w:r>
      <w:r>
        <w:t xml:space="preserve">que escribí </w:t>
      </w:r>
      <w:r w:rsidR="00FB31DA">
        <w:t>hace un</w:t>
      </w:r>
      <w:r w:rsidR="00FB31DA" w:rsidRPr="00FB31DA">
        <w:t xml:space="preserve"> año</w:t>
      </w:r>
      <w:r w:rsidR="006A6CEB">
        <w:t>, entre muchos otros relacionados</w:t>
      </w:r>
      <w:r w:rsidR="00FB31DA">
        <w:t>,</w:t>
      </w:r>
      <w:r w:rsidR="00FB31DA" w:rsidRPr="00FB31DA">
        <w:t xml:space="preserve"> expuse</w:t>
      </w:r>
      <w:r w:rsidR="00FB31DA">
        <w:t xml:space="preserve"> justamente las ventajas y desventajas de aplicar la NIIF 9 Fase I, la NIC 39 y lo establecido por la SFC, no obstante cuando se emitió en diciembre 28 el Decreto 2784 de 2012, ya existía la propuesta de IASB, </w:t>
      </w:r>
      <w:r w:rsidR="004F700C">
        <w:t>por tanto</w:t>
      </w:r>
      <w:r w:rsidR="00FB31DA">
        <w:t xml:space="preserve"> se podía advertir este cambio y sus efectos, si bien se puede decir que no se tenía total certeza de la modificación, si se tenía la incertidumbre frente a esta problemática,</w:t>
      </w:r>
      <w:r w:rsidR="004F700C">
        <w:t xml:space="preserve"> que de actuar de manera</w:t>
      </w:r>
      <w:r w:rsidR="00FB31DA">
        <w:t xml:space="preserve"> cautelosa y responsable debía haberse tramitado el debido proceso durante el 2013 para emitir esta excepción junto con el Decreto 1851</w:t>
      </w:r>
      <w:r w:rsidR="004F700C">
        <w:t>/13</w:t>
      </w:r>
      <w:r w:rsidR="00FB31DA">
        <w:t xml:space="preserve">, durante la fase de preparación y no terminando la fase de transición, luego de que muchas empresas </w:t>
      </w:r>
      <w:r w:rsidR="00FB31DA">
        <w:lastRenderedPageBreak/>
        <w:t>han invertido importantes recursos en este proceso.</w:t>
      </w:r>
    </w:p>
    <w:p w:rsidR="004F700C" w:rsidRDefault="004F700C" w:rsidP="004F700C">
      <w:pPr>
        <w:pStyle w:val="Prrafodelista"/>
        <w:tabs>
          <w:tab w:val="left" w:pos="426"/>
        </w:tabs>
        <w:ind w:left="0"/>
      </w:pPr>
    </w:p>
    <w:p w:rsidR="00D84984" w:rsidRDefault="004F700C" w:rsidP="004F700C">
      <w:pPr>
        <w:pStyle w:val="Prrafodelista"/>
        <w:numPr>
          <w:ilvl w:val="0"/>
          <w:numId w:val="16"/>
        </w:numPr>
        <w:tabs>
          <w:tab w:val="left" w:pos="426"/>
        </w:tabs>
        <w:ind w:left="0" w:firstLine="0"/>
      </w:pPr>
      <w:r w:rsidRPr="004F700C">
        <w:rPr>
          <w:i/>
        </w:rPr>
        <w:t>¿Por qué en los considerandos no se hace alusión a los resultados del debido proceso coordinado por CTCP, resumido en el  documento de Sustentación de la Propuesta de ese organismo a los Ministerios, en donde se recogen las posiciones de todos los interesados</w:t>
      </w:r>
      <w:r>
        <w:t>? Seguramente parte de la razón está dada porque la mayoría optó en contra de lo que la minoría estuvo de acuerdo, y la fuerza de la minoría cumple la ley de Pareto, 20% es el que tiene el poder influir en las decisiones de regulación</w:t>
      </w:r>
      <w:r w:rsidR="0089200F">
        <w:t>, aunque el 80% no las comparta, lastimosamente nada diferentes a lo que sucede en otros escenarios no contables de nuestro país.</w:t>
      </w:r>
    </w:p>
    <w:p w:rsidR="00737F7A" w:rsidRDefault="00737F7A" w:rsidP="00737F7A">
      <w:pPr>
        <w:pStyle w:val="Prrafodelista"/>
      </w:pPr>
    </w:p>
    <w:p w:rsidR="004F700C" w:rsidRDefault="00737F7A" w:rsidP="00737F7A">
      <w:pPr>
        <w:pStyle w:val="Prrafodelista"/>
        <w:numPr>
          <w:ilvl w:val="0"/>
          <w:numId w:val="16"/>
        </w:numPr>
        <w:tabs>
          <w:tab w:val="left" w:pos="284"/>
        </w:tabs>
        <w:ind w:left="0" w:firstLine="0"/>
      </w:pPr>
      <w:r w:rsidRPr="00737F7A">
        <w:rPr>
          <w:i/>
        </w:rPr>
        <w:t>¿La solidez y estabilidad que se menciona solo es de preocupación para los reguladores en el sector financiero, y que pasa con el sector real</w:t>
      </w:r>
      <w:r>
        <w:rPr>
          <w:i/>
        </w:rPr>
        <w:t xml:space="preserve"> y otros sectores</w:t>
      </w:r>
      <w:r w:rsidR="004C0030">
        <w:rPr>
          <w:i/>
        </w:rPr>
        <w:t>, son</w:t>
      </w:r>
      <w:r w:rsidRPr="00737F7A">
        <w:rPr>
          <w:i/>
        </w:rPr>
        <w:t xml:space="preserve"> menos importante</w:t>
      </w:r>
      <w:r w:rsidR="004C0030">
        <w:rPr>
          <w:i/>
        </w:rPr>
        <w:t>s</w:t>
      </w:r>
      <w:r w:rsidRPr="00737F7A">
        <w:rPr>
          <w:i/>
        </w:rPr>
        <w:t xml:space="preserve">? </w:t>
      </w:r>
      <w:r>
        <w:t>Sería interesante conocer las razones del por</w:t>
      </w:r>
      <w:r w:rsidR="004C0030">
        <w:t xml:space="preserve"> </w:t>
      </w:r>
      <w:r>
        <w:t>qu</w:t>
      </w:r>
      <w:r w:rsidR="004C0030">
        <w:t>é,</w:t>
      </w:r>
      <w:r>
        <w:t xml:space="preserve"> si aplicar la NIIF 9 </w:t>
      </w:r>
      <w:r w:rsidR="004C0030">
        <w:t>F</w:t>
      </w:r>
      <w:r>
        <w:t>ase I incorporada en el Decreto 2784/12 es inconveniente para el sector financiero, porque no lo es también para el resto de sectores</w:t>
      </w:r>
      <w:r w:rsidR="004C0030">
        <w:t>,</w:t>
      </w:r>
      <w:r>
        <w:t xml:space="preserve"> </w:t>
      </w:r>
      <w:r w:rsidR="004C0030">
        <w:t>s</w:t>
      </w:r>
      <w:r>
        <w:t xml:space="preserve">e creía que el sector financiero era el más avanzado para afrontar este reto, </w:t>
      </w:r>
      <w:r w:rsidR="004C0030">
        <w:t>sin embargo el reto es para el sector menos preparado en este tema.</w:t>
      </w:r>
    </w:p>
    <w:p w:rsidR="004C0030" w:rsidRDefault="004C0030" w:rsidP="004C0030">
      <w:pPr>
        <w:pStyle w:val="Prrafodelista"/>
      </w:pPr>
    </w:p>
    <w:p w:rsidR="004C0030" w:rsidRDefault="004C0030" w:rsidP="004C0030">
      <w:pPr>
        <w:pStyle w:val="Prrafodelista"/>
        <w:tabs>
          <w:tab w:val="left" w:pos="284"/>
        </w:tabs>
        <w:ind w:left="0"/>
      </w:pPr>
      <w:r>
        <w:t xml:space="preserve">El problema no son las excepciones, el problema es la oportunidad en ellas y en el estudio </w:t>
      </w:r>
      <w:r w:rsidR="008A6528">
        <w:t xml:space="preserve">por parte </w:t>
      </w:r>
      <w:r>
        <w:t xml:space="preserve">de quienes están </w:t>
      </w:r>
      <w:r w:rsidR="00760869">
        <w:t xml:space="preserve">a </w:t>
      </w:r>
      <w:r>
        <w:t>su cargo.</w:t>
      </w:r>
    </w:p>
    <w:p w:rsidR="00AD625D" w:rsidRDefault="00AD625D" w:rsidP="004C0030">
      <w:pPr>
        <w:pStyle w:val="Prrafodelista"/>
        <w:tabs>
          <w:tab w:val="left" w:pos="284"/>
        </w:tabs>
        <w:ind w:left="0"/>
      </w:pPr>
    </w:p>
    <w:p w:rsidR="004C0030" w:rsidRPr="004C0030" w:rsidRDefault="004C0030" w:rsidP="004C0030">
      <w:pPr>
        <w:pStyle w:val="Prrafodelista"/>
        <w:tabs>
          <w:tab w:val="left" w:pos="284"/>
        </w:tabs>
        <w:ind w:left="0"/>
        <w:jc w:val="right"/>
        <w:rPr>
          <w:i/>
        </w:rPr>
      </w:pPr>
      <w:r w:rsidRPr="004C0030">
        <w:rPr>
          <w:i/>
        </w:rPr>
        <w:t>Martha Liliana Arias Bello</w:t>
      </w:r>
    </w:p>
    <w:sectPr w:rsidR="004C0030" w:rsidRPr="004C0030" w:rsidSect="007F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87" w:rsidRDefault="00E93687" w:rsidP="00EE7812">
      <w:pPr>
        <w:spacing w:after="0" w:line="240" w:lineRule="auto"/>
      </w:pPr>
      <w:r>
        <w:separator/>
      </w:r>
    </w:p>
  </w:endnote>
  <w:endnote w:type="continuationSeparator" w:id="0">
    <w:p w:rsidR="00E93687" w:rsidRDefault="00E9368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D78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D7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87" w:rsidRDefault="00E93687" w:rsidP="00EE7812">
      <w:pPr>
        <w:spacing w:after="0" w:line="240" w:lineRule="auto"/>
      </w:pPr>
      <w:r>
        <w:separator/>
      </w:r>
    </w:p>
  </w:footnote>
  <w:footnote w:type="continuationSeparator" w:id="0">
    <w:p w:rsidR="00E93687" w:rsidRDefault="00E9368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D7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E595A">
      <w:t>1060</w:t>
    </w:r>
    <w:r w:rsidR="00667D4D">
      <w:t>,</w:t>
    </w:r>
    <w:r w:rsidR="002D783F">
      <w:t xml:space="preserve"> </w:t>
    </w:r>
    <w:r w:rsidR="00BE595A">
      <w:t xml:space="preserve">noviembre 18 </w:t>
    </w:r>
    <w:r w:rsidR="007E2BC9">
      <w:t>de 2014</w:t>
    </w:r>
  </w:p>
  <w:p w:rsidR="0046164F" w:rsidRDefault="00E9368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3F" w:rsidRDefault="002D78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621F4"/>
    <w:multiLevelType w:val="hybridMultilevel"/>
    <w:tmpl w:val="962800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F6EB9"/>
    <w:multiLevelType w:val="hybridMultilevel"/>
    <w:tmpl w:val="2E4C8DE6"/>
    <w:lvl w:ilvl="0" w:tplc="1F0C69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71506D"/>
    <w:multiLevelType w:val="hybridMultilevel"/>
    <w:tmpl w:val="4C780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15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  <w:num w:numId="12">
    <w:abstractNumId w:val="8"/>
  </w:num>
  <w:num w:numId="13">
    <w:abstractNumId w:val="14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1C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1B1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300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83F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CE3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D52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030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00C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47F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B7B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6CEB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78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45E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37F7A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869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3B2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451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2B2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0F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5D27"/>
    <w:rsid w:val="008A6528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25D"/>
    <w:rsid w:val="00AD6363"/>
    <w:rsid w:val="00AD638F"/>
    <w:rsid w:val="00AD6C20"/>
    <w:rsid w:val="00AD74B8"/>
    <w:rsid w:val="00AD74D1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95A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6E2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984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53D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18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5FFD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87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C0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C1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1DA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inde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C21CE311-B3B8-40A4-89F7-45455C48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2014-11-18T15:47:00Z</dcterms:created>
  <dcterms:modified xsi:type="dcterms:W3CDTF">2014-11-18T15:47:00Z</dcterms:modified>
</cp:coreProperties>
</file>