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43" w:rsidRPr="00A07443" w:rsidRDefault="0006353E" w:rsidP="00A0744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>
        <w:rPr>
          <w:position w:val="-8"/>
          <w:sz w:val="120"/>
        </w:rPr>
        <w:t>¿</w:t>
      </w:r>
    </w:p>
    <w:p w:rsidR="00E95583" w:rsidRDefault="0006353E" w:rsidP="00E95583">
      <w:r>
        <w:t>Cuá</w:t>
      </w:r>
      <w:r w:rsidR="00C05052">
        <w:t>l va a ser e</w:t>
      </w:r>
      <w:r w:rsidR="00E95583">
        <w:t>l</w:t>
      </w:r>
      <w:r w:rsidR="00C05052">
        <w:t xml:space="preserve"> papel del </w:t>
      </w:r>
      <w:r w:rsidR="00E95583">
        <w:t xml:space="preserve">debido proceso en la definición de la regulación contable en Colombia? </w:t>
      </w:r>
      <w:r>
        <w:t>¿</w:t>
      </w:r>
      <w:r w:rsidR="00C05052">
        <w:t>Será</w:t>
      </w:r>
      <w:r w:rsidR="00E95583">
        <w:t xml:space="preserve"> una simple formalidad para decir que “si” se cumplen los protocolos de las mejores prácticas mundiales en la expedición de la regulación contable en Colombia? </w:t>
      </w:r>
    </w:p>
    <w:p w:rsidR="00D84984" w:rsidRDefault="00E95583" w:rsidP="00E95583">
      <w:r>
        <w:t>Como lo mencioné en el contrapartida anterior, s</w:t>
      </w:r>
      <w:r w:rsidR="004F700C">
        <w:t>eguramente parte de la razón está dada porque la mayoría optó en contra de lo que la minoría estuvo de acuerdo, y la fuerza de la minoría cumple la ley de Pareto, 20% es el que tiene el poder influir en las decisiones de regulación</w:t>
      </w:r>
      <w:r w:rsidR="0089200F">
        <w:t>, aunque el 80% no las comparta, lastimosamente nada diferentes a lo que sucede en otros escenarios no contables de nuestro país.</w:t>
      </w:r>
    </w:p>
    <w:p w:rsidR="004C0030" w:rsidRDefault="00C05052" w:rsidP="00C53F2D">
      <w:r>
        <w:t>En el documento emitido por el CTCP</w:t>
      </w:r>
      <w:r w:rsidR="002336C1">
        <w:t xml:space="preserve"> </w:t>
      </w:r>
      <w:r w:rsidR="0006353E">
        <w:t>relacionado con</w:t>
      </w:r>
      <w:r w:rsidR="002336C1">
        <w:t xml:space="preserve"> la </w:t>
      </w:r>
      <w:r w:rsidR="002336C1" w:rsidRPr="00F17B6A">
        <w:t>s</w:t>
      </w:r>
      <w:r w:rsidRPr="00F17B6A">
        <w:t xml:space="preserve">ustentación de la </w:t>
      </w:r>
      <w:r w:rsidR="002336C1" w:rsidRPr="00F17B6A">
        <w:t>p</w:t>
      </w:r>
      <w:r w:rsidRPr="00F17B6A">
        <w:t xml:space="preserve">ropuesta a los Ministerio sobre las excepciones para la aplicación de las NIIF Plenas en las </w:t>
      </w:r>
      <w:r w:rsidR="00F17B6A">
        <w:t>e</w:t>
      </w:r>
      <w:r w:rsidRPr="00F17B6A">
        <w:t xml:space="preserve">ntidades </w:t>
      </w:r>
      <w:r w:rsidR="00F17B6A">
        <w:t>v</w:t>
      </w:r>
      <w:r w:rsidRPr="00F17B6A">
        <w:t>igiladas por la Superintendencia Financiera de Colombia</w:t>
      </w:r>
      <w:r w:rsidR="00F17B6A" w:rsidRPr="00F17B6A">
        <w:t>,</w:t>
      </w:r>
      <w:r w:rsidR="00122E4F" w:rsidRPr="00F17B6A">
        <w:t xml:space="preserve"> </w:t>
      </w:r>
      <w:r w:rsidR="00122E4F">
        <w:t xml:space="preserve">se exponen las solicitudes de las diferentes entidades y agremiaciones frente a la aplicación de la NIIF 9 – Fase I en la clasificación y valoración de las inversiones. </w:t>
      </w:r>
      <w:r w:rsidR="003B7182">
        <w:t xml:space="preserve">En </w:t>
      </w:r>
      <w:r w:rsidR="007D5EAE">
        <w:t xml:space="preserve">el </w:t>
      </w:r>
      <w:r w:rsidR="003B7182">
        <w:t>resumen de los comentarios recibidos se expone:</w:t>
      </w:r>
    </w:p>
    <w:p w:rsidR="003B7182" w:rsidRPr="002336C1" w:rsidRDefault="003B7182" w:rsidP="00C53F2D">
      <w:pPr>
        <w:autoSpaceDE w:val="0"/>
        <w:autoSpaceDN w:val="0"/>
        <w:adjustRightInd w:val="0"/>
        <w:spacing w:after="0"/>
        <w:rPr>
          <w:i/>
          <w:lang w:eastAsia="es-CO"/>
        </w:rPr>
      </w:pPr>
      <w:r w:rsidRPr="002336C1">
        <w:rPr>
          <w:i/>
          <w:lang w:eastAsia="es-CO"/>
        </w:rPr>
        <w:t xml:space="preserve">La posición mayoritaria no recomienda la aplicación del Capítulo I de la Circular Básica Contable de la </w:t>
      </w:r>
      <w:proofErr w:type="spellStart"/>
      <w:r w:rsidRPr="002336C1">
        <w:rPr>
          <w:i/>
          <w:lang w:eastAsia="es-CO"/>
        </w:rPr>
        <w:t>Superfinanciera</w:t>
      </w:r>
      <w:proofErr w:type="spellEnd"/>
      <w:r w:rsidRPr="002336C1">
        <w:rPr>
          <w:i/>
          <w:lang w:eastAsia="es-CO"/>
        </w:rPr>
        <w:t xml:space="preserve">, dado el impacto de dicha aplicación tendría en el proceso de transición hacia las NIIF. </w:t>
      </w:r>
    </w:p>
    <w:p w:rsidR="003B7182" w:rsidRPr="002336C1" w:rsidRDefault="003B7182" w:rsidP="00C53F2D">
      <w:pPr>
        <w:autoSpaceDE w:val="0"/>
        <w:autoSpaceDN w:val="0"/>
        <w:adjustRightInd w:val="0"/>
        <w:spacing w:after="0"/>
        <w:rPr>
          <w:i/>
          <w:lang w:eastAsia="es-CO"/>
        </w:rPr>
      </w:pPr>
      <w:r w:rsidRPr="002336C1">
        <w:rPr>
          <w:i/>
          <w:lang w:eastAsia="es-CO"/>
        </w:rPr>
        <w:t xml:space="preserve">La segunda opción, minoritaria, recomienda la aplicación de lo establecido en el Capítulo I de la Circular Básica Contable de la </w:t>
      </w:r>
      <w:proofErr w:type="spellStart"/>
      <w:r w:rsidRPr="002336C1">
        <w:rPr>
          <w:i/>
          <w:lang w:eastAsia="es-CO"/>
        </w:rPr>
        <w:lastRenderedPageBreak/>
        <w:t>Superfinanciera</w:t>
      </w:r>
      <w:proofErr w:type="spellEnd"/>
      <w:r w:rsidRPr="002336C1">
        <w:rPr>
          <w:i/>
          <w:lang w:eastAsia="es-CO"/>
        </w:rPr>
        <w:t xml:space="preserve"> para la contabilización de las inversiones en instrumentos de deuda y patrimonio.</w:t>
      </w:r>
    </w:p>
    <w:p w:rsidR="003B7182" w:rsidRDefault="003B7182" w:rsidP="00C53F2D">
      <w:pPr>
        <w:autoSpaceDE w:val="0"/>
        <w:autoSpaceDN w:val="0"/>
        <w:adjustRightInd w:val="0"/>
        <w:spacing w:after="0"/>
      </w:pPr>
    </w:p>
    <w:p w:rsidR="002336C1" w:rsidRDefault="003B7182" w:rsidP="00C53F2D">
      <w:pPr>
        <w:autoSpaceDE w:val="0"/>
        <w:autoSpaceDN w:val="0"/>
        <w:adjustRightInd w:val="0"/>
        <w:spacing w:after="0"/>
      </w:pPr>
      <w:r>
        <w:t>A partir de este proceso el CTCP le expone a los Ministerios su recomendación siguiendo</w:t>
      </w:r>
      <w:r w:rsidR="007D5EAE">
        <w:t xml:space="preserve"> la mayoría de las opiniones,</w:t>
      </w:r>
      <w:r w:rsidR="0006353E">
        <w:t xml:space="preserve"> no obstante se</w:t>
      </w:r>
      <w:r>
        <w:t xml:space="preserve"> </w:t>
      </w:r>
      <w:r w:rsidR="00C31AE6">
        <w:t>mant</w:t>
      </w:r>
      <w:r w:rsidR="0006353E">
        <w:t xml:space="preserve">iene </w:t>
      </w:r>
      <w:r w:rsidR="00C31AE6">
        <w:t xml:space="preserve">la posición de seguir lo establecido por la Superintendencia Financiera, opción válida entre las posibilidades, pero la menos eficiente si se analiza el tiempo de su expedición, en mi concepto </w:t>
      </w:r>
      <w:r w:rsidR="0006353E">
        <w:t>podía haber sido</w:t>
      </w:r>
      <w:r w:rsidR="00C31AE6">
        <w:t xml:space="preserve"> </w:t>
      </w:r>
      <w:proofErr w:type="gramStart"/>
      <w:r w:rsidR="00C31AE6">
        <w:t>la</w:t>
      </w:r>
      <w:proofErr w:type="gramEnd"/>
      <w:r w:rsidR="00C31AE6">
        <w:t xml:space="preserve"> más conveniente si se expide con oportunidad, pero hoy es la menos estratégica y considerada con los regulados</w:t>
      </w:r>
      <w:r w:rsidR="002336C1">
        <w:t>.</w:t>
      </w:r>
      <w:r w:rsidR="00663308">
        <w:t xml:space="preserve"> </w:t>
      </w:r>
      <w:r w:rsidR="002336C1">
        <w:t>P</w:t>
      </w:r>
      <w:r w:rsidR="00663308">
        <w:t xml:space="preserve">or </w:t>
      </w:r>
      <w:r w:rsidR="003245F5">
        <w:t xml:space="preserve">lo que se evidencia </w:t>
      </w:r>
      <w:r w:rsidR="00663308">
        <w:t xml:space="preserve">en esta </w:t>
      </w:r>
      <w:r w:rsidR="0006353E">
        <w:t>situación que</w:t>
      </w:r>
      <w:r w:rsidR="00663308">
        <w:t xml:space="preserve"> el debido proceso no surtió efecto</w:t>
      </w:r>
      <w:r w:rsidR="00FB3762">
        <w:t xml:space="preserve">. </w:t>
      </w:r>
    </w:p>
    <w:p w:rsidR="002336C1" w:rsidRDefault="002336C1" w:rsidP="00C53F2D">
      <w:pPr>
        <w:autoSpaceDE w:val="0"/>
        <w:autoSpaceDN w:val="0"/>
        <w:adjustRightInd w:val="0"/>
        <w:spacing w:after="0"/>
      </w:pPr>
    </w:p>
    <w:p w:rsidR="00FB3762" w:rsidRDefault="002336C1" w:rsidP="00C53F2D">
      <w:pPr>
        <w:autoSpaceDE w:val="0"/>
        <w:autoSpaceDN w:val="0"/>
        <w:adjustRightInd w:val="0"/>
        <w:spacing w:after="0"/>
      </w:pPr>
      <w:r>
        <w:t>No obstante,</w:t>
      </w:r>
      <w:r w:rsidR="00423990">
        <w:t xml:space="preserve"> esta decisión</w:t>
      </w:r>
      <w:r>
        <w:t xml:space="preserve"> </w:t>
      </w:r>
      <w:r w:rsidR="00FB3762">
        <w:t>favore</w:t>
      </w:r>
      <w:r w:rsidR="00C31AE6">
        <w:t>c</w:t>
      </w:r>
      <w:r w:rsidR="00FB3762">
        <w:t>e</w:t>
      </w:r>
      <w:r w:rsidR="00C31AE6">
        <w:t xml:space="preserve"> al supervisor</w:t>
      </w:r>
      <w:r w:rsidR="00877C07">
        <w:t>,</w:t>
      </w:r>
      <w:r w:rsidR="00C31AE6">
        <w:t xml:space="preserve"> </w:t>
      </w:r>
      <w:r w:rsidR="007D5EAE">
        <w:t>si se analizan</w:t>
      </w:r>
      <w:r w:rsidR="00C31AE6">
        <w:t xml:space="preserve"> las instrucciones </w:t>
      </w:r>
      <w:r w:rsidR="00423990">
        <w:t>dadas por e</w:t>
      </w:r>
      <w:r w:rsidR="007D5EAE">
        <w:t>ste</w:t>
      </w:r>
      <w:r w:rsidR="00423990">
        <w:t xml:space="preserve"> organismo</w:t>
      </w:r>
      <w:r w:rsidR="007D5EAE">
        <w:t xml:space="preserve"> </w:t>
      </w:r>
      <w:r w:rsidR="00423990">
        <w:t>en</w:t>
      </w:r>
      <w:r w:rsidR="00C31AE6">
        <w:t xml:space="preserve"> la transmisión de los Estados Financieros </w:t>
      </w:r>
      <w:r w:rsidR="00E1614A">
        <w:t>de Apertura de sus v</w:t>
      </w:r>
      <w:r w:rsidR="00423990">
        <w:t xml:space="preserve">igiladas y </w:t>
      </w:r>
      <w:r w:rsidR="00E1614A">
        <w:t>s</w:t>
      </w:r>
      <w:r w:rsidR="00320F06">
        <w:t>upervisadas</w:t>
      </w:r>
      <w:r w:rsidR="00FB3762">
        <w:t>,</w:t>
      </w:r>
      <w:r w:rsidR="003F0AB5">
        <w:t xml:space="preserve"> así como los vacíos que se presentan en el catálogo de cuentas, en el cual existen ausencias para el reporte de información que bajo NIIF, </w:t>
      </w:r>
      <w:r w:rsidR="002855C1">
        <w:t xml:space="preserve">estas situaciones </w:t>
      </w:r>
      <w:r w:rsidR="007D5EAE">
        <w:t>dej</w:t>
      </w:r>
      <w:r w:rsidR="00E1614A">
        <w:t>a</w:t>
      </w:r>
      <w:r w:rsidR="002855C1">
        <w:t>n</w:t>
      </w:r>
      <w:r w:rsidR="00FB3762">
        <w:t xml:space="preserve"> </w:t>
      </w:r>
      <w:r w:rsidR="00C31AE6">
        <w:t xml:space="preserve">entre dicho </w:t>
      </w:r>
      <w:r w:rsidR="0006353E">
        <w:t>la</w:t>
      </w:r>
      <w:r w:rsidR="00C31AE6">
        <w:t xml:space="preserve"> prepara</w:t>
      </w:r>
      <w:r w:rsidR="0006353E">
        <w:t xml:space="preserve">ción </w:t>
      </w:r>
      <w:r w:rsidR="00C31AE6">
        <w:t>d</w:t>
      </w:r>
      <w:r w:rsidR="0006353E">
        <w:t xml:space="preserve">e esta entidad. </w:t>
      </w:r>
      <w:r w:rsidR="00FB3762">
        <w:t xml:space="preserve"> </w:t>
      </w:r>
    </w:p>
    <w:p w:rsidR="00FB3762" w:rsidRDefault="00FB3762" w:rsidP="00C53F2D">
      <w:pPr>
        <w:autoSpaceDE w:val="0"/>
        <w:autoSpaceDN w:val="0"/>
        <w:adjustRightInd w:val="0"/>
        <w:spacing w:after="0"/>
      </w:pPr>
    </w:p>
    <w:p w:rsidR="00AD625D" w:rsidRDefault="00FB3762" w:rsidP="00C53F2D">
      <w:pPr>
        <w:autoSpaceDE w:val="0"/>
        <w:autoSpaceDN w:val="0"/>
        <w:adjustRightInd w:val="0"/>
        <w:spacing w:after="0"/>
      </w:pPr>
      <w:r>
        <w:t>Ojala para cuando sea el momento de optar por la NIIF 9 definitiva, se realicen los análisis y estudios pertinentes</w:t>
      </w:r>
      <w:r w:rsidR="00320F06">
        <w:t xml:space="preserve"> de manera oportuna</w:t>
      </w:r>
      <w:r w:rsidR="00E7270D">
        <w:t>, se preparen quienes deba</w:t>
      </w:r>
      <w:r>
        <w:t>n prepararse, para que no sean las empresas el conejillo de indias</w:t>
      </w:r>
      <w:r w:rsidR="00E7270D">
        <w:t>,</w:t>
      </w:r>
      <w:r>
        <w:t xml:space="preserve"> del ir y venir</w:t>
      </w:r>
      <w:r w:rsidR="00E7270D">
        <w:t>,</w:t>
      </w:r>
      <w:r>
        <w:t xml:space="preserve"> de los al final tienen el poder</w:t>
      </w:r>
      <w:r w:rsidR="00DC2ECC">
        <w:t xml:space="preserve"> de influir </w:t>
      </w:r>
      <w:r>
        <w:t xml:space="preserve">en la regulación </w:t>
      </w:r>
      <w:r w:rsidR="00DC2ECC">
        <w:t xml:space="preserve">contable </w:t>
      </w:r>
      <w:r w:rsidR="009C3360">
        <w:t>en</w:t>
      </w:r>
      <w:r w:rsidR="00DC2ECC">
        <w:t xml:space="preserve"> Colombia.</w:t>
      </w:r>
    </w:p>
    <w:p w:rsidR="00896FCF" w:rsidRDefault="00896FCF" w:rsidP="00C53F2D">
      <w:pPr>
        <w:autoSpaceDE w:val="0"/>
        <w:autoSpaceDN w:val="0"/>
        <w:adjustRightInd w:val="0"/>
        <w:spacing w:after="0"/>
      </w:pPr>
    </w:p>
    <w:p w:rsidR="004C0030" w:rsidRPr="004C0030" w:rsidRDefault="004C0030" w:rsidP="004C0030">
      <w:pPr>
        <w:pStyle w:val="Prrafodelista"/>
        <w:tabs>
          <w:tab w:val="left" w:pos="284"/>
        </w:tabs>
        <w:ind w:left="0"/>
        <w:jc w:val="right"/>
        <w:rPr>
          <w:i/>
        </w:rPr>
      </w:pPr>
      <w:r w:rsidRPr="004C0030">
        <w:rPr>
          <w:i/>
        </w:rPr>
        <w:t>Martha Liliana Arias Bello</w:t>
      </w:r>
    </w:p>
    <w:sectPr w:rsidR="004C0030" w:rsidRPr="004C0030" w:rsidSect="007F1D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96" w:rsidRDefault="00722696" w:rsidP="00EE7812">
      <w:pPr>
        <w:spacing w:after="0" w:line="240" w:lineRule="auto"/>
      </w:pPr>
      <w:r>
        <w:separator/>
      </w:r>
    </w:p>
  </w:endnote>
  <w:endnote w:type="continuationSeparator" w:id="0">
    <w:p w:rsidR="00722696" w:rsidRDefault="0072269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59" w:rsidRDefault="00F37C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C1" w:rsidRDefault="002336C1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59" w:rsidRDefault="00F37C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96" w:rsidRDefault="00722696" w:rsidP="00EE7812">
      <w:pPr>
        <w:spacing w:after="0" w:line="240" w:lineRule="auto"/>
      </w:pPr>
      <w:r>
        <w:separator/>
      </w:r>
    </w:p>
  </w:footnote>
  <w:footnote w:type="continuationSeparator" w:id="0">
    <w:p w:rsidR="00722696" w:rsidRDefault="0072269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59" w:rsidRDefault="00F37C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C1" w:rsidRDefault="002336C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2336C1" w:rsidRDefault="002336C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2336C1" w:rsidRDefault="002336C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F37C59">
      <w:t>1061</w:t>
    </w:r>
    <w:r>
      <w:t>,</w:t>
    </w:r>
    <w:r w:rsidR="00F37C59">
      <w:t xml:space="preserve"> noviembre 18</w:t>
    </w:r>
    <w:r>
      <w:t xml:space="preserve"> de 2014</w:t>
    </w:r>
  </w:p>
  <w:p w:rsidR="002336C1" w:rsidRDefault="00722696" w:rsidP="00EE1753">
    <w:pPr>
      <w:pStyle w:val="Encabezado"/>
      <w:tabs>
        <w:tab w:val="left" w:pos="2580"/>
        <w:tab w:val="left" w:pos="2985"/>
      </w:tabs>
      <w:spacing w:line="276" w:lineRule="auto"/>
      <w:jc w:val="center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59" w:rsidRDefault="00F37C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621F4"/>
    <w:multiLevelType w:val="hybridMultilevel"/>
    <w:tmpl w:val="962800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05984"/>
    <w:multiLevelType w:val="hybridMultilevel"/>
    <w:tmpl w:val="C1AEC10A"/>
    <w:lvl w:ilvl="0" w:tplc="31F045B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C22F39"/>
    <w:multiLevelType w:val="hybridMultilevel"/>
    <w:tmpl w:val="AFA4D1BC"/>
    <w:lvl w:ilvl="0" w:tplc="31F045B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F6EB9"/>
    <w:multiLevelType w:val="hybridMultilevel"/>
    <w:tmpl w:val="2E4C8DE6"/>
    <w:lvl w:ilvl="0" w:tplc="1F0C696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71506D"/>
    <w:multiLevelType w:val="hybridMultilevel"/>
    <w:tmpl w:val="4C7808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5"/>
  </w:num>
  <w:num w:numId="5">
    <w:abstractNumId w:val="15"/>
  </w:num>
  <w:num w:numId="6">
    <w:abstractNumId w:val="17"/>
  </w:num>
  <w:num w:numId="7">
    <w:abstractNumId w:val="9"/>
  </w:num>
  <w:num w:numId="8">
    <w:abstractNumId w:val="1"/>
  </w:num>
  <w:num w:numId="9">
    <w:abstractNumId w:val="7"/>
  </w:num>
  <w:num w:numId="10">
    <w:abstractNumId w:val="11"/>
  </w:num>
  <w:num w:numId="11">
    <w:abstractNumId w:val="12"/>
  </w:num>
  <w:num w:numId="12">
    <w:abstractNumId w:val="10"/>
  </w:num>
  <w:num w:numId="13">
    <w:abstractNumId w:val="16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3E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6E8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03E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2E4F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1C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3AF7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1B1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C1"/>
    <w:rsid w:val="002336F4"/>
    <w:rsid w:val="002339F2"/>
    <w:rsid w:val="00233C12"/>
    <w:rsid w:val="00233F15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5C1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300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6E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06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5F5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182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0AB5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990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030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79C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00C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47F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755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260"/>
    <w:rsid w:val="0054682A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59A"/>
    <w:rsid w:val="005A160F"/>
    <w:rsid w:val="005A1BE1"/>
    <w:rsid w:val="005A1D9F"/>
    <w:rsid w:val="005A1F36"/>
    <w:rsid w:val="005A2162"/>
    <w:rsid w:val="005A22FB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308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6CEB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60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05"/>
    <w:rsid w:val="006C1624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696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78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45E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37F7A"/>
    <w:rsid w:val="0074050E"/>
    <w:rsid w:val="00740544"/>
    <w:rsid w:val="00740C9F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5EAE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3B2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451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2B2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C07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0F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6FC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85F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7EC"/>
    <w:rsid w:val="00913900"/>
    <w:rsid w:val="00913CAE"/>
    <w:rsid w:val="00913CD2"/>
    <w:rsid w:val="00914723"/>
    <w:rsid w:val="00914D97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CD0"/>
    <w:rsid w:val="0096503A"/>
    <w:rsid w:val="0096512F"/>
    <w:rsid w:val="00965159"/>
    <w:rsid w:val="009653B2"/>
    <w:rsid w:val="0096563A"/>
    <w:rsid w:val="00965802"/>
    <w:rsid w:val="00965947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421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360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C10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25D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415"/>
    <w:rsid w:val="00B2572F"/>
    <w:rsid w:val="00B2591C"/>
    <w:rsid w:val="00B25D10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52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6E2"/>
    <w:rsid w:val="00C3174D"/>
    <w:rsid w:val="00C3176D"/>
    <w:rsid w:val="00C318E6"/>
    <w:rsid w:val="00C31ABF"/>
    <w:rsid w:val="00C31AE6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3F2D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984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53D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2ECC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4A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21E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70D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11D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583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C0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0DC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C1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75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1D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6A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59"/>
    <w:rsid w:val="00F37CCE"/>
    <w:rsid w:val="00F37DB2"/>
    <w:rsid w:val="00F4005F"/>
    <w:rsid w:val="00F401B7"/>
    <w:rsid w:val="00F40324"/>
    <w:rsid w:val="00F4036F"/>
    <w:rsid w:val="00F40424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1DA"/>
    <w:rsid w:val="00FB349C"/>
    <w:rsid w:val="00FB361A"/>
    <w:rsid w:val="00FB372E"/>
    <w:rsid w:val="00FB3762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1C"/>
    <w:rsid w:val="00FC1CA4"/>
    <w:rsid w:val="00FC240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87DC13E5-6D4A-4147-88C9-E91C5B9D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2014-11-18T15:47:00Z</dcterms:created>
  <dcterms:modified xsi:type="dcterms:W3CDTF">2014-11-18T15:47:00Z</dcterms:modified>
</cp:coreProperties>
</file>