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C5" w:rsidRPr="00CE59C5" w:rsidRDefault="00CE59C5" w:rsidP="00CE59C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CE59C5">
        <w:rPr>
          <w:position w:val="-9"/>
          <w:sz w:val="123"/>
        </w:rPr>
        <w:t>L</w:t>
      </w:r>
    </w:p>
    <w:p w:rsidR="00D66186" w:rsidRDefault="00907E1E" w:rsidP="00D66186">
      <w:r>
        <w:t xml:space="preserve">a </w:t>
      </w:r>
      <w:hyperlink r:id="rId9" w:history="1">
        <w:r w:rsidRPr="00CE59C5">
          <w:rPr>
            <w:rStyle w:val="Hipervnculo"/>
          </w:rPr>
          <w:t>Resolución general 609</w:t>
        </w:r>
      </w:hyperlink>
      <w:r>
        <w:t xml:space="preserve"> </w:t>
      </w:r>
      <w:r w:rsidR="00BD1022">
        <w:t xml:space="preserve">emitida en Argentina por la Comisión Nacional de Valores el 13 de septiembre de 2012, dispuso </w:t>
      </w:r>
      <w:r w:rsidR="009F26A7">
        <w:t xml:space="preserve">que el monto de las utilidades arrojadas por la conversión a NIIF “(…) </w:t>
      </w:r>
      <w:r w:rsidR="00D66186" w:rsidRPr="009804F0">
        <w:rPr>
          <w:i/>
        </w:rPr>
        <w:t>será reasignado a una reserva especial. Esta reserva no podrá desafectarse para efectuar distribuciones en efectivo o en especie entre los accionistas o propietarios de la entidad y sólo podrá ser desafectada para su capitalización o para absorber eventuales saldos negativos de la cuenta “Resultados no asignados</w:t>
      </w:r>
      <w:r w:rsidR="00D66186">
        <w:t>”.</w:t>
      </w:r>
      <w:r w:rsidR="00564165">
        <w:t xml:space="preserve"> (…)”</w:t>
      </w:r>
      <w:r w:rsidR="00CE59C5">
        <w:t>. Al efecto la Comisión adujo la necesidad</w:t>
      </w:r>
      <w:r w:rsidR="004D3699">
        <w:t>, en el marco de la prudencia,</w:t>
      </w:r>
      <w:r w:rsidR="00CE59C5">
        <w:t xml:space="preserve"> de</w:t>
      </w:r>
      <w:r w:rsidR="009804F0">
        <w:t xml:space="preserve"> “(…) </w:t>
      </w:r>
      <w:r w:rsidR="009804F0" w:rsidRPr="009804F0">
        <w:rPr>
          <w:i/>
        </w:rPr>
        <w:t>fortalecer la posición financiera de las entidades que hacen oferta pública de sus valores mobiliarios</w:t>
      </w:r>
      <w:r w:rsidR="009804F0">
        <w:t xml:space="preserve"> (…)”.</w:t>
      </w:r>
    </w:p>
    <w:p w:rsidR="001620DF" w:rsidRDefault="001620DF" w:rsidP="00D66186">
      <w:pPr>
        <w:rPr>
          <w:lang w:val="es-ES"/>
        </w:rPr>
      </w:pPr>
      <w:r>
        <w:t xml:space="preserve">En el artículo 16 del </w:t>
      </w:r>
      <w:hyperlink r:id="rId10" w:history="1">
        <w:r w:rsidR="00622420" w:rsidRPr="00622420">
          <w:rPr>
            <w:rStyle w:val="Textoennegrita"/>
            <w:b w:val="0"/>
            <w:color w:val="0000FF"/>
            <w:u w:val="single"/>
            <w:lang w:val="es-ES"/>
          </w:rPr>
          <w:t>Proyecto de Ley</w:t>
        </w:r>
      </w:hyperlink>
      <w:r w:rsidR="00622420">
        <w:rPr>
          <w:lang w:val="es-ES"/>
        </w:rPr>
        <w:t xml:space="preserve"> “Armonización para la aplicación de normas de información financiera y de aseguramiento de la información” se </w:t>
      </w:r>
      <w:r w:rsidR="002D74C1">
        <w:rPr>
          <w:lang w:val="es-ES"/>
        </w:rPr>
        <w:t xml:space="preserve">plantea que el susodicho incremento </w:t>
      </w:r>
      <w:r w:rsidR="002D74C1" w:rsidRPr="002D74C1">
        <w:rPr>
          <w:i/>
          <w:lang w:val="es-ES"/>
        </w:rPr>
        <w:t>“(…) no será objeto de distribución a través de dividendos o repartición de utilidades, hasta tanto tales utilidades se hayan realizado de manera efectiva</w:t>
      </w:r>
      <w:r w:rsidR="002D74C1">
        <w:rPr>
          <w:lang w:val="es-ES"/>
        </w:rPr>
        <w:t xml:space="preserve"> (…)”</w:t>
      </w:r>
      <w:r w:rsidR="00827A3B">
        <w:rPr>
          <w:lang w:val="es-ES"/>
        </w:rPr>
        <w:t xml:space="preserve">. En la exposición de motivos se sostiene que “(…) </w:t>
      </w:r>
      <w:r w:rsidR="00827A3B" w:rsidRPr="00D918C5">
        <w:rPr>
          <w:i/>
          <w:lang w:val="es-ES"/>
        </w:rPr>
        <w:t>si el resultado es favorable, existe riesgo de descapitalizar la empresa, si la partida fuera susceptible de distribución sin restricciones, dado que proviene de ajustes contables y no de movimientos de efectivo.</w:t>
      </w:r>
      <w:r w:rsidR="00827A3B">
        <w:rPr>
          <w:lang w:val="es-ES"/>
        </w:rPr>
        <w:t xml:space="preserve"> (…)”</w:t>
      </w:r>
      <w:r w:rsidR="00D918C5">
        <w:rPr>
          <w:lang w:val="es-ES"/>
        </w:rPr>
        <w:t>.</w:t>
      </w:r>
    </w:p>
    <w:p w:rsidR="00D466F7" w:rsidRDefault="0051697C" w:rsidP="00D466F7">
      <w:pPr>
        <w:rPr>
          <w:lang w:val="es-ES"/>
        </w:rPr>
      </w:pPr>
      <w:hyperlink r:id="rId11" w:history="1">
        <w:r w:rsidR="00D466F7" w:rsidRPr="00557FCD">
          <w:rPr>
            <w:rStyle w:val="Hipervnculo"/>
            <w:lang w:val="es-ES"/>
          </w:rPr>
          <w:t>Ya se sabe</w:t>
        </w:r>
      </w:hyperlink>
      <w:r w:rsidR="00D466F7">
        <w:rPr>
          <w:lang w:val="es-ES"/>
        </w:rPr>
        <w:t xml:space="preserve"> que habrá empresas con ganancias, otras con pérdidas y otras sin efectos patrimoniales resultantes de aplicación de los nuevos marcos normativos. En forma acumulada se espera que el patrimonio de las empresas vigiladas por la </w:t>
      </w:r>
      <w:r w:rsidR="00D466F7">
        <w:rPr>
          <w:lang w:val="es-ES"/>
        </w:rPr>
        <w:lastRenderedPageBreak/>
        <w:t xml:space="preserve">Superintendencia de Sociedades disminuya en un 13%. Esto se deberá a “(…) </w:t>
      </w:r>
      <w:r w:rsidR="00D466F7" w:rsidRPr="00322B6D">
        <w:rPr>
          <w:i/>
          <w:lang w:val="es-ES"/>
        </w:rPr>
        <w:t>una reducción en el patrimonio debido principalmente al ajuste de propiedad, planta y equipo al costo y los ajustes por impuestos diferidos</w:t>
      </w:r>
      <w:r w:rsidR="00D466F7">
        <w:rPr>
          <w:lang w:val="es-ES"/>
        </w:rPr>
        <w:t xml:space="preserve"> (…)”.</w:t>
      </w:r>
    </w:p>
    <w:p w:rsidR="00D918C5" w:rsidRDefault="00D918C5" w:rsidP="00D66186">
      <w:pPr>
        <w:rPr>
          <w:lang w:val="es-ES"/>
        </w:rPr>
      </w:pPr>
      <w:r>
        <w:rPr>
          <w:lang w:val="es-ES"/>
        </w:rPr>
        <w:t xml:space="preserve">Mucho trecho hay entre una política de capitalización empresarial en el marco del principio de prudencia y </w:t>
      </w:r>
      <w:r w:rsidR="00F83781">
        <w:rPr>
          <w:lang w:val="es-ES"/>
        </w:rPr>
        <w:t xml:space="preserve">la tesis de la falta de realización de las utilidades </w:t>
      </w:r>
      <w:r w:rsidR="00F83781" w:rsidRPr="0098383A">
        <w:rPr>
          <w:lang w:val="es-ES"/>
        </w:rPr>
        <w:t xml:space="preserve">por provenir de </w:t>
      </w:r>
      <w:r w:rsidR="0098383A">
        <w:rPr>
          <w:lang w:val="es-ES"/>
        </w:rPr>
        <w:t>“</w:t>
      </w:r>
      <w:r w:rsidR="00F83781" w:rsidRPr="00E236C3">
        <w:rPr>
          <w:i/>
          <w:lang w:val="es-ES"/>
        </w:rPr>
        <w:t>ajustes contables</w:t>
      </w:r>
      <w:r w:rsidR="00F83781">
        <w:rPr>
          <w:lang w:val="es-ES"/>
        </w:rPr>
        <w:t>”.</w:t>
      </w:r>
      <w:r w:rsidR="00DD4A5B">
        <w:rPr>
          <w:lang w:val="es-ES"/>
        </w:rPr>
        <w:t xml:space="preserve"> Algunos podrían sostener que muchos resultados negativos también son fruto de “</w:t>
      </w:r>
      <w:r w:rsidR="00DD4A5B" w:rsidRPr="00E236C3">
        <w:rPr>
          <w:i/>
          <w:lang w:val="es-ES"/>
        </w:rPr>
        <w:t>ajustes contables</w:t>
      </w:r>
      <w:r w:rsidR="00DD4A5B">
        <w:rPr>
          <w:lang w:val="es-ES"/>
        </w:rPr>
        <w:t>” que no corresponden a flujos de efectivo.</w:t>
      </w:r>
    </w:p>
    <w:p w:rsidR="00662EC5" w:rsidRDefault="00662EC5" w:rsidP="00D66186">
      <w:pPr>
        <w:rPr>
          <w:lang w:val="es-ES"/>
        </w:rPr>
      </w:pPr>
      <w:r>
        <w:rPr>
          <w:lang w:val="es-ES"/>
        </w:rPr>
        <w:t>Históricamente en Colombia la realización de ingresos y egresos ha sido ambivalente.</w:t>
      </w:r>
      <w:r w:rsidR="007D57C3">
        <w:rPr>
          <w:lang w:val="es-ES"/>
        </w:rPr>
        <w:t xml:space="preserve"> </w:t>
      </w:r>
      <w:r w:rsidR="00CE303B">
        <w:rPr>
          <w:lang w:val="es-ES"/>
        </w:rPr>
        <w:t>Por ejemplo, c</w:t>
      </w:r>
      <w:r w:rsidR="007D57C3">
        <w:rPr>
          <w:lang w:val="es-ES"/>
        </w:rPr>
        <w:t>uando conviene al ingreso tributario se acoge la tesis de la “</w:t>
      </w:r>
      <w:r w:rsidR="007D57C3" w:rsidRPr="00E236C3">
        <w:rPr>
          <w:i/>
          <w:lang w:val="es-ES"/>
        </w:rPr>
        <w:t>causación</w:t>
      </w:r>
      <w:r w:rsidR="007D57C3">
        <w:rPr>
          <w:lang w:val="es-ES"/>
        </w:rPr>
        <w:t xml:space="preserve">”. Al mismo tiempo y por las mismas finalidades se exige que los gastos </w:t>
      </w:r>
      <w:r w:rsidR="004569B9">
        <w:rPr>
          <w:lang w:val="es-ES"/>
        </w:rPr>
        <w:t>se hayan desembolsado en efectivo.</w:t>
      </w:r>
      <w:r w:rsidR="00CE303B">
        <w:rPr>
          <w:lang w:val="es-ES"/>
        </w:rPr>
        <w:t xml:space="preserve"> Así podríamos citar otros casos de los que hay muchos en la historia de las regulaciones prudenciales del País.</w:t>
      </w:r>
    </w:p>
    <w:p w:rsidR="00413ADA" w:rsidRDefault="00413ADA" w:rsidP="00D66186">
      <w:pPr>
        <w:rPr>
          <w:lang w:val="es-ES"/>
        </w:rPr>
      </w:pPr>
      <w:r>
        <w:rPr>
          <w:lang w:val="es-ES"/>
        </w:rPr>
        <w:t xml:space="preserve">Le falta mucha argumentación técnica a la tesis de la exposición de motivos que propone el tratamiento en comento por no ser el fruto de operaciones ordinarias sino del </w:t>
      </w:r>
      <w:r w:rsidR="00E236C3">
        <w:rPr>
          <w:lang w:val="es-ES"/>
        </w:rPr>
        <w:t>“</w:t>
      </w:r>
      <w:r w:rsidRPr="00E236C3">
        <w:rPr>
          <w:i/>
          <w:lang w:val="es-ES"/>
        </w:rPr>
        <w:t>cambio de bases de medición</w:t>
      </w:r>
      <w:r w:rsidR="00E236C3">
        <w:rPr>
          <w:lang w:val="es-ES"/>
        </w:rPr>
        <w:t>”.</w:t>
      </w:r>
      <w:r w:rsidR="00D549F8">
        <w:rPr>
          <w:lang w:val="es-ES"/>
        </w:rPr>
        <w:t xml:space="preserve"> Las autoridades de regulación entran en gran contradicción cuando defienden la puesta en vigencia de las nuevas normas por presentar de mejor manera la realidad económica y luego sostener que se trata de meros ajustes contables que podrían no estar realizados.</w:t>
      </w:r>
      <w:r w:rsidR="00A03016">
        <w:rPr>
          <w:lang w:val="es-ES"/>
        </w:rPr>
        <w:t xml:space="preserve"> Matan la fiera y se asustan con el cuero.</w:t>
      </w:r>
    </w:p>
    <w:p w:rsidR="00DD55A6" w:rsidRDefault="00A03016" w:rsidP="00C10176">
      <w:pPr>
        <w:jc w:val="right"/>
      </w:pPr>
      <w:r w:rsidRPr="00A03016">
        <w:rPr>
          <w:i/>
          <w:lang w:val="es-ES"/>
        </w:rPr>
        <w:t>Hernando Bermúdez Gómez</w:t>
      </w:r>
    </w:p>
    <w:sectPr w:rsidR="00DD55A6" w:rsidSect="007F1D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97C" w:rsidRDefault="0051697C" w:rsidP="00EE7812">
      <w:pPr>
        <w:spacing w:after="0" w:line="240" w:lineRule="auto"/>
      </w:pPr>
      <w:r>
        <w:separator/>
      </w:r>
    </w:p>
  </w:endnote>
  <w:endnote w:type="continuationSeparator" w:id="0">
    <w:p w:rsidR="0051697C" w:rsidRDefault="0051697C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D9" w:rsidRDefault="00CA3A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D9" w:rsidRDefault="00CA3A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97C" w:rsidRDefault="0051697C" w:rsidP="00EE7812">
      <w:pPr>
        <w:spacing w:after="0" w:line="240" w:lineRule="auto"/>
      </w:pPr>
      <w:r>
        <w:separator/>
      </w:r>
    </w:p>
  </w:footnote>
  <w:footnote w:type="continuationSeparator" w:id="0">
    <w:p w:rsidR="0051697C" w:rsidRDefault="0051697C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D9" w:rsidRDefault="00CA3A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2614C5">
      <w:t>108</w:t>
    </w:r>
    <w:r w:rsidR="00CA3AD9">
      <w:t>2</w:t>
    </w:r>
    <w:r w:rsidR="00667D4D">
      <w:t>,</w:t>
    </w:r>
    <w:r w:rsidR="009D09BB">
      <w:t xml:space="preserve"> </w:t>
    </w:r>
    <w:r w:rsidR="002614C5">
      <w:t>dici</w:t>
    </w:r>
    <w:r w:rsidR="00907E1E">
      <w:t>embre</w:t>
    </w:r>
    <w:r w:rsidR="007E2BC9">
      <w:t xml:space="preserve"> </w:t>
    </w:r>
    <w:r w:rsidR="004F480E">
      <w:t>10</w:t>
    </w:r>
    <w:bookmarkStart w:id="0" w:name="_GoBack"/>
    <w:bookmarkEnd w:id="0"/>
    <w:r w:rsidR="007E2BC9">
      <w:t xml:space="preserve"> de 2014</w:t>
    </w:r>
  </w:p>
  <w:p w:rsidR="0046164F" w:rsidRDefault="0051697C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AD9" w:rsidRDefault="00CA3A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5BB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0DF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4C5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C1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4850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2B6D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2A3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ADA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69B9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699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80E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97C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57FCD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165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420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9B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2EC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5E2B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1D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7C3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A3B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4F54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07E1E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4F0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383A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6A7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016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BE9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01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022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896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76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2B1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AD9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03B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9C5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6F7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9F8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186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8C5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A5B"/>
    <w:rsid w:val="00DD4FC3"/>
    <w:rsid w:val="00DD5182"/>
    <w:rsid w:val="00DD5190"/>
    <w:rsid w:val="00DD55A6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6C3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9F6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781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224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224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upersociedades.gov.co/noticias/Documents/INFORME-ESFA-2014-Grupo1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incit.gov.co/descargar.php?id=7219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cnv.gob.ar/LeyesyReg/CNV/esp/RGCRGN609-12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5FE6984F-7ED8-49DC-8CD4-61BFB892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Guillermo Arturo Segura Vargas</cp:lastModifiedBy>
  <cp:revision>3</cp:revision>
  <cp:lastPrinted>2011-08-23T16:28:00Z</cp:lastPrinted>
  <dcterms:created xsi:type="dcterms:W3CDTF">2014-12-03T20:55:00Z</dcterms:created>
  <dcterms:modified xsi:type="dcterms:W3CDTF">2014-12-10T14:49:00Z</dcterms:modified>
</cp:coreProperties>
</file>