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D6" w:rsidRPr="00E017D6" w:rsidRDefault="00E017D6" w:rsidP="00E017D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E017D6">
        <w:rPr>
          <w:position w:val="-9"/>
          <w:sz w:val="123"/>
        </w:rPr>
        <w:t>E</w:t>
      </w:r>
    </w:p>
    <w:p w:rsidR="00973B6F" w:rsidRDefault="008A0376" w:rsidP="004B3E22">
      <w:pPr>
        <w:rPr>
          <w:lang w:val="es-ES"/>
        </w:rPr>
      </w:pPr>
      <w:r>
        <w:t xml:space="preserve">l artículo 19 del </w:t>
      </w:r>
      <w:hyperlink r:id="rId9" w:history="1">
        <w:r w:rsidRPr="008A0376">
          <w:rPr>
            <w:rStyle w:val="Textoennegrita"/>
            <w:b w:val="0"/>
            <w:color w:val="0000FF"/>
            <w:u w:val="single"/>
            <w:lang w:val="es-ES"/>
          </w:rPr>
          <w:t>Proyecto de Ley</w:t>
        </w:r>
      </w:hyperlink>
      <w:r>
        <w:rPr>
          <w:lang w:val="es-ES"/>
        </w:rPr>
        <w:t xml:space="preserve"> “Armonización para la aplicación de normas de información financiera y de aseguramiento de la información” propone la derogatoria del artículo 207 del </w:t>
      </w:r>
      <w:hyperlink r:id="rId10" w:history="1">
        <w:r w:rsidRPr="00504A23">
          <w:rPr>
            <w:rStyle w:val="Hipervnculo"/>
            <w:lang w:val="es-ES"/>
          </w:rPr>
          <w:t>Código de Comercio</w:t>
        </w:r>
      </w:hyperlink>
      <w:r>
        <w:rPr>
          <w:lang w:val="es-ES"/>
        </w:rPr>
        <w:t xml:space="preserve">, </w:t>
      </w:r>
      <w:r w:rsidR="00620E3B">
        <w:rPr>
          <w:lang w:val="es-ES"/>
        </w:rPr>
        <w:t xml:space="preserve">porque “(…) </w:t>
      </w:r>
      <w:r w:rsidR="00620E3B" w:rsidRPr="00E017D6">
        <w:rPr>
          <w:i/>
          <w:lang w:val="es-ES"/>
        </w:rPr>
        <w:t>Las funciones existentes tienen una antigüedad de más de 80 años y son incompatibles con la naturaleza del aseguramiento de la información</w:t>
      </w:r>
      <w:r w:rsidR="00620E3B">
        <w:rPr>
          <w:lang w:val="es-ES"/>
        </w:rPr>
        <w:t xml:space="preserve"> (…)”.</w:t>
      </w:r>
    </w:p>
    <w:p w:rsidR="00620E3B" w:rsidRDefault="00620E3B" w:rsidP="004B3E22">
      <w:pPr>
        <w:rPr>
          <w:lang w:val="es-ES"/>
        </w:rPr>
      </w:pPr>
      <w:r>
        <w:rPr>
          <w:lang w:val="es-ES"/>
        </w:rPr>
        <w:t xml:space="preserve">Aun cuando las funciones del revisor fiscal pudieran ser actualizadas, el argumento sobre su antigüedad carece de valor. En el mundo del derecho hay instituciones con varios milenios de existencia y a nadie se le ocurre que por </w:t>
      </w:r>
      <w:r w:rsidR="00F84F3A">
        <w:rPr>
          <w:lang w:val="es-ES"/>
        </w:rPr>
        <w:t>añosas sean anticuadas.</w:t>
      </w:r>
      <w:r w:rsidR="0027229E">
        <w:rPr>
          <w:lang w:val="es-ES"/>
        </w:rPr>
        <w:t xml:space="preserve"> Una revisión del derecho contable internacional, que ciertamente no hicieron los autores del proyecto, muestra la vigencia de la instituc</w:t>
      </w:r>
      <w:r w:rsidR="00EC6AAA">
        <w:rPr>
          <w:lang w:val="es-ES"/>
        </w:rPr>
        <w:t>ión de la auditoría estatutaria, que, por cierto, no tiene 80 años sino varios siglos de existencia mundial.</w:t>
      </w:r>
    </w:p>
    <w:p w:rsidR="000F4632" w:rsidRDefault="000F4632" w:rsidP="004B3E22">
      <w:pPr>
        <w:rPr>
          <w:lang w:val="es-ES"/>
        </w:rPr>
      </w:pPr>
      <w:r>
        <w:rPr>
          <w:lang w:val="es-ES"/>
        </w:rPr>
        <w:t xml:space="preserve">Por lo demás es necio sostener que el Código de Comercio sea hoy el mismo que cuando se expidió. Su interpretación actual, debido al método sistemático, </w:t>
      </w:r>
      <w:r w:rsidR="007B70F9">
        <w:rPr>
          <w:lang w:val="es-ES"/>
        </w:rPr>
        <w:t>es el resultado de aplicar al mismo tiempo que el código muchísimas leyes que tratan de los contadores y de la revisoría fiscal, en forma tal que las funciones originales tienen hoy un sentido renovado y actualizado con el paso del tiempo.</w:t>
      </w:r>
      <w:r w:rsidR="00336366">
        <w:rPr>
          <w:lang w:val="es-ES"/>
        </w:rPr>
        <w:t xml:space="preserve"> Baste considerar el efecto de la </w:t>
      </w:r>
      <w:hyperlink r:id="rId11" w:history="1">
        <w:r w:rsidR="00336366" w:rsidRPr="00F73187">
          <w:rPr>
            <w:rStyle w:val="Hipervnculo"/>
            <w:lang w:val="es-ES"/>
          </w:rPr>
          <w:t>Ley 1314 de 2009</w:t>
        </w:r>
      </w:hyperlink>
      <w:r w:rsidR="00336366">
        <w:rPr>
          <w:lang w:val="es-ES"/>
        </w:rPr>
        <w:t xml:space="preserve"> respecto de la interpretación del artículo 207 aludido.</w:t>
      </w:r>
    </w:p>
    <w:p w:rsidR="000439F7" w:rsidRDefault="000439F7" w:rsidP="004B3E22">
      <w:pPr>
        <w:rPr>
          <w:lang w:val="es-ES"/>
        </w:rPr>
      </w:pPr>
      <w:r>
        <w:rPr>
          <w:lang w:val="es-ES"/>
        </w:rPr>
        <w:t>Por otro lado no es verdad que el aseguramiento de la información sea incompatible con la revisoría fiscal.</w:t>
      </w:r>
      <w:r w:rsidR="009A1022">
        <w:rPr>
          <w:lang w:val="es-ES"/>
        </w:rPr>
        <w:t xml:space="preserve"> Durante </w:t>
      </w:r>
      <w:r w:rsidR="009A1022">
        <w:rPr>
          <w:lang w:val="es-ES"/>
        </w:rPr>
        <w:lastRenderedPageBreak/>
        <w:t>muchísimos años</w:t>
      </w:r>
      <w:r w:rsidR="00B05738">
        <w:rPr>
          <w:lang w:val="es-ES"/>
        </w:rPr>
        <w:t xml:space="preserve"> (durante casi todo el tiempo de vigencia del Código de Comercio)</w:t>
      </w:r>
      <w:r w:rsidR="009A1022">
        <w:rPr>
          <w:lang w:val="es-ES"/>
        </w:rPr>
        <w:t xml:space="preserve"> varias firmas </w:t>
      </w:r>
      <w:r w:rsidR="009A493E">
        <w:rPr>
          <w:lang w:val="es-ES"/>
        </w:rPr>
        <w:t xml:space="preserve">colombianas </w:t>
      </w:r>
      <w:r w:rsidR="009A1022">
        <w:rPr>
          <w:lang w:val="es-ES"/>
        </w:rPr>
        <w:t>de contadores han prestado servicios de auditoría a sus clientes en su calidad de revisores fiscales</w:t>
      </w:r>
      <w:r w:rsidR="00273369">
        <w:rPr>
          <w:lang w:val="es-ES"/>
        </w:rPr>
        <w:t xml:space="preserve"> (ahí están sus propuestas de servicios para comprobar esta afirmación)</w:t>
      </w:r>
      <w:r w:rsidR="009A1022">
        <w:rPr>
          <w:lang w:val="es-ES"/>
        </w:rPr>
        <w:t xml:space="preserve">. Al efecto han aplicado estándares emitidos en Estados Unidos de América y, más recientemente, estándares emitidos por el IAASB. </w:t>
      </w:r>
      <w:r w:rsidR="00EE57F4">
        <w:rPr>
          <w:lang w:val="es-ES"/>
        </w:rPr>
        <w:t>Sobre tales estándares han basado su defensa en muchísimos procesos contravencionales y disciplinarios, logrando en casi todos los c</w:t>
      </w:r>
      <w:r w:rsidR="00273369">
        <w:rPr>
          <w:lang w:val="es-ES"/>
        </w:rPr>
        <w:t>asos la aceptación de sus tesis (ahí están los respectivos expedientes para comprobar esta otra afirmación).</w:t>
      </w:r>
    </w:p>
    <w:p w:rsidR="00145936" w:rsidRDefault="00145936" w:rsidP="00E81CB9">
      <w:pPr>
        <w:rPr>
          <w:lang w:val="es-ES"/>
        </w:rPr>
      </w:pPr>
      <w:r>
        <w:rPr>
          <w:lang w:val="es-ES"/>
        </w:rPr>
        <w:t xml:space="preserve">Desde su origen el revisor fiscal ha sido concebido como un asegurador de información, perfil que se fortaleció significativamente con la expedición de la </w:t>
      </w:r>
      <w:hyperlink r:id="rId12" w:history="1">
        <w:r w:rsidRPr="00F8767C">
          <w:rPr>
            <w:rStyle w:val="Hipervnculo"/>
            <w:lang w:val="es-ES"/>
          </w:rPr>
          <w:t>Ley 32 de 1979</w:t>
        </w:r>
      </w:hyperlink>
      <w:r>
        <w:rPr>
          <w:lang w:val="es-ES"/>
        </w:rPr>
        <w:t>.</w:t>
      </w:r>
      <w:r w:rsidR="001E529F">
        <w:rPr>
          <w:lang w:val="es-ES"/>
        </w:rPr>
        <w:t xml:space="preserve"> Para el efecto aplicó las técnicas de la interventoría de cuentas, luego las normas de auditoría generalmente aceptadas y ahora, se espera, aplicará normas internacionales de aseguramiento de información.</w:t>
      </w:r>
      <w:r w:rsidR="00D20988">
        <w:rPr>
          <w:lang w:val="es-ES"/>
        </w:rPr>
        <w:t xml:space="preserve"> </w:t>
      </w:r>
      <w:r w:rsidR="00DB2294">
        <w:rPr>
          <w:lang w:val="es-ES"/>
        </w:rPr>
        <w:t xml:space="preserve">Los autores del proyecto han pasado por alto la </w:t>
      </w:r>
      <w:hyperlink r:id="rId13" w:history="1">
        <w:r w:rsidR="00DB2294" w:rsidRPr="00143C1D">
          <w:rPr>
            <w:rStyle w:val="Hipervnculo"/>
            <w:lang w:val="es-ES"/>
          </w:rPr>
          <w:t>historia de la Ley 1314 de 2009</w:t>
        </w:r>
      </w:hyperlink>
      <w:r w:rsidR="00DB2294">
        <w:rPr>
          <w:lang w:val="es-ES"/>
        </w:rPr>
        <w:t xml:space="preserve">, en la cual se sostiene que </w:t>
      </w:r>
      <w:r w:rsidR="00E81CB9">
        <w:rPr>
          <w:lang w:val="es-ES"/>
        </w:rPr>
        <w:t xml:space="preserve">con </w:t>
      </w:r>
      <w:r w:rsidR="000E309C">
        <w:rPr>
          <w:lang w:val="es-ES"/>
        </w:rPr>
        <w:t>esta</w:t>
      </w:r>
      <w:r w:rsidR="00E81CB9">
        <w:rPr>
          <w:lang w:val="es-ES"/>
        </w:rPr>
        <w:t xml:space="preserve"> ley “(…) </w:t>
      </w:r>
      <w:r w:rsidR="00E81CB9" w:rsidRPr="00143C1D">
        <w:rPr>
          <w:i/>
          <w:lang w:val="es-ES"/>
        </w:rPr>
        <w:t>Se refuerza la revisoría fiscal con la adopción de normas de aseguramiento</w:t>
      </w:r>
      <w:r w:rsidR="00E81CB9">
        <w:rPr>
          <w:lang w:val="es-ES"/>
        </w:rPr>
        <w:t xml:space="preserve"> (…)” </w:t>
      </w:r>
      <w:r w:rsidR="00414B28">
        <w:rPr>
          <w:lang w:val="es-ES"/>
        </w:rPr>
        <w:t xml:space="preserve">Así que según los autores de la Ley 1314 no hay incompatibilidad sino </w:t>
      </w:r>
      <w:r w:rsidR="0045002F">
        <w:rPr>
          <w:lang w:val="es-ES"/>
        </w:rPr>
        <w:t>un apuntalamiento de la rev</w:t>
      </w:r>
      <w:r w:rsidR="000E309C">
        <w:rPr>
          <w:lang w:val="es-ES"/>
        </w:rPr>
        <w:t>is</w:t>
      </w:r>
      <w:r w:rsidR="0045002F">
        <w:rPr>
          <w:lang w:val="es-ES"/>
        </w:rPr>
        <w:t>oría.</w:t>
      </w:r>
    </w:p>
    <w:p w:rsidR="00202E5C" w:rsidRDefault="00202E5C" w:rsidP="00E81CB9">
      <w:pPr>
        <w:rPr>
          <w:lang w:val="es-ES"/>
        </w:rPr>
      </w:pPr>
      <w:r>
        <w:rPr>
          <w:lang w:val="es-ES"/>
        </w:rPr>
        <w:t xml:space="preserve">Adviértase que en forma inexplicable el proyecto se aparta de </w:t>
      </w:r>
      <w:hyperlink r:id="rId14" w:history="1">
        <w:r w:rsidRPr="00661EBD">
          <w:rPr>
            <w:rStyle w:val="Hipervnculo"/>
            <w:lang w:val="es-ES"/>
          </w:rPr>
          <w:t>las consideraciones del CTCP</w:t>
        </w:r>
      </w:hyperlink>
      <w:r>
        <w:rPr>
          <w:lang w:val="es-ES"/>
        </w:rPr>
        <w:t>.</w:t>
      </w:r>
    </w:p>
    <w:p w:rsidR="004F3C0A" w:rsidRPr="004B3E22" w:rsidRDefault="00202E5C" w:rsidP="00D20988">
      <w:pPr>
        <w:jc w:val="right"/>
      </w:pPr>
      <w:r w:rsidRPr="00202E5C">
        <w:rPr>
          <w:i/>
          <w:lang w:val="es-ES"/>
        </w:rPr>
        <w:t>Hernando Bermúdez Gómez</w:t>
      </w:r>
    </w:p>
    <w:sectPr w:rsidR="004F3C0A" w:rsidRPr="004B3E22" w:rsidSect="007F1D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3B" w:rsidRDefault="00D5163B" w:rsidP="00EE7812">
      <w:pPr>
        <w:spacing w:after="0" w:line="240" w:lineRule="auto"/>
      </w:pPr>
      <w:r>
        <w:separator/>
      </w:r>
    </w:p>
  </w:endnote>
  <w:endnote w:type="continuationSeparator" w:id="0">
    <w:p w:rsidR="00D5163B" w:rsidRDefault="00D5163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18" w:rsidRDefault="003073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18" w:rsidRDefault="003073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3B" w:rsidRDefault="00D5163B" w:rsidP="00EE7812">
      <w:pPr>
        <w:spacing w:after="0" w:line="240" w:lineRule="auto"/>
      </w:pPr>
      <w:r>
        <w:separator/>
      </w:r>
    </w:p>
  </w:footnote>
  <w:footnote w:type="continuationSeparator" w:id="0">
    <w:p w:rsidR="00D5163B" w:rsidRDefault="00D5163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18" w:rsidRDefault="003073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A7E87">
      <w:t>1088</w:t>
    </w:r>
    <w:r w:rsidR="00667D4D">
      <w:t>,</w:t>
    </w:r>
    <w:r w:rsidR="009D09BB">
      <w:t xml:space="preserve"> </w:t>
    </w:r>
    <w:r w:rsidR="008A0376">
      <w:t>diciembre</w:t>
    </w:r>
    <w:r w:rsidR="007E2BC9">
      <w:t xml:space="preserve"> </w:t>
    </w:r>
    <w:r w:rsidR="00307318">
      <w:t>18</w:t>
    </w:r>
    <w:bookmarkStart w:id="0" w:name="_GoBack"/>
    <w:bookmarkEnd w:id="0"/>
    <w:r w:rsidR="007E2BC9">
      <w:t xml:space="preserve"> de 2014</w:t>
    </w:r>
  </w:p>
  <w:p w:rsidR="0046164F" w:rsidRDefault="00D516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18" w:rsidRDefault="003073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9F7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09C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632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C1D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936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29F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E5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29E"/>
    <w:rsid w:val="00272411"/>
    <w:rsid w:val="00272762"/>
    <w:rsid w:val="00272892"/>
    <w:rsid w:val="00272CBD"/>
    <w:rsid w:val="00272DF4"/>
    <w:rsid w:val="0027305E"/>
    <w:rsid w:val="002730A0"/>
    <w:rsid w:val="00273369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318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66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B28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02F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C0A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A23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3B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1EBD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4E0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0F9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8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376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4CBD"/>
    <w:rsid w:val="009350F2"/>
    <w:rsid w:val="00935375"/>
    <w:rsid w:val="00935389"/>
    <w:rsid w:val="0093560F"/>
    <w:rsid w:val="00935780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022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493E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738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88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4F21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63B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92F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E87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294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7D6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B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6AA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7F4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87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4F3A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67C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8A03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8A0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rvoaspr.imprenta.gov.co/gacetap/gaceta.mostrar_documento?p_tipo=12&amp;p_numero=165&amp;p_consec=2045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1979-ley-32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9-ley-1314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javeriana.edu.co/personales/hbermude/leycontable/contadores/1971-decreto-410.htm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mincit.gov.co/descargar.php?id=72193" TargetMode="External"/><Relationship Id="rId14" Type="http://schemas.openxmlformats.org/officeDocument/2006/relationships/hyperlink" Target="http://www.ctcp.gov.co/documentos2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6756963F-0082-4C44-97FB-FDE37FF9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4</cp:revision>
  <cp:lastPrinted>2011-08-23T16:28:00Z</cp:lastPrinted>
  <dcterms:created xsi:type="dcterms:W3CDTF">2014-12-11T22:40:00Z</dcterms:created>
  <dcterms:modified xsi:type="dcterms:W3CDTF">2014-12-16T23:30:00Z</dcterms:modified>
</cp:coreProperties>
</file>