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49" w:rsidRPr="00695849" w:rsidRDefault="00695849" w:rsidP="0069584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695849">
        <w:rPr>
          <w:position w:val="-8"/>
          <w:sz w:val="120"/>
        </w:rPr>
        <w:t>C</w:t>
      </w:r>
    </w:p>
    <w:p w:rsidR="00681229" w:rsidRDefault="00AC22AA" w:rsidP="004B3E22">
      <w:r>
        <w:t xml:space="preserve">omo se recordará, la Superintendencia de Sociedades </w:t>
      </w:r>
      <w:hyperlink r:id="rId9" w:history="1">
        <w:r w:rsidRPr="00EC6E0D">
          <w:rPr>
            <w:rStyle w:val="Hipervnculo"/>
          </w:rPr>
          <w:t>informó</w:t>
        </w:r>
      </w:hyperlink>
      <w:r>
        <w:t xml:space="preserve"> que uno de los mayores ajustes realizados en el ejercicio de transición entre la contabilidad regida por el </w:t>
      </w:r>
      <w:hyperlink r:id="rId10" w:history="1">
        <w:r w:rsidRPr="00CA3D61">
          <w:rPr>
            <w:rStyle w:val="Hipervnculo"/>
          </w:rPr>
          <w:t>Decreto reglamentario 2649 de 1993</w:t>
        </w:r>
      </w:hyperlink>
      <w:r>
        <w:t xml:space="preserve"> y los decretos reglamentarios expedidos en desarrollo de la </w:t>
      </w:r>
      <w:hyperlink r:id="rId11" w:history="1">
        <w:r w:rsidRPr="00CA3D61">
          <w:rPr>
            <w:rStyle w:val="Hipervnculo"/>
          </w:rPr>
          <w:t>Ley 1314 de 2009</w:t>
        </w:r>
      </w:hyperlink>
      <w:r>
        <w:t xml:space="preserve"> fue el que corresponde </w:t>
      </w:r>
      <w:r w:rsidR="00091B0E">
        <w:t xml:space="preserve">a “(…) </w:t>
      </w:r>
      <w:r w:rsidR="00091B0E" w:rsidRPr="00B45B0B">
        <w:rPr>
          <w:i/>
        </w:rPr>
        <w:t>los ajustes por impuestos diferidos</w:t>
      </w:r>
      <w:r w:rsidR="00091B0E">
        <w:t xml:space="preserve"> (…)”.</w:t>
      </w:r>
      <w:r w:rsidR="00F060B3">
        <w:t xml:space="preserve"> </w:t>
      </w:r>
      <w:r w:rsidR="00681229">
        <w:t xml:space="preserve">Se avecina una nueva reforma tributaria en la </w:t>
      </w:r>
      <w:r w:rsidR="007929DA">
        <w:t>cual</w:t>
      </w:r>
      <w:r w:rsidR="00681229">
        <w:t xml:space="preserve"> se plantea consagrar un impuesto </w:t>
      </w:r>
      <w:r w:rsidR="00DE675F">
        <w:t xml:space="preserve">a la riqueza. En Contrapartida </w:t>
      </w:r>
      <w:hyperlink r:id="rId12" w:history="1">
        <w:r w:rsidR="00DE675F" w:rsidRPr="00DE675F">
          <w:rPr>
            <w:rStyle w:val="Hipervnculo"/>
          </w:rPr>
          <w:t>1025</w:t>
        </w:r>
      </w:hyperlink>
      <w:r w:rsidR="00DE675F">
        <w:t xml:space="preserve"> se censuró el tratamiento contable sugerido.</w:t>
      </w:r>
      <w:r w:rsidR="00F72D4A">
        <w:t xml:space="preserve"> Véase, además, Contrapartida </w:t>
      </w:r>
      <w:hyperlink r:id="rId13" w:history="1">
        <w:r w:rsidR="00F72D4A" w:rsidRPr="00F72D4A">
          <w:rPr>
            <w:rStyle w:val="Hipervnculo"/>
          </w:rPr>
          <w:t>312</w:t>
        </w:r>
      </w:hyperlink>
      <w:r w:rsidR="00F72D4A">
        <w:t>.</w:t>
      </w:r>
    </w:p>
    <w:p w:rsidR="00535B90" w:rsidRDefault="00535B90" w:rsidP="00535B90">
      <w:r>
        <w:t xml:space="preserve">Pues bien: en el </w:t>
      </w:r>
      <w:hyperlink r:id="rId14" w:history="1">
        <w:r w:rsidRPr="000A628A">
          <w:rPr>
            <w:rStyle w:val="Hipervnculo"/>
          </w:rPr>
          <w:t>Informe de Ponencia Segundo Debate</w:t>
        </w:r>
      </w:hyperlink>
      <w:r>
        <w:t xml:space="preserve"> Proyecto de Ley 105 de 2014 Senado, 134 de 2014 Cámara  por medio de la cual se modifica el </w:t>
      </w:r>
      <w:hyperlink r:id="rId15" w:history="1">
        <w:r w:rsidRPr="00967CC4">
          <w:rPr>
            <w:rStyle w:val="Hipervnculo"/>
          </w:rPr>
          <w:t>Estatuto Tributario</w:t>
        </w:r>
      </w:hyperlink>
      <w:r>
        <w:t xml:space="preserve">, la </w:t>
      </w:r>
      <w:hyperlink r:id="rId16" w:history="1">
        <w:r w:rsidRPr="00F739B0">
          <w:rPr>
            <w:rStyle w:val="Hipervnculo"/>
          </w:rPr>
          <w:t>Ley 1607 de 2012</w:t>
        </w:r>
      </w:hyperlink>
      <w:r>
        <w:t>, se crean mecanismos de lucha contra la evasión y se dictan otras disposiciones</w:t>
      </w:r>
      <w:r w:rsidR="000A628A">
        <w:t>, se lee:</w:t>
      </w:r>
    </w:p>
    <w:p w:rsidR="002401A8" w:rsidRPr="001B4735" w:rsidRDefault="002401A8" w:rsidP="002401A8">
      <w:pPr>
        <w:rPr>
          <w:i/>
        </w:rPr>
      </w:pPr>
      <w:r>
        <w:t xml:space="preserve">“(…) </w:t>
      </w:r>
      <w:r w:rsidRPr="001B4735">
        <w:rPr>
          <w:i/>
        </w:rPr>
        <w:t>i. NIIF ajustes contables</w:t>
      </w:r>
    </w:p>
    <w:p w:rsidR="000A628A" w:rsidRDefault="002401A8" w:rsidP="002401A8">
      <w:r w:rsidRPr="001B4735">
        <w:rPr>
          <w:i/>
        </w:rPr>
        <w:t>En aras de evitar las interpretaciones que indicarían que el impuesto a la riqueza de los años 2016, 2017 y 2018, de ser el caso, debe causarse contablemente en el año 2015, se incluye un artículo y se adiciona un parágrafo al artículo 6 del texto aprobado en primer debate, que aclaran que los contribuyentes de dicho impuesto podrán imputar contra reservas patrimoniales sin afectar las utilidades del ejercicio, dentro del balance separado, o individual, como el consolidado</w:t>
      </w:r>
      <w:r>
        <w:t>. (…)”</w:t>
      </w:r>
      <w:r w:rsidR="00CF06DA">
        <w:t>.</w:t>
      </w:r>
    </w:p>
    <w:p w:rsidR="00CF06DA" w:rsidRDefault="00CF06DA" w:rsidP="002401A8">
      <w:r>
        <w:t>Efectivamente la ponencia propone un artículo nuevo del siguiente tenor:</w:t>
      </w:r>
      <w:r w:rsidR="00F060B3">
        <w:t xml:space="preserve"> </w:t>
      </w:r>
      <w:r>
        <w:t>“</w:t>
      </w:r>
      <w:r w:rsidR="001A7F5B" w:rsidRPr="001A7F5B">
        <w:rPr>
          <w:i/>
        </w:rPr>
        <w:t xml:space="preserve">ARTÍCULO 71 (NUEVO). Los contribuyentes </w:t>
      </w:r>
      <w:r w:rsidR="001A7F5B" w:rsidRPr="001A7F5B">
        <w:rPr>
          <w:i/>
        </w:rPr>
        <w:lastRenderedPageBreak/>
        <w:t>del impuesto a la riqueza podrán imputar este impuesto contra reservas patrimoniales sin afectar las utilidades del ejercicio, tanto en los balances separados o individuales, así como en los consolidados</w:t>
      </w:r>
      <w:r w:rsidRPr="00CF06DA">
        <w:t>.</w:t>
      </w:r>
      <w:r>
        <w:t>”</w:t>
      </w:r>
    </w:p>
    <w:p w:rsidR="00FC7B5F" w:rsidRPr="00FC7B5F" w:rsidRDefault="00FC7B5F" w:rsidP="00FC7B5F">
      <w:pPr>
        <w:rPr>
          <w:i/>
        </w:rPr>
      </w:pPr>
      <w:r>
        <w:t>Además se propone:</w:t>
      </w:r>
      <w:r w:rsidR="00F060B3">
        <w:t xml:space="preserve"> </w:t>
      </w:r>
      <w:r>
        <w:t>“</w:t>
      </w:r>
      <w:r w:rsidRPr="00FC7B5F">
        <w:rPr>
          <w:i/>
        </w:rPr>
        <w:t>ARTÍCULO 6°. Adiciónese el Artículo 297-2 al Estatuto Tributario el cual quedará así:</w:t>
      </w:r>
    </w:p>
    <w:p w:rsidR="00FC7B5F" w:rsidRPr="00FC7B5F" w:rsidRDefault="00FC7B5F" w:rsidP="00FC7B5F">
      <w:pPr>
        <w:rPr>
          <w:i/>
        </w:rPr>
      </w:pPr>
      <w:r w:rsidRPr="00FC7B5F">
        <w:rPr>
          <w:i/>
        </w:rPr>
        <w:t>Artículo 297-2. Causación. La obligación legal del impuesto a la riqueza se causa para los contribuyentes que sean personas jurídicas, el 1º de enero de 2015, el 1º de enero de 2016 y el 1º de enero de 2017.</w:t>
      </w:r>
    </w:p>
    <w:p w:rsidR="00FC7B5F" w:rsidRPr="00FC7B5F" w:rsidRDefault="00FC7B5F" w:rsidP="00FC7B5F">
      <w:pPr>
        <w:rPr>
          <w:i/>
        </w:rPr>
      </w:pPr>
      <w:r w:rsidRPr="00FC7B5F">
        <w:rPr>
          <w:i/>
        </w:rPr>
        <w:t xml:space="preserve">Para </w:t>
      </w:r>
      <w:proofErr w:type="gramStart"/>
      <w:r w:rsidRPr="00FC7B5F">
        <w:rPr>
          <w:i/>
        </w:rPr>
        <w:t>los</w:t>
      </w:r>
      <w:proofErr w:type="gramEnd"/>
      <w:r w:rsidRPr="00FC7B5F">
        <w:rPr>
          <w:i/>
        </w:rPr>
        <w:t xml:space="preserve"> contribuyentes personas naturales, la obligación legal del impuesto a la riqueza se causa el 1º de enero de 2015, el 1º de enero de 2016, el 1º de enero de 2017 y el 1º de enero de 2018.</w:t>
      </w:r>
    </w:p>
    <w:p w:rsidR="00FC7B5F" w:rsidRDefault="00FC7B5F" w:rsidP="00FC7B5F">
      <w:r w:rsidRPr="00FC7B5F">
        <w:rPr>
          <w:i/>
        </w:rPr>
        <w:t>Parágrafo. Los momentos de causación aquí previstos también se aplicarán para los efectos contables incluida la conformación del balance separado, o individual, y del balance consolidado</w:t>
      </w:r>
      <w:r>
        <w:t>.”</w:t>
      </w:r>
    </w:p>
    <w:p w:rsidR="00716936" w:rsidRDefault="00025072" w:rsidP="00FC7B5F">
      <w:r>
        <w:t xml:space="preserve">El Consejo Técnico de la Contaduría Pública debería pronunciarse prontamente (es decir, antes de que culmine el trámite de aprobación de esta ley) sobre </w:t>
      </w:r>
      <w:r w:rsidR="001F04EE">
        <w:t>el tratamiento sugerido por el citado proyecto de ley.</w:t>
      </w:r>
      <w:r w:rsidR="00716936">
        <w:t xml:space="preserve"> </w:t>
      </w:r>
      <w:r w:rsidR="00551908">
        <w:t>Es clara</w:t>
      </w:r>
      <w:r w:rsidR="00716936">
        <w:t xml:space="preserve"> cuál es la posición del Ministerio de Hacienda y Crédito Público y de los </w:t>
      </w:r>
      <w:r w:rsidR="00D47116">
        <w:t xml:space="preserve">grandes </w:t>
      </w:r>
      <w:r w:rsidR="00716936">
        <w:t>empresarios del país respecto de los estándares internacionales de información financiera.</w:t>
      </w:r>
    </w:p>
    <w:p w:rsidR="00716936" w:rsidRPr="00716936" w:rsidRDefault="00716936" w:rsidP="00716936">
      <w:pPr>
        <w:jc w:val="right"/>
        <w:rPr>
          <w:i/>
        </w:rPr>
      </w:pPr>
      <w:r w:rsidRPr="00716936">
        <w:rPr>
          <w:i/>
        </w:rPr>
        <w:t>Hernando Bermúdez Gómez</w:t>
      </w:r>
    </w:p>
    <w:sectPr w:rsidR="00716936" w:rsidRPr="00716936" w:rsidSect="007F1D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74" w:rsidRDefault="00E92174" w:rsidP="00EE7812">
      <w:pPr>
        <w:spacing w:after="0" w:line="240" w:lineRule="auto"/>
      </w:pPr>
      <w:r>
        <w:separator/>
      </w:r>
    </w:p>
  </w:endnote>
  <w:endnote w:type="continuationSeparator" w:id="0">
    <w:p w:rsidR="00E92174" w:rsidRDefault="00E9217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24" w:rsidRDefault="00BA42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24" w:rsidRDefault="00BA42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74" w:rsidRDefault="00E92174" w:rsidP="00EE7812">
      <w:pPr>
        <w:spacing w:after="0" w:line="240" w:lineRule="auto"/>
      </w:pPr>
      <w:r>
        <w:separator/>
      </w:r>
    </w:p>
  </w:footnote>
  <w:footnote w:type="continuationSeparator" w:id="0">
    <w:p w:rsidR="00E92174" w:rsidRDefault="00E9217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24" w:rsidRDefault="00BA42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07941">
      <w:t>1105</w:t>
    </w:r>
    <w:r w:rsidR="00667D4D">
      <w:t>,</w:t>
    </w:r>
    <w:r w:rsidR="009D09BB">
      <w:t xml:space="preserve"> </w:t>
    </w:r>
    <w:r w:rsidR="00AC22AA">
      <w:t>diciembre</w:t>
    </w:r>
    <w:r w:rsidR="007E2BC9">
      <w:t xml:space="preserve"> </w:t>
    </w:r>
    <w:r w:rsidR="00BA4224">
      <w:t>18</w:t>
    </w:r>
    <w:bookmarkStart w:id="0" w:name="_GoBack"/>
    <w:bookmarkEnd w:id="0"/>
    <w:r w:rsidR="007E2BC9">
      <w:t xml:space="preserve"> de 2014</w:t>
    </w:r>
  </w:p>
  <w:p w:rsidR="0046164F" w:rsidRDefault="00E9217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24" w:rsidRDefault="00BA42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072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6E8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B0E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28A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A1A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A7F5B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735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E7EE3"/>
    <w:rsid w:val="001F0077"/>
    <w:rsid w:val="001F0202"/>
    <w:rsid w:val="001F0263"/>
    <w:rsid w:val="001F04EE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A8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41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90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908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4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071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229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849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3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B94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DA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0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67CC4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E55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2A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B0B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22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61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5E4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6DA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116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5F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174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6E0D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0B3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2D4A"/>
    <w:rsid w:val="00F73198"/>
    <w:rsid w:val="00F7326F"/>
    <w:rsid w:val="00F733CB"/>
    <w:rsid w:val="00F73469"/>
    <w:rsid w:val="00F7355A"/>
    <w:rsid w:val="00F73566"/>
    <w:rsid w:val="00F7388A"/>
    <w:rsid w:val="00F739B0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B5F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312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1025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lcaldiabogota.gov.co/sisjur/normas/Norma1.jsp?i=5104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dian.gov.co/dian/15servicios.nsf/etributario?openvie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1993-decreto-2649.do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upersociedades.gov.co/noticias/Documents/INFORME-ESFA-2014-Grupo1.pdf" TargetMode="External"/><Relationship Id="rId14" Type="http://schemas.openxmlformats.org/officeDocument/2006/relationships/hyperlink" Target="http://servoaspr.imprenta.gov.co/gacetap/gaceta.contenido_gaceta?v_num=823&amp;v_anog=201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EB2EFFB5-A05E-48C5-974A-34994489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2011-08-23T16:28:00Z</cp:lastPrinted>
  <dcterms:created xsi:type="dcterms:W3CDTF">2014-12-12T00:44:00Z</dcterms:created>
  <dcterms:modified xsi:type="dcterms:W3CDTF">2014-12-16T23:33:00Z</dcterms:modified>
</cp:coreProperties>
</file>