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88" w:rsidRPr="000F031D" w:rsidRDefault="009D2AF2" w:rsidP="00BD012E">
      <w:pPr>
        <w:keepNext/>
        <w:framePr w:dropCap="drop" w:lines="3" w:wrap="auto" w:vAnchor="text" w:hAnchor="text"/>
        <w:spacing w:after="0" w:line="926" w:lineRule="exact"/>
        <w:textAlignment w:val="baseline"/>
        <w:rPr>
          <w:lang w:val="es-ES"/>
        </w:rPr>
      </w:pPr>
      <w:r>
        <w:rPr>
          <w:position w:val="-7"/>
          <w:sz w:val="121"/>
          <w:szCs w:val="121"/>
        </w:rPr>
        <w:t>E</w:t>
      </w:r>
    </w:p>
    <w:p w:rsidR="006E7350" w:rsidRDefault="00122488" w:rsidP="00423732">
      <w:pPr>
        <w:spacing w:before="100" w:beforeAutospacing="1" w:after="0"/>
      </w:pPr>
      <w:r>
        <w:rPr>
          <w:lang w:val="es-ES"/>
        </w:rPr>
        <w:t xml:space="preserve"> </w:t>
      </w:r>
      <w:r w:rsidR="00423732">
        <w:rPr>
          <w:lang w:val="es-ES"/>
        </w:rPr>
        <w:t>n</w:t>
      </w:r>
      <w:r w:rsidR="005E1F5D">
        <w:rPr>
          <w:lang w:val="es-ES"/>
        </w:rPr>
        <w:t xml:space="preserve"> el </w:t>
      </w:r>
      <w:r w:rsidR="006E7350">
        <w:t>“</w:t>
      </w:r>
      <w:hyperlink r:id="rId8" w:history="1">
        <w:r w:rsidR="005E1F5D" w:rsidRPr="009E7093">
          <w:rPr>
            <w:rStyle w:val="Hipervnculo"/>
            <w:lang w:val="es-ES"/>
          </w:rPr>
          <w:t>Proyecto de Decreto: “Por el cual se reglamenta la Ley</w:t>
        </w:r>
        <w:r w:rsidR="005E1F5D">
          <w:rPr>
            <w:rStyle w:val="Hipervnculo"/>
            <w:lang w:val="es-ES"/>
          </w:rPr>
          <w:t xml:space="preserve"> </w:t>
        </w:r>
        <w:r w:rsidR="005E1F5D" w:rsidRPr="009E7093">
          <w:rPr>
            <w:rStyle w:val="Hipervnculo"/>
            <w:lang w:val="es-ES"/>
          </w:rPr>
          <w:t>1314 de 2009 sobre el marco técnico normativo para las normas de aseguramiento de la Información</w:t>
        </w:r>
      </w:hyperlink>
      <w:r w:rsidR="005E1F5D" w:rsidRPr="009E7093">
        <w:rPr>
          <w:lang w:val="es-ES"/>
        </w:rPr>
        <w:t>.</w:t>
      </w:r>
      <w:r w:rsidR="005E1F5D">
        <w:rPr>
          <w:lang w:val="es-ES"/>
        </w:rPr>
        <w:t xml:space="preserve">” </w:t>
      </w:r>
      <w:r w:rsidR="006E7350">
        <w:rPr>
          <w:lang w:val="es-ES"/>
        </w:rPr>
        <w:t>se propuso establecer que e</w:t>
      </w:r>
      <w:r w:rsidR="006E7350" w:rsidRPr="009E7093">
        <w:rPr>
          <w:lang w:val="es-ES"/>
        </w:rPr>
        <w:t>l revisor fiscal aplicará las N</w:t>
      </w:r>
      <w:r w:rsidR="006E7350">
        <w:rPr>
          <w:lang w:val="es-ES"/>
        </w:rPr>
        <w:t>ormas Internacionales de Auditoría – N</w:t>
      </w:r>
      <w:r w:rsidR="006E7350" w:rsidRPr="009E7093">
        <w:rPr>
          <w:lang w:val="es-ES"/>
        </w:rPr>
        <w:t>IA</w:t>
      </w:r>
      <w:r w:rsidR="006E7350">
        <w:rPr>
          <w:lang w:val="es-ES"/>
        </w:rPr>
        <w:t xml:space="preserve"> “en  </w:t>
      </w:r>
      <w:r w:rsidR="006E7350" w:rsidRPr="009E7093">
        <w:rPr>
          <w:lang w:val="es-ES"/>
        </w:rPr>
        <w:t>cumplimiento de las responsabilidades contenidas en los artículos 207, numeral 7°, y 208 del Código de Comercio, en relación con el dictamen de los estados financieros</w:t>
      </w:r>
      <w:r w:rsidR="006E7350">
        <w:rPr>
          <w:lang w:val="es-ES"/>
        </w:rPr>
        <w:t xml:space="preserve">” y </w:t>
      </w:r>
      <w:r w:rsidR="006E7350" w:rsidRPr="009E7093">
        <w:rPr>
          <w:lang w:val="es-ES"/>
        </w:rPr>
        <w:t xml:space="preserve">aplicará las </w:t>
      </w:r>
      <w:r w:rsidR="006E7350">
        <w:rPr>
          <w:lang w:val="es-ES"/>
        </w:rPr>
        <w:t>Normas Internacionales sobre Trabajos para Atestiguar –</w:t>
      </w:r>
      <w:r w:rsidR="006E7350" w:rsidRPr="009E7093">
        <w:rPr>
          <w:lang w:val="es-ES"/>
        </w:rPr>
        <w:t>ISAE</w:t>
      </w:r>
      <w:r w:rsidR="006E7350">
        <w:rPr>
          <w:lang w:val="es-ES"/>
        </w:rPr>
        <w:t xml:space="preserve"> para el </w:t>
      </w:r>
      <w:r w:rsidR="006E7350" w:rsidRPr="009E7093">
        <w:rPr>
          <w:lang w:val="es-ES"/>
        </w:rPr>
        <w:t xml:space="preserve"> </w:t>
      </w:r>
      <w:r w:rsidR="006E7350">
        <w:rPr>
          <w:lang w:val="es-ES"/>
        </w:rPr>
        <w:t>“</w:t>
      </w:r>
      <w:r w:rsidR="006E7350" w:rsidRPr="009E7093">
        <w:rPr>
          <w:lang w:val="es-ES"/>
        </w:rPr>
        <w:t>desarrollo de las responsabilidades contenidas en el artículo 209 del Código de Comercio, relacionadas con la evaluación del cumplimiento de las disposiciones estatutarias y de la asamblea o junta de socios y con la evaluación del control interno.</w:t>
      </w:r>
      <w:r w:rsidR="006E7350">
        <w:rPr>
          <w:lang w:val="es-ES"/>
        </w:rPr>
        <w:t xml:space="preserve">”  </w:t>
      </w:r>
    </w:p>
    <w:p w:rsidR="00C33CF9" w:rsidRDefault="004A0AF9" w:rsidP="00423732">
      <w:pPr>
        <w:spacing w:before="100" w:beforeAutospacing="1" w:after="0"/>
      </w:pPr>
      <w:r>
        <w:t xml:space="preserve">Los </w:t>
      </w:r>
      <w:hyperlink r:id="rId9" w:history="1">
        <w:r w:rsidRPr="004A0AF9">
          <w:rPr>
            <w:rStyle w:val="Hipervnculo"/>
          </w:rPr>
          <w:t>estándares i</w:t>
        </w:r>
        <w:r w:rsidR="00C33CF9" w:rsidRPr="004A0AF9">
          <w:rPr>
            <w:rStyle w:val="Hipervnculo"/>
          </w:rPr>
          <w:t xml:space="preserve">nternacionales </w:t>
        </w:r>
        <w:r w:rsidRPr="004A0AF9">
          <w:rPr>
            <w:rStyle w:val="Hipervnculo"/>
          </w:rPr>
          <w:t xml:space="preserve">de </w:t>
        </w:r>
        <w:r>
          <w:rPr>
            <w:rStyle w:val="Hipervnculo"/>
          </w:rPr>
          <w:t xml:space="preserve">los </w:t>
        </w:r>
        <w:r w:rsidRPr="004A0AF9">
          <w:rPr>
            <w:rStyle w:val="Hipervnculo"/>
          </w:rPr>
          <w:t xml:space="preserve">servicios de aseguramiento </w:t>
        </w:r>
        <w:r w:rsidR="00C33CF9" w:rsidRPr="004A0AF9">
          <w:rPr>
            <w:rStyle w:val="Hipervnculo"/>
          </w:rPr>
          <w:t>–ISAE</w:t>
        </w:r>
      </w:hyperlink>
      <w:r w:rsidR="00C33CF9">
        <w:t>, son un grupo de normas que están compuestas por</w:t>
      </w:r>
      <w:r>
        <w:t xml:space="preserve">: </w:t>
      </w:r>
      <w:r w:rsidR="00C33CF9">
        <w:t>la ISAE 3000 que es la norma general sobre los tra</w:t>
      </w:r>
      <w:r w:rsidR="00C33CF9" w:rsidRPr="00C33CF9">
        <w:t xml:space="preserve">bajos </w:t>
      </w:r>
      <w:r w:rsidR="00C33CF9">
        <w:t xml:space="preserve">de aseguramiento </w:t>
      </w:r>
      <w:r w:rsidR="00903083">
        <w:t xml:space="preserve">sobre asuntos </w:t>
      </w:r>
      <w:r w:rsidR="00C33CF9">
        <w:t>d</w:t>
      </w:r>
      <w:r w:rsidR="00C33CF9" w:rsidRPr="00C33CF9">
        <w:t xml:space="preserve">istintos de </w:t>
      </w:r>
      <w:r w:rsidR="00C33CF9">
        <w:t>a</w:t>
      </w:r>
      <w:r w:rsidR="00C33CF9" w:rsidRPr="00C33CF9">
        <w:t xml:space="preserve">uditoría o </w:t>
      </w:r>
      <w:r w:rsidR="00C33CF9">
        <w:t>r</w:t>
      </w:r>
      <w:r w:rsidR="00C33CF9" w:rsidRPr="00C33CF9">
        <w:t>evisi</w:t>
      </w:r>
      <w:r w:rsidR="00C33CF9">
        <w:t xml:space="preserve">ón </w:t>
      </w:r>
      <w:r w:rsidR="00C33CF9" w:rsidRPr="00C33CF9">
        <w:t xml:space="preserve">de Información </w:t>
      </w:r>
      <w:r w:rsidR="00C33CF9">
        <w:t>f</w:t>
      </w:r>
      <w:r w:rsidR="00C33CF9" w:rsidRPr="00C33CF9">
        <w:t xml:space="preserve">inanciera </w:t>
      </w:r>
      <w:r w:rsidR="00C33CF9">
        <w:t>h</w:t>
      </w:r>
      <w:r w:rsidR="00C33CF9" w:rsidRPr="00C33CF9">
        <w:t>istórica</w:t>
      </w:r>
      <w:r w:rsidR="00C33CF9">
        <w:t xml:space="preserve">, la ISAE </w:t>
      </w:r>
      <w:r w:rsidR="00C33CF9" w:rsidRPr="00C33CF9">
        <w:t>3400</w:t>
      </w:r>
      <w:r w:rsidR="00C33CF9">
        <w:t xml:space="preserve"> sobre </w:t>
      </w:r>
      <w:r w:rsidR="00C33CF9" w:rsidRPr="00C33CF9">
        <w:t xml:space="preserve"> </w:t>
      </w:r>
      <w:r>
        <w:t>Servicios de aseguramiento sobre i</w:t>
      </w:r>
      <w:r w:rsidR="00C33CF9" w:rsidRPr="00C33CF9">
        <w:t xml:space="preserve">nformación </w:t>
      </w:r>
      <w:r>
        <w:t>f</w:t>
      </w:r>
      <w:r w:rsidR="00C33CF9" w:rsidRPr="00C33CF9">
        <w:t xml:space="preserve">inanciera </w:t>
      </w:r>
      <w:r>
        <w:t>p</w:t>
      </w:r>
      <w:r w:rsidR="00C33CF9" w:rsidRPr="00C33CF9">
        <w:t>rospectiva</w:t>
      </w:r>
      <w:r w:rsidR="00C33CF9">
        <w:t xml:space="preserve"> y la ISAE 3402</w:t>
      </w:r>
      <w:r w:rsidR="00C33CF9" w:rsidRPr="00C33CF9">
        <w:t xml:space="preserve"> </w:t>
      </w:r>
      <w:r>
        <w:t xml:space="preserve">que cubre </w:t>
      </w:r>
      <w:r w:rsidR="00903083">
        <w:t>los servicios de aseguramiento sobre  los controles  d</w:t>
      </w:r>
      <w:r>
        <w:t xml:space="preserve">e una organización de servicios. Adicional a estos estándares se encuentra la ISAE 3410 y la ISAE 3420 las cuales fueron emitidas por IAASB en el 2013. </w:t>
      </w:r>
    </w:p>
    <w:p w:rsidR="00231802" w:rsidRDefault="00060982" w:rsidP="00423732">
      <w:pPr>
        <w:spacing w:before="100" w:beforeAutospacing="1" w:after="0"/>
      </w:pPr>
      <w:r>
        <w:t>S</w:t>
      </w:r>
      <w:r w:rsidR="004A0AF9">
        <w:t xml:space="preserve">i se dice que el Revisor Fiscal </w:t>
      </w:r>
      <w:r w:rsidR="004A0AF9" w:rsidRPr="009E7093">
        <w:rPr>
          <w:lang w:val="es-ES"/>
        </w:rPr>
        <w:t xml:space="preserve">aplicará las </w:t>
      </w:r>
      <w:r w:rsidR="004A0AF9">
        <w:rPr>
          <w:lang w:val="es-ES"/>
        </w:rPr>
        <w:t xml:space="preserve">Normas Internacionales sobre Trabajos para </w:t>
      </w:r>
      <w:r w:rsidR="004A0AF9">
        <w:rPr>
          <w:lang w:val="es-ES"/>
        </w:rPr>
        <w:lastRenderedPageBreak/>
        <w:t>Atestiguar –</w:t>
      </w:r>
      <w:r w:rsidR="004A0AF9" w:rsidRPr="009E7093">
        <w:rPr>
          <w:lang w:val="es-ES"/>
        </w:rPr>
        <w:t>ISAE</w:t>
      </w:r>
      <w:r w:rsidR="004A0AF9">
        <w:rPr>
          <w:lang w:val="es-ES"/>
        </w:rPr>
        <w:t xml:space="preserve">, debe puntualizarse que debe ser </w:t>
      </w:r>
      <w:r>
        <w:rPr>
          <w:lang w:val="es-ES"/>
        </w:rPr>
        <w:t xml:space="preserve">sólo </w:t>
      </w:r>
      <w:r w:rsidR="004A0AF9">
        <w:rPr>
          <w:lang w:val="es-ES"/>
        </w:rPr>
        <w:t>la ISAE 3000 que es la norma general</w:t>
      </w:r>
      <w:r w:rsidR="00D80758">
        <w:rPr>
          <w:lang w:val="es-ES"/>
        </w:rPr>
        <w:t>.</w:t>
      </w:r>
      <w:r w:rsidR="00423732">
        <w:rPr>
          <w:lang w:val="es-ES"/>
        </w:rPr>
        <w:t xml:space="preserve"> </w:t>
      </w:r>
      <w:r w:rsidR="00D80758">
        <w:rPr>
          <w:lang w:val="es-ES"/>
        </w:rPr>
        <w:t xml:space="preserve">Ahora bien, </w:t>
      </w:r>
      <w:r w:rsidR="004A0AF9">
        <w:rPr>
          <w:lang w:val="es-ES"/>
        </w:rPr>
        <w:t xml:space="preserve">dado que </w:t>
      </w:r>
      <w:r w:rsidR="00F51DD4">
        <w:t xml:space="preserve">la ISAE </w:t>
      </w:r>
      <w:r w:rsidR="004A0AF9">
        <w:t xml:space="preserve">3000 </w:t>
      </w:r>
      <w:r w:rsidR="00231802">
        <w:t>utiliza los términos “trabajo con seguridad razonable” y “trabajo con seguridad</w:t>
      </w:r>
      <w:r w:rsidR="007B1FAF">
        <w:t xml:space="preserve"> </w:t>
      </w:r>
      <w:r w:rsidR="00231802">
        <w:t>limitada”</w:t>
      </w:r>
      <w:r w:rsidR="004A0AF9">
        <w:t xml:space="preserve"> </w:t>
      </w:r>
      <w:r w:rsidR="00D80758">
        <w:t xml:space="preserve">debe también especificarse que </w:t>
      </w:r>
      <w:r w:rsidR="004A0AF9">
        <w:t xml:space="preserve">para </w:t>
      </w:r>
      <w:r w:rsidR="00C33CF9">
        <w:t xml:space="preserve">su aplicación en </w:t>
      </w:r>
      <w:r w:rsidR="00F51DD4">
        <w:t xml:space="preserve">el caso del artículo 209 del </w:t>
      </w:r>
      <w:r w:rsidR="00F51DD4" w:rsidRPr="009E7093">
        <w:rPr>
          <w:lang w:val="es-ES"/>
        </w:rPr>
        <w:t>Código de Comercio</w:t>
      </w:r>
      <w:r w:rsidR="00F51DD4">
        <w:rPr>
          <w:lang w:val="es-ES"/>
        </w:rPr>
        <w:t xml:space="preserve">, </w:t>
      </w:r>
      <w:r w:rsidR="004A0AF9">
        <w:rPr>
          <w:lang w:val="es-ES"/>
        </w:rPr>
        <w:t>deberá ser de</w:t>
      </w:r>
      <w:r w:rsidR="00F51DD4">
        <w:t xml:space="preserve"> seguridad razonable</w:t>
      </w:r>
      <w:r w:rsidR="004A0AF9">
        <w:t xml:space="preserve"> y esto </w:t>
      </w:r>
      <w:r w:rsidR="00F51DD4">
        <w:t xml:space="preserve">implica reducir el riesgo de aseguramiento a un nivel aceptablemente bajo y </w:t>
      </w:r>
      <w:r w:rsidR="00F51DD4" w:rsidRPr="00F51DD4">
        <w:t>expresar una conclusión positiva</w:t>
      </w:r>
      <w:r w:rsidR="00F51DD4">
        <w:t>.</w:t>
      </w:r>
      <w:r w:rsidR="00C33CF9">
        <w:t xml:space="preserve"> </w:t>
      </w:r>
      <w:r w:rsidR="00D80758">
        <w:t xml:space="preserve">A su vez se debe advertir que </w:t>
      </w:r>
      <w:r w:rsidR="00D80758" w:rsidRPr="00D80758">
        <w:t>“Seguridad razonable” es menos que seguridad absoluta</w:t>
      </w:r>
      <w:r w:rsidR="00D80758">
        <w:t xml:space="preserve">. </w:t>
      </w:r>
    </w:p>
    <w:p w:rsidR="005E1F5D" w:rsidRDefault="007B0A89" w:rsidP="00423732">
      <w:pPr>
        <w:spacing w:before="100" w:beforeAutospacing="1"/>
      </w:pPr>
      <w:r>
        <w:t>Otro tema importante de análisis a la hora de la aplicación de las normas debe ser el</w:t>
      </w:r>
      <w:r w:rsidR="001969F5">
        <w:t xml:space="preserve"> informe del revisor fiscal, esto porque cada estándar tiene sus propios requerimientos sobre el contenido del informe y en este aspecto, </w:t>
      </w:r>
      <w:r>
        <w:t xml:space="preserve">se hace </w:t>
      </w:r>
      <w:r w:rsidR="001969F5">
        <w:t xml:space="preserve">necesario </w:t>
      </w:r>
      <w:r>
        <w:t xml:space="preserve">que el </w:t>
      </w:r>
      <w:r w:rsidR="001969F5">
        <w:t>informe</w:t>
      </w:r>
      <w:r>
        <w:t xml:space="preserve"> como actualmente lo conocemos </w:t>
      </w:r>
      <w:r w:rsidR="001969F5">
        <w:t>incluya</w:t>
      </w:r>
      <w:r>
        <w:t xml:space="preserve"> un sub informe </w:t>
      </w:r>
      <w:r w:rsidR="001969F5">
        <w:t xml:space="preserve"> con los lineamientos de la ISAE 3000.</w:t>
      </w:r>
    </w:p>
    <w:p w:rsidR="006F1B80" w:rsidRDefault="006F1B80" w:rsidP="00423732">
      <w:pPr>
        <w:spacing w:before="100" w:beforeAutospacing="1"/>
      </w:pPr>
      <w:r>
        <w:t xml:space="preserve">Será necesario estudiar, analizar y puntualizar  </w:t>
      </w:r>
      <w:r w:rsidR="00281033">
        <w:t xml:space="preserve">sobre </w:t>
      </w:r>
      <w:r>
        <w:t>las diferentes situaciones que se p</w:t>
      </w:r>
      <w:r w:rsidR="00281033">
        <w:t xml:space="preserve">odrían </w:t>
      </w:r>
      <w:r>
        <w:t xml:space="preserve">presentar a la hora de </w:t>
      </w:r>
      <w:r w:rsidR="00281033">
        <w:t xml:space="preserve">la </w:t>
      </w:r>
      <w:r>
        <w:t>aplica</w:t>
      </w:r>
      <w:r w:rsidR="00281033">
        <w:t>ción de</w:t>
      </w:r>
      <w:r>
        <w:t xml:space="preserve"> las normas internacionales de aseguramiento </w:t>
      </w:r>
      <w:r w:rsidR="00281033">
        <w:t xml:space="preserve">de la información </w:t>
      </w:r>
      <w:r>
        <w:t>al ejercicio de la Revisoría Fiscal</w:t>
      </w:r>
      <w:r w:rsidR="00423732">
        <w:t xml:space="preserve">, </w:t>
      </w:r>
      <w:bookmarkStart w:id="0" w:name="_GoBack"/>
      <w:bookmarkEnd w:id="0"/>
      <w:r>
        <w:t xml:space="preserve">de ser aprobado el </w:t>
      </w:r>
      <w:r w:rsidRPr="006F1B80">
        <w:t>Proyecto de Decreto: “Por el cual se reglamenta la Ley 1314 de 2009 sobre el marco técnico normativo para las normas de aseguramiento de la Información</w:t>
      </w:r>
      <w:r>
        <w:t xml:space="preserve">”. </w:t>
      </w:r>
    </w:p>
    <w:p w:rsidR="007B0A89" w:rsidRPr="005E1F5D" w:rsidRDefault="006F1B80" w:rsidP="000411FA">
      <w:r>
        <w:t xml:space="preserve"> </w:t>
      </w:r>
    </w:p>
    <w:p w:rsidR="00122488" w:rsidRPr="00BE777E" w:rsidRDefault="00122488" w:rsidP="00BE777E">
      <w:pPr>
        <w:jc w:val="right"/>
        <w:rPr>
          <w:i/>
          <w:iCs/>
        </w:rPr>
      </w:pPr>
      <w:r>
        <w:rPr>
          <w:i/>
          <w:iCs/>
          <w:lang w:val="es-ES"/>
        </w:rPr>
        <w:t>Jenny Marlene Sosa Cardozo</w:t>
      </w:r>
    </w:p>
    <w:sectPr w:rsidR="00122488" w:rsidRPr="00BE777E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7A6" w:rsidRDefault="008C57A6" w:rsidP="00EE7812">
      <w:pPr>
        <w:spacing w:after="0" w:line="240" w:lineRule="auto"/>
      </w:pPr>
      <w:r>
        <w:separator/>
      </w:r>
    </w:p>
  </w:endnote>
  <w:endnote w:type="continuationSeparator" w:id="0">
    <w:p w:rsidR="008C57A6" w:rsidRDefault="008C57A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altName w:val="Bradley Hand ITC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488" w:rsidRDefault="00122488" w:rsidP="00404A16">
    <w:pPr>
      <w:pStyle w:val="Piedepgina"/>
      <w:jc w:val="center"/>
    </w:pPr>
    <w:r w:rsidRPr="00D61F47">
      <w:rPr>
        <w:i/>
        <w:iCs/>
      </w:rPr>
      <w:t xml:space="preserve">Las opiniones expresadas en </w:t>
    </w:r>
    <w:r w:rsidRPr="00404A16">
      <w:rPr>
        <w:rFonts w:ascii="Kristen ITC" w:hAnsi="Kristen ITC" w:cs="Kristen ITC"/>
        <w:i/>
        <w:iCs/>
      </w:rPr>
      <w:t>Contrapartida</w:t>
    </w:r>
    <w:r w:rsidRPr="00D61F47">
      <w:rPr>
        <w:i/>
        <w:iCs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7A6" w:rsidRDefault="008C57A6" w:rsidP="00EE7812">
      <w:pPr>
        <w:spacing w:after="0" w:line="240" w:lineRule="auto"/>
      </w:pPr>
      <w:r>
        <w:separator/>
      </w:r>
    </w:p>
  </w:footnote>
  <w:footnote w:type="continuationSeparator" w:id="0">
    <w:p w:rsidR="008C57A6" w:rsidRDefault="008C57A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488" w:rsidRDefault="00122488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122488" w:rsidRDefault="00122488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122488" w:rsidRDefault="00122488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423732">
      <w:t>1111</w:t>
    </w:r>
    <w:r>
      <w:t>, diciembre 1</w:t>
    </w:r>
    <w:r w:rsidR="00423732">
      <w:t>8</w:t>
    </w:r>
    <w:r>
      <w:t xml:space="preserve"> de 2014</w:t>
    </w:r>
  </w:p>
  <w:p w:rsidR="00122488" w:rsidRDefault="008C57A6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17DD9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301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1FA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982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05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AAB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37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A42"/>
    <w:rsid w:val="000B7B94"/>
    <w:rsid w:val="000B7DAB"/>
    <w:rsid w:val="000C0156"/>
    <w:rsid w:val="000C0448"/>
    <w:rsid w:val="000C05C9"/>
    <w:rsid w:val="000C08F3"/>
    <w:rsid w:val="000C0A73"/>
    <w:rsid w:val="000C0C39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31D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488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B52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9F5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4AC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802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583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33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1F8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1B0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4538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E7CF5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78F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D9E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A7C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535"/>
    <w:rsid w:val="003509D0"/>
    <w:rsid w:val="00350CEB"/>
    <w:rsid w:val="00350D42"/>
    <w:rsid w:val="003510AA"/>
    <w:rsid w:val="0035130D"/>
    <w:rsid w:val="00351414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A7C3D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0D8"/>
    <w:rsid w:val="003C119E"/>
    <w:rsid w:val="003C1436"/>
    <w:rsid w:val="003C17C3"/>
    <w:rsid w:val="003C1DB2"/>
    <w:rsid w:val="003C2273"/>
    <w:rsid w:val="003C2602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BEE"/>
    <w:rsid w:val="003F5C41"/>
    <w:rsid w:val="003F6122"/>
    <w:rsid w:val="003F6270"/>
    <w:rsid w:val="003F6B34"/>
    <w:rsid w:val="003F6B97"/>
    <w:rsid w:val="003F6D62"/>
    <w:rsid w:val="003F6E2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32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AF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5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34A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6F85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1FB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6F94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1F5D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29D7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4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5A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6DF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350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B80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3B8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07A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03B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A89"/>
    <w:rsid w:val="007B0ED2"/>
    <w:rsid w:val="007B0F06"/>
    <w:rsid w:val="007B12AE"/>
    <w:rsid w:val="007B18A3"/>
    <w:rsid w:val="007B18C5"/>
    <w:rsid w:val="007B1FAF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706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9CE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1C6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BD6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CF6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2EC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45F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07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B7E37"/>
    <w:rsid w:val="008C0059"/>
    <w:rsid w:val="008C0558"/>
    <w:rsid w:val="008C0B2D"/>
    <w:rsid w:val="008C0D51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7A6"/>
    <w:rsid w:val="008C5BD1"/>
    <w:rsid w:val="008C60A6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083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25C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A85"/>
    <w:rsid w:val="009C2CA8"/>
    <w:rsid w:val="009C2E66"/>
    <w:rsid w:val="009C2F0B"/>
    <w:rsid w:val="009C358B"/>
    <w:rsid w:val="009C37D5"/>
    <w:rsid w:val="009C4014"/>
    <w:rsid w:val="009C412D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AF2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093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382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4DED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95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1F9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6C9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2D3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A60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97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1D1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47C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92A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95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2E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77E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3CF9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1B94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4E9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5D94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A56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4C3"/>
    <w:rsid w:val="00CB2595"/>
    <w:rsid w:val="00CB266F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33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51E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96A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77B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52B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4C3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58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2E5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430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0AB"/>
    <w:rsid w:val="00DD234D"/>
    <w:rsid w:val="00DD273C"/>
    <w:rsid w:val="00DD278C"/>
    <w:rsid w:val="00DD27DA"/>
    <w:rsid w:val="00DD350A"/>
    <w:rsid w:val="00DD386D"/>
    <w:rsid w:val="00DD3B14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324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9F4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813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E10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8AD"/>
    <w:rsid w:val="00E849EC"/>
    <w:rsid w:val="00E85773"/>
    <w:rsid w:val="00E8580D"/>
    <w:rsid w:val="00E858C5"/>
    <w:rsid w:val="00E85930"/>
    <w:rsid w:val="00E859B9"/>
    <w:rsid w:val="00E85A72"/>
    <w:rsid w:val="00E85CC0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1ED3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B7D2A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7E7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26"/>
    <w:rsid w:val="00EE63C7"/>
    <w:rsid w:val="00EE6989"/>
    <w:rsid w:val="00EE6CA0"/>
    <w:rsid w:val="00EE6D19"/>
    <w:rsid w:val="00EE71CA"/>
    <w:rsid w:val="00EE766B"/>
    <w:rsid w:val="00EE7812"/>
    <w:rsid w:val="00EE78BC"/>
    <w:rsid w:val="00EE78D7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27F0E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7C7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D6F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1DD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24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010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19D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0E4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0EC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E7812"/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E7812"/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basedOn w:val="Fuentedeprrafopredeter"/>
    <w:rsid w:val="00220756"/>
    <w:rPr>
      <w:color w:val="0000FF"/>
      <w:u w:val="single"/>
    </w:rPr>
  </w:style>
  <w:style w:type="character" w:styleId="nfasis">
    <w:name w:val="Emphasis"/>
    <w:basedOn w:val="Fuentedeprrafopredeter"/>
    <w:uiPriority w:val="99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9D6143"/>
    <w:rPr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Fuentedeprrafopredeter"/>
    <w:uiPriority w:val="99"/>
    <w:rsid w:val="009D4BEF"/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E00176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E00176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basedOn w:val="Normal"/>
    <w:uiPriority w:val="99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E4143C"/>
    <w:rPr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uiPriority w:val="99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99"/>
    <w:rsid w:val="0049643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99"/>
    <w:qFormat/>
    <w:rsid w:val="00816C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E7812"/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E7812"/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basedOn w:val="Fuentedeprrafopredeter"/>
    <w:rsid w:val="00220756"/>
    <w:rPr>
      <w:color w:val="0000FF"/>
      <w:u w:val="single"/>
    </w:rPr>
  </w:style>
  <w:style w:type="character" w:styleId="nfasis">
    <w:name w:val="Emphasis"/>
    <w:basedOn w:val="Fuentedeprrafopredeter"/>
    <w:uiPriority w:val="99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9D6143"/>
    <w:rPr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Fuentedeprrafopredeter"/>
    <w:uiPriority w:val="99"/>
    <w:rsid w:val="009D4BEF"/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E00176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E00176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basedOn w:val="Normal"/>
    <w:uiPriority w:val="99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E4143C"/>
    <w:rPr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uiPriority w:val="99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99"/>
    <w:rsid w:val="0049643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99"/>
    <w:qFormat/>
    <w:rsid w:val="00816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8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8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8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8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8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8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18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82204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821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8217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8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82158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8216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8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82159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18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2167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2157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82164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18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8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cit.gov.co/publicaciones.php?id=3179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fac.org/sites/default/files/publications/files/2014-IAASB-HANDBOOK-VOLUME-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Contrapartida</vt:lpstr>
    </vt:vector>
  </TitlesOfParts>
  <Company>Conpresidencia Ltda.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3</cp:revision>
  <cp:lastPrinted>2014-12-16T23:06:00Z</cp:lastPrinted>
  <dcterms:created xsi:type="dcterms:W3CDTF">2014-12-17T00:13:00Z</dcterms:created>
  <dcterms:modified xsi:type="dcterms:W3CDTF">2014-12-17T00:16:00Z</dcterms:modified>
</cp:coreProperties>
</file>