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7E" w:rsidRPr="0078187E" w:rsidRDefault="0078187E" w:rsidP="0078187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78187E">
        <w:rPr>
          <w:position w:val="-9"/>
          <w:sz w:val="123"/>
        </w:rPr>
        <w:t>E</w:t>
      </w:r>
    </w:p>
    <w:p w:rsidR="00973B6F" w:rsidRDefault="00063E29" w:rsidP="007644AB">
      <w:r>
        <w:t xml:space="preserve">n estos días se habla de </w:t>
      </w:r>
      <w:r w:rsidR="008C1388">
        <w:t>proponer</w:t>
      </w:r>
      <w:r>
        <w:t xml:space="preserve"> una reforma estructural del Estatuto Tributario. También se habla de una reforma profunda de las reglas tributarias aplicables a las entidades sin ánimo de lucro (ESAL). Finalmente el Gobierno, mediante el </w:t>
      </w:r>
      <w:hyperlink r:id="rId9" w:history="1">
        <w:r w:rsidR="007644AB" w:rsidRPr="000C7D04">
          <w:rPr>
            <w:rStyle w:val="Hyperlink"/>
          </w:rPr>
          <w:t>Decreto reglamentario 2548 del 12 de diciembre de 2014</w:t>
        </w:r>
      </w:hyperlink>
      <w:r w:rsidR="007644AB">
        <w:t xml:space="preserve">, “Por el cual se reglamentan los artículos 4 de la </w:t>
      </w:r>
      <w:hyperlink r:id="rId10" w:history="1">
        <w:r w:rsidR="007644AB" w:rsidRPr="001506F6">
          <w:rPr>
            <w:rStyle w:val="Hyperlink"/>
          </w:rPr>
          <w:t>Ley 1314 de 2009</w:t>
        </w:r>
      </w:hyperlink>
      <w:r w:rsidR="007644AB">
        <w:t xml:space="preserve">, 165 de la </w:t>
      </w:r>
      <w:hyperlink r:id="rId11" w:history="1">
        <w:r w:rsidR="007644AB" w:rsidRPr="001506F6">
          <w:rPr>
            <w:rStyle w:val="Hyperlink"/>
          </w:rPr>
          <w:t>Ley 1607 de 2012</w:t>
        </w:r>
      </w:hyperlink>
      <w:r w:rsidR="007644AB">
        <w:t>,</w:t>
      </w:r>
      <w:hyperlink r:id="rId12" w:history="1">
        <w:r w:rsidR="007644AB" w:rsidRPr="001506F6">
          <w:rPr>
            <w:rStyle w:val="Hyperlink"/>
          </w:rPr>
          <w:t>773</w:t>
        </w:r>
      </w:hyperlink>
      <w:r w:rsidR="007644AB">
        <w:t xml:space="preserve"> </w:t>
      </w:r>
      <w:r w:rsidR="001506F6">
        <w:t xml:space="preserve">y </w:t>
      </w:r>
      <w:hyperlink r:id="rId13" w:history="1">
        <w:r w:rsidR="007644AB" w:rsidRPr="001506F6">
          <w:rPr>
            <w:rStyle w:val="Hyperlink"/>
          </w:rPr>
          <w:t>774</w:t>
        </w:r>
      </w:hyperlink>
      <w:r w:rsidR="007644AB">
        <w:t xml:space="preserve"> del Estatuto Tributario”</w:t>
      </w:r>
      <w:r w:rsidR="003F4F85">
        <w:t>, ha establecido un plan de trabajo para preparar un proyecto de ley que ajuste las normas tributarias según lo aconseje el estudio del impacto fiscal que tendrían las normas de contabilidad y de información financiera</w:t>
      </w:r>
      <w:r w:rsidR="00603AB1">
        <w:t xml:space="preserve"> expedidas al amparo de la Ley 1314 de 2009.</w:t>
      </w:r>
    </w:p>
    <w:p w:rsidR="00F21369" w:rsidRDefault="00F21369" w:rsidP="007644AB">
      <w:r>
        <w:t xml:space="preserve">Al respecto </w:t>
      </w:r>
      <w:hyperlink r:id="rId14" w:history="1">
        <w:r w:rsidRPr="00A13B2E">
          <w:rPr>
            <w:rStyle w:val="Hyperlink"/>
          </w:rPr>
          <w:t xml:space="preserve">Rudolf </w:t>
        </w:r>
        <w:proofErr w:type="spellStart"/>
        <w:r w:rsidRPr="00A13B2E">
          <w:rPr>
            <w:rStyle w:val="Hyperlink"/>
          </w:rPr>
          <w:t>Hommes</w:t>
        </w:r>
        <w:proofErr w:type="spellEnd"/>
        <w:r w:rsidRPr="00A13B2E">
          <w:rPr>
            <w:rStyle w:val="Hyperlink"/>
          </w:rPr>
          <w:t xml:space="preserve"> opinó</w:t>
        </w:r>
      </w:hyperlink>
      <w:r>
        <w:t xml:space="preserve">: “(…) </w:t>
      </w:r>
      <w:r w:rsidRPr="00B75B04">
        <w:rPr>
          <w:i/>
        </w:rPr>
        <w:t>La comisión de expertos que se va a convocar y las instrucciones que reciban van a dar la medida de cuánto desea hacer el Gobierno y qué pueden esperar los contribuyentes. Ojalá no incluyan en ella asesores tributarios o exministros del ramo. Son los más expertos, pero a la vez los menos calificados para hacer una reforma de verdad, porque han sido los arquitectos del sistema actual, que es una maraña impenetrable, que se espesa aceleradamente con cada reforma y que hay que descartar para poder progresar</w:t>
      </w:r>
      <w:r w:rsidR="00A13B2E">
        <w:t>. (…)”.</w:t>
      </w:r>
    </w:p>
    <w:p w:rsidR="00B75B04" w:rsidRDefault="00B75B04" w:rsidP="007644AB">
      <w:r>
        <w:t xml:space="preserve">Por su parte </w:t>
      </w:r>
      <w:hyperlink r:id="rId15" w:history="1">
        <w:r w:rsidRPr="00054AE1">
          <w:rPr>
            <w:rStyle w:val="Hyperlink"/>
          </w:rPr>
          <w:t>Guillermo Perry sostuvo</w:t>
        </w:r>
      </w:hyperlink>
      <w:r>
        <w:t xml:space="preserve">: “(…) </w:t>
      </w:r>
      <w:r w:rsidRPr="00B75B04">
        <w:rPr>
          <w:i/>
        </w:rPr>
        <w:t xml:space="preserve">Pero el otro extremo tampoco es bueno. Concertar los impuestos con quienes los pagan no es viable, porque a nadie le gusta pagarlos. Por eso se llaman impuestos. En consecuencia, no sería conveniente establecer en la ley una comisión para concertar la política tributaria con los </w:t>
      </w:r>
      <w:r w:rsidRPr="00B75B04">
        <w:rPr>
          <w:i/>
        </w:rPr>
        <w:lastRenderedPageBreak/>
        <w:t>gremios en el futuro, como se ha propuesto</w:t>
      </w:r>
      <w:r w:rsidRPr="00B75B04">
        <w:t>.</w:t>
      </w:r>
      <w:r>
        <w:t xml:space="preserve"> (…)”</w:t>
      </w:r>
      <w:r w:rsidR="00DA1F04">
        <w:t>.</w:t>
      </w:r>
    </w:p>
    <w:p w:rsidR="00DA1F04" w:rsidRDefault="00454550" w:rsidP="007644AB">
      <w:r>
        <w:t>Como varias veces lo hemos expuesto en Contrapartida, una ley es el resultado de un juego de poderes</w:t>
      </w:r>
      <w:r w:rsidR="008861B0">
        <w:t>. Todos los interesados (</w:t>
      </w:r>
      <w:r w:rsidR="00CB420C">
        <w:t>entre quienes se encuentran</w:t>
      </w:r>
      <w:r w:rsidR="008861B0">
        <w:t xml:space="preserve"> los exministros, asesores y gremios que mencionan los ilustres columnistas que acabamos de invocar)</w:t>
      </w:r>
      <w:r w:rsidR="001622A2">
        <w:t xml:space="preserve"> pujan para salirse con la suya. También el Gobierno puja. </w:t>
      </w:r>
      <w:r w:rsidR="00ED5E75">
        <w:t>Así las cosas, l</w:t>
      </w:r>
      <w:r w:rsidR="001622A2">
        <w:t xml:space="preserve">os redactores del proyecto de ley tienen que identificar hacia </w:t>
      </w:r>
      <w:r w:rsidR="00ED5E75">
        <w:t>dónde</w:t>
      </w:r>
      <w:r w:rsidR="001622A2">
        <w:t xml:space="preserve"> se inclinan las mayorías y proceder de conformidad. </w:t>
      </w:r>
      <w:r w:rsidR="002E07B0">
        <w:t xml:space="preserve">Como se sabe hay cabilderos profesionales. Un intento de regular su actividad terminó </w:t>
      </w:r>
      <w:hyperlink r:id="rId16" w:history="1">
        <w:r w:rsidR="002E07B0" w:rsidRPr="00890791">
          <w:rPr>
            <w:rStyle w:val="Hyperlink"/>
          </w:rPr>
          <w:t>archivado</w:t>
        </w:r>
      </w:hyperlink>
      <w:r w:rsidR="002E07B0">
        <w:t>.</w:t>
      </w:r>
    </w:p>
    <w:p w:rsidR="00691F83" w:rsidRDefault="00403E25" w:rsidP="007644AB">
      <w:r>
        <w:t>En muchos países semejante babel se ve moralmente constreñida por las opiniones de los académicos. Estos también tienen intereses e inclinaciones, pero obran públicamente y exponen argumentos para sostener sus puntos de vista.</w:t>
      </w:r>
      <w:r w:rsidR="00EA39A5">
        <w:t xml:space="preserve"> Los buenos académicos tienen la autoridad que se deriva del conocimiento. Algunos, los mejores, tienen la autoridad que procede de la sabiduría.</w:t>
      </w:r>
    </w:p>
    <w:p w:rsidR="008457C6" w:rsidRDefault="008457C6" w:rsidP="007644AB">
      <w:r>
        <w:t xml:space="preserve">La construcción de un justo y adecuado estatuto tributario, de un acertado manejo de las ESAL y la determinación del efecto fiscal de las normas de contabilidad y de información financiera </w:t>
      </w:r>
      <w:r w:rsidR="00913622">
        <w:t xml:space="preserve">son asuntos </w:t>
      </w:r>
      <w:r w:rsidR="00E60756">
        <w:t>de</w:t>
      </w:r>
      <w:r w:rsidR="00913622">
        <w:t xml:space="preserve"> </w:t>
      </w:r>
      <w:r w:rsidR="00E60756">
        <w:t>gran</w:t>
      </w:r>
      <w:r w:rsidR="00913622">
        <w:t xml:space="preserve"> interés público, que, en consecuencia, deberían capturar la mayor atención de los académicos, quienes </w:t>
      </w:r>
      <w:r w:rsidR="00C43104">
        <w:t>están llamados</w:t>
      </w:r>
      <w:r w:rsidR="00913622">
        <w:t xml:space="preserve"> </w:t>
      </w:r>
      <w:r w:rsidR="00C43104">
        <w:t xml:space="preserve">a </w:t>
      </w:r>
      <w:r w:rsidR="00913622">
        <w:t xml:space="preserve">satisfacer </w:t>
      </w:r>
      <w:r w:rsidR="00E60756">
        <w:t>su función social, la cual, más allá de criticar, consiste en proponer.</w:t>
      </w:r>
    </w:p>
    <w:p w:rsidR="00E60756" w:rsidRPr="00E60756" w:rsidRDefault="00E60756" w:rsidP="00E60756">
      <w:pPr>
        <w:jc w:val="right"/>
        <w:rPr>
          <w:i/>
        </w:rPr>
      </w:pPr>
      <w:r w:rsidRPr="00E60756">
        <w:rPr>
          <w:i/>
        </w:rPr>
        <w:t>Hernando Bermúdez Gómez</w:t>
      </w:r>
    </w:p>
    <w:sectPr w:rsidR="00E60756" w:rsidRPr="00E60756" w:rsidSect="007F1D2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F5" w:rsidRDefault="00A14DF5" w:rsidP="00EE7812">
      <w:pPr>
        <w:spacing w:after="0" w:line="240" w:lineRule="auto"/>
      </w:pPr>
      <w:r>
        <w:separator/>
      </w:r>
    </w:p>
  </w:endnote>
  <w:endnote w:type="continuationSeparator" w:id="0">
    <w:p w:rsidR="00A14DF5" w:rsidRDefault="00A14DF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86" w:rsidRDefault="004F5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86" w:rsidRDefault="004F5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F5" w:rsidRDefault="00A14DF5" w:rsidP="00EE7812">
      <w:pPr>
        <w:spacing w:after="0" w:line="240" w:lineRule="auto"/>
      </w:pPr>
      <w:r>
        <w:separator/>
      </w:r>
    </w:p>
  </w:footnote>
  <w:footnote w:type="continuationSeparator" w:id="0">
    <w:p w:rsidR="00A14DF5" w:rsidRDefault="00A14DF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86" w:rsidRDefault="004F5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4F5386">
      <w:t>1116</w:t>
    </w:r>
    <w:r w:rsidR="00667D4D">
      <w:t>,</w:t>
    </w:r>
    <w:r w:rsidR="009D09BB">
      <w:t xml:space="preserve"> </w:t>
    </w:r>
    <w:r w:rsidR="00063E29">
      <w:t>diciembre</w:t>
    </w:r>
    <w:r w:rsidR="007E2BC9">
      <w:t xml:space="preserve"> </w:t>
    </w:r>
    <w:r w:rsidR="004F5386">
      <w:t>22</w:t>
    </w:r>
    <w:bookmarkStart w:id="0" w:name="_GoBack"/>
    <w:bookmarkEnd w:id="0"/>
    <w:r w:rsidR="007E2BC9">
      <w:t xml:space="preserve"> de 2014</w:t>
    </w:r>
  </w:p>
  <w:p w:rsidR="0046164F" w:rsidRDefault="00A14DF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86" w:rsidRDefault="004F5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4AE1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E29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782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C7D04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6F6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2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14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7B0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39A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4F85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3E25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550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386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AB1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1F83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4AB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7E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7C6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1B0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791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388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622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1FB7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B2E"/>
    <w:rsid w:val="00A13F11"/>
    <w:rsid w:val="00A13F3F"/>
    <w:rsid w:val="00A140DD"/>
    <w:rsid w:val="00A14636"/>
    <w:rsid w:val="00A14AEC"/>
    <w:rsid w:val="00A14DF5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2FF2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B04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4A5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104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20C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04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56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9A5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7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36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an.gov.co/dian/15servicios.nsf/0108fdc3639d83ff05256f0b006abb3d/2fdccaeedca3296505256f0e006e4dfc?OpenDocumen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dian.gov.co/dian/15servicios.nsf/0108fdc3639d83ff05256f0b006abb3d/79c8c0b3db97cc2005256f0e006e39f4?OpenDocumen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amara.gov.co/portal2011/proceso-y-tramite-legislativo/proyectos-de-ley?option=com_proyectosdeley&amp;view=ver_proyectodeley&amp;idpry=23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12-ley-1607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ltiempo.com/opinion/columnistas/posiciones-extremas/1497207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javeriana.edu.co/personales/hbermude/leycontable/contadores/2009-ley-1314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p.presidencia.gov.co/sitios/normativa/decretos/2014/Decretos2014/DECRETO%202548%20DEL%2012%20DE%20DICIEMBRE%20DE%202014.pdf" TargetMode="External"/><Relationship Id="rId14" Type="http://schemas.openxmlformats.org/officeDocument/2006/relationships/hyperlink" Target="http://www.eltiempo.com/opinion/columnistas/reforma-tributaria/14972077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2D28587C-A19A-4484-83B4-71FD191B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2014-12-22T17:39:00Z</dcterms:created>
  <dcterms:modified xsi:type="dcterms:W3CDTF">2014-12-22T17:39:00Z</dcterms:modified>
</cp:coreProperties>
</file>