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898" w:rsidRPr="00DA4898" w:rsidRDefault="002342CC" w:rsidP="00A8617F">
      <w:pPr>
        <w:keepNext/>
        <w:framePr w:dropCap="drop" w:lines="3" w:wrap="around" w:vAnchor="text" w:hAnchor="text"/>
        <w:spacing w:after="0" w:line="926" w:lineRule="exact"/>
        <w:textAlignment w:val="baseline"/>
        <w:rPr>
          <w:position w:val="-9"/>
          <w:sz w:val="123"/>
        </w:rPr>
      </w:pPr>
      <w:bookmarkStart w:id="0" w:name="_GoBack"/>
      <w:bookmarkEnd w:id="0"/>
      <w:r>
        <w:rPr>
          <w:position w:val="-9"/>
          <w:sz w:val="123"/>
        </w:rPr>
        <w:t>A</w:t>
      </w:r>
    </w:p>
    <w:p w:rsidR="00056E65" w:rsidRDefault="000F4C70" w:rsidP="00A8617F">
      <w:r>
        <w:t>l</w:t>
      </w:r>
      <w:r w:rsidR="002342CC">
        <w:t xml:space="preserve">a </w:t>
      </w:r>
      <w:r w:rsidR="003002CB">
        <w:t xml:space="preserve">pregunta que se le </w:t>
      </w:r>
      <w:r w:rsidR="00A62F83">
        <w:t>hacía</w:t>
      </w:r>
      <w:r w:rsidR="002342CC">
        <w:t xml:space="preserve"> al</w:t>
      </w:r>
      <w:r w:rsidR="00BA12D4">
        <w:t xml:space="preserve"> entonces </w:t>
      </w:r>
      <w:r w:rsidR="002342CC">
        <w:t xml:space="preserve"> </w:t>
      </w:r>
      <w:r w:rsidR="00A8617F">
        <w:t>Representante</w:t>
      </w:r>
      <w:r w:rsidR="002342CC">
        <w:t xml:space="preserve"> </w:t>
      </w:r>
      <w:r w:rsidR="00A62F83">
        <w:t>Simón</w:t>
      </w:r>
      <w:r w:rsidR="002342CC">
        <w:t xml:space="preserve"> Gaviria</w:t>
      </w:r>
      <w:r w:rsidR="00BA12D4">
        <w:t>, hoy Director Nacional de Planeación,</w:t>
      </w:r>
      <w:r>
        <w:t xml:space="preserve"> al momento de promulgar la </w:t>
      </w:r>
      <w:hyperlink r:id="rId9" w:history="1">
        <w:r w:rsidRPr="000F4C70">
          <w:rPr>
            <w:rStyle w:val="Hyperlink"/>
          </w:rPr>
          <w:t>L</w:t>
        </w:r>
        <w:r w:rsidR="002342CC" w:rsidRPr="000F4C70">
          <w:rPr>
            <w:rStyle w:val="Hyperlink"/>
          </w:rPr>
          <w:t>ey 1314 de 2009</w:t>
        </w:r>
      </w:hyperlink>
      <w:r w:rsidR="002342CC">
        <w:t xml:space="preserve"> sobre </w:t>
      </w:r>
      <w:hyperlink r:id="rId10" w:history="1">
        <w:r w:rsidR="002342CC" w:rsidRPr="002342CC">
          <w:rPr>
            <w:rStyle w:val="Hyperlink"/>
          </w:rPr>
          <w:t>cuál es el impacto sobre las empresas que no tienen vocación internacional</w:t>
        </w:r>
      </w:hyperlink>
      <w:r w:rsidR="002342CC">
        <w:t xml:space="preserve"> ( </w:t>
      </w:r>
      <w:r w:rsidR="006B5E36">
        <w:t>d</w:t>
      </w:r>
      <w:r w:rsidR="00D47BD8">
        <w:t>el s</w:t>
      </w:r>
      <w:r w:rsidR="002342CC">
        <w:t>egundo 1:57 a 2:53</w:t>
      </w:r>
      <w:r w:rsidR="00D47BD8">
        <w:t xml:space="preserve"> del video</w:t>
      </w:r>
      <w:r w:rsidR="002342CC">
        <w:t>)</w:t>
      </w:r>
      <w:r w:rsidR="00204F6C">
        <w:t xml:space="preserve"> </w:t>
      </w:r>
      <w:r w:rsidR="006B5E36">
        <w:t>contestó</w:t>
      </w:r>
      <w:r w:rsidR="00204F6C">
        <w:t xml:space="preserve"> que al tener un emisor único de norma contable </w:t>
      </w:r>
      <w:r w:rsidR="006B5E36">
        <w:t xml:space="preserve">se </w:t>
      </w:r>
      <w:r w:rsidR="00204F6C">
        <w:t>acaba con las múltiples competenci</w:t>
      </w:r>
      <w:r w:rsidR="006B5E36">
        <w:t>as de los reguladores y mencionó</w:t>
      </w:r>
      <w:r w:rsidR="00204F6C">
        <w:t xml:space="preserve"> q</w:t>
      </w:r>
      <w:r w:rsidR="006B5E36">
        <w:t>ue no habría</w:t>
      </w:r>
      <w:r w:rsidR="00BA12D4">
        <w:t xml:space="preserve"> disparidad en los</w:t>
      </w:r>
      <w:r w:rsidR="006B5E36">
        <w:t xml:space="preserve"> planes de c</w:t>
      </w:r>
      <w:r w:rsidR="00204F6C">
        <w:t>uentas.</w:t>
      </w:r>
    </w:p>
    <w:p w:rsidR="00204F6C" w:rsidRDefault="00204F6C" w:rsidP="00A8617F">
      <w:r>
        <w:t xml:space="preserve">La intención de un Estado de </w:t>
      </w:r>
      <w:r w:rsidR="0010469A" w:rsidRPr="0010469A">
        <w:rPr>
          <w:b/>
        </w:rPr>
        <w:t>re</w:t>
      </w:r>
      <w:r w:rsidRPr="0010469A">
        <w:rPr>
          <w:b/>
        </w:rPr>
        <w:t>colectar</w:t>
      </w:r>
      <w:r>
        <w:t xml:space="preserve"> información financiera de manera estandarizada </w:t>
      </w:r>
      <w:r w:rsidR="003C3529">
        <w:t>facilita</w:t>
      </w:r>
      <w:r>
        <w:t xml:space="preserve"> una adecuada comunicación entre los participantes que están presentes en la </w:t>
      </w:r>
      <w:hyperlink r:id="rId11" w:history="1">
        <w:r w:rsidRPr="00204F6C">
          <w:rPr>
            <w:rStyle w:val="Hyperlink"/>
          </w:rPr>
          <w:t>cadena de suministro de información</w:t>
        </w:r>
      </w:hyperlink>
      <w:r>
        <w:t xml:space="preserve"> </w:t>
      </w:r>
      <w:r w:rsidR="003C3529">
        <w:t xml:space="preserve">lo que se </w:t>
      </w:r>
      <w:r>
        <w:t>logra implementa</w:t>
      </w:r>
      <w:r w:rsidR="003C3529">
        <w:t>ndo</w:t>
      </w:r>
      <w:r w:rsidR="0010469A">
        <w:t xml:space="preserve"> con éxito</w:t>
      </w:r>
      <w:r>
        <w:t xml:space="preserve"> iniciativas</w:t>
      </w:r>
      <w:r w:rsidR="0010469A">
        <w:t xml:space="preserve"> como las  planteadas por la Superintendencia de Sociedades en 2014 de crear un  </w:t>
      </w:r>
      <w:hyperlink r:id="rId12" w:history="1">
        <w:r w:rsidR="0010469A" w:rsidRPr="0010469A">
          <w:rPr>
            <w:rStyle w:val="Hyperlink"/>
          </w:rPr>
          <w:t>banco de datos en la nube</w:t>
        </w:r>
      </w:hyperlink>
      <w:r w:rsidR="0010469A">
        <w:t xml:space="preserve"> </w:t>
      </w:r>
      <w:r w:rsidR="003C3529">
        <w:t>(</w:t>
      </w:r>
      <w:r w:rsidR="0010469A">
        <w:t>Num 3.</w:t>
      </w:r>
      <w:r w:rsidR="003C3529">
        <w:t>, lé</w:t>
      </w:r>
      <w:r w:rsidR="0010469A">
        <w:t>ase Central de Balances)</w:t>
      </w:r>
      <w:r w:rsidR="003C3529">
        <w:t>.</w:t>
      </w:r>
      <w:r w:rsidR="0010469A">
        <w:t xml:space="preserve"> </w:t>
      </w:r>
    </w:p>
    <w:p w:rsidR="00A62F83" w:rsidRDefault="00C15B20" w:rsidP="00A8617F">
      <w:r>
        <w:t>En s</w:t>
      </w:r>
      <w:r w:rsidR="00B22EA2">
        <w:t xml:space="preserve">eptiembre de 2013, nueve entidades de supervisión firmaron memorando de entendimiento para estandarizar los reportes, sin embargo al final decidieron que cada una elaborará sus propias taxonomías con base a sus necesidades y presupuestos.  </w:t>
      </w:r>
    </w:p>
    <w:p w:rsidR="00A62F83" w:rsidRDefault="00A62F83" w:rsidP="00A8617F">
      <w:r>
        <w:t>El Estado ha decidido actualizar el Régimen de Contabilidad Pública, incorporando a su normatividad lo establecido en el Decreto 2784 d</w:t>
      </w:r>
      <w:r w:rsidR="00C15B20">
        <w:t>e 2012 y 3022 de 2013.</w:t>
      </w:r>
      <w:r>
        <w:t xml:space="preserve"> </w:t>
      </w:r>
    </w:p>
    <w:p w:rsidR="00B22EA2" w:rsidRDefault="00455C7A" w:rsidP="00A8617F">
      <w:r>
        <w:t>Se prevé que l</w:t>
      </w:r>
      <w:r w:rsidR="00B22EA2">
        <w:t xml:space="preserve">as entidades que preparan reportes </w:t>
      </w:r>
      <w:r w:rsidR="00C15B20">
        <w:t>para</w:t>
      </w:r>
      <w:r w:rsidR="00B22EA2">
        <w:t xml:space="preserve"> la Contaduría General deberán utilizar </w:t>
      </w:r>
      <w:r w:rsidR="004B6D77">
        <w:t>el catálogo de</w:t>
      </w:r>
      <w:r w:rsidR="00B22EA2">
        <w:t xml:space="preserve"> cuentas que le corres</w:t>
      </w:r>
      <w:r w:rsidR="004B6D77">
        <w:t>ponda dependiendo de</w:t>
      </w:r>
      <w:r w:rsidR="00B22EA2">
        <w:t xml:space="preserve"> su clasificación </w:t>
      </w:r>
      <w:r w:rsidR="00B22EA2">
        <w:lastRenderedPageBreak/>
        <w:t xml:space="preserve">de acuerdo con la resolución </w:t>
      </w:r>
      <w:hyperlink r:id="rId13" w:history="1">
        <w:r w:rsidR="00B22EA2" w:rsidRPr="006667AA">
          <w:rPr>
            <w:rStyle w:val="Hyperlink"/>
          </w:rPr>
          <w:t>743</w:t>
        </w:r>
        <w:r w:rsidR="006667AA" w:rsidRPr="006667AA">
          <w:rPr>
            <w:rStyle w:val="Hyperlink"/>
          </w:rPr>
          <w:t xml:space="preserve"> de 2013</w:t>
        </w:r>
      </w:hyperlink>
      <w:r w:rsidR="00B22EA2">
        <w:t xml:space="preserve"> o la </w:t>
      </w:r>
      <w:hyperlink r:id="rId14" w:history="1">
        <w:r w:rsidR="00B22EA2" w:rsidRPr="00B22EA2">
          <w:rPr>
            <w:rStyle w:val="Hyperlink"/>
          </w:rPr>
          <w:t>414 de 2014</w:t>
        </w:r>
      </w:hyperlink>
    </w:p>
    <w:p w:rsidR="00BA12D4" w:rsidRDefault="006667AA" w:rsidP="00A8617F">
      <w:r>
        <w:t xml:space="preserve">Los sistemas de información de las entidades que reportan a la Contaduría General y adicionalmente a </w:t>
      </w:r>
      <w:r w:rsidR="00BA12D4">
        <w:t xml:space="preserve">una </w:t>
      </w:r>
      <w:r>
        <w:t>Superintendencia</w:t>
      </w:r>
      <w:r w:rsidR="00BA12D4">
        <w:t>, como Superfinanciera,</w:t>
      </w:r>
      <w:r>
        <w:t xml:space="preserve"> deberán usar </w:t>
      </w:r>
      <w:hyperlink r:id="rId15" w:history="1">
        <w:r w:rsidRPr="006667AA">
          <w:rPr>
            <w:rStyle w:val="Hyperlink"/>
          </w:rPr>
          <w:t>otro catálogo de cuentas</w:t>
        </w:r>
      </w:hyperlink>
      <w:r w:rsidR="00C15B20">
        <w:t xml:space="preserve"> que ésta</w:t>
      </w:r>
      <w:r>
        <w:t xml:space="preserve"> ha dispuest</w:t>
      </w:r>
      <w:r w:rsidR="00156575">
        <w:t>o para sus fines de supervisión</w:t>
      </w:r>
      <w:r w:rsidR="00C15B20">
        <w:t>,</w:t>
      </w:r>
      <w:r w:rsidR="00156575">
        <w:t xml:space="preserve"> generando una carga extra a los preparadores de información.</w:t>
      </w:r>
      <w:r w:rsidR="004B6D77">
        <w:t xml:space="preserve"> </w:t>
      </w:r>
    </w:p>
    <w:p w:rsidR="005A7CD6" w:rsidRDefault="005A7CD6" w:rsidP="00A8617F">
      <w:r>
        <w:t xml:space="preserve">Si bien los informes IFRS no están dirigidos al supervisor, estos pueden llegar a serles útiles. </w:t>
      </w:r>
    </w:p>
    <w:p w:rsidR="004B6D77" w:rsidRDefault="004B6D77" w:rsidP="00A8617F">
      <w:r>
        <w:t xml:space="preserve">La </w:t>
      </w:r>
      <w:hyperlink r:id="rId16" w:history="1">
        <w:r w:rsidR="00381EE5">
          <w:rPr>
            <w:rStyle w:val="Hyperlink"/>
          </w:rPr>
          <w:t>Superintendencia de S</w:t>
        </w:r>
        <w:r w:rsidRPr="004B6D77">
          <w:rPr>
            <w:rStyle w:val="Hyperlink"/>
          </w:rPr>
          <w:t>ociedades</w:t>
        </w:r>
      </w:hyperlink>
      <w:r>
        <w:t xml:space="preserve"> ha manifestado que no desarrolla un catálogo de cuentas orientado a IFRS, mientras que </w:t>
      </w:r>
      <w:r w:rsidR="00381EE5">
        <w:t xml:space="preserve">la </w:t>
      </w:r>
      <w:hyperlink r:id="rId17" w:history="1">
        <w:r w:rsidR="00381EE5">
          <w:rPr>
            <w:rStyle w:val="Hyperlink"/>
          </w:rPr>
          <w:t>Superintendencia de Subsidio F</w:t>
        </w:r>
        <w:r w:rsidRPr="004B6D77">
          <w:rPr>
            <w:rStyle w:val="Hyperlink"/>
          </w:rPr>
          <w:t>amiliar</w:t>
        </w:r>
      </w:hyperlink>
      <w:r>
        <w:t xml:space="preserve"> ha decidido mantenerlo.</w:t>
      </w:r>
      <w:r w:rsidR="005A7CD6">
        <w:t xml:space="preserve"> Esperaremos a conocer la decisión de los demás supervisores de si m</w:t>
      </w:r>
      <w:r w:rsidR="00EA7BED">
        <w:t xml:space="preserve">antienen sus planes de cuentas o </w:t>
      </w:r>
      <w:r w:rsidR="005A7CD6">
        <w:t xml:space="preserve"> prefieren ejercer la sup</w:t>
      </w:r>
      <w:r w:rsidR="00EA7BED">
        <w:t>ervisión bajo los reportes IFRS.</w:t>
      </w:r>
    </w:p>
    <w:p w:rsidR="00A8617F" w:rsidRPr="00A8617F" w:rsidRDefault="00A8617F" w:rsidP="00A8617F">
      <w:r>
        <w:t xml:space="preserve">Así las cosas, las entidades deberán  adecuar sus sistemas de información con el fin de que estén en capacidad de generar la reportes bajo PUC para propósitos de supervisión, reportes con propósitos fiscales y reportes bajo IFRS, </w:t>
      </w:r>
      <w:hyperlink r:id="rId18" w:history="1">
        <w:r w:rsidRPr="00166E56">
          <w:rPr>
            <w:rStyle w:val="Hyperlink"/>
          </w:rPr>
          <w:t>usando la taxonomía XBRL</w:t>
        </w:r>
      </w:hyperlink>
      <w:r w:rsidRPr="00166E56">
        <w:t xml:space="preserve"> </w:t>
      </w:r>
      <w:r w:rsidR="00166E56">
        <w:t>c</w:t>
      </w:r>
      <w:r w:rsidR="00381EE5">
        <w:t>omo lo espera recibir la Superintendencia F</w:t>
      </w:r>
      <w:r>
        <w:t>inanciera</w:t>
      </w:r>
      <w:r w:rsidR="00253FB6">
        <w:t xml:space="preserve"> e iniciar la </w:t>
      </w:r>
      <w:r w:rsidR="00C52B2D">
        <w:t xml:space="preserve"> constru</w:t>
      </w:r>
      <w:r w:rsidR="00253FB6">
        <w:t>cción de</w:t>
      </w:r>
      <w:r w:rsidR="00C52B2D">
        <w:t xml:space="preserve"> una central de balances </w:t>
      </w:r>
      <w:r w:rsidR="00253FB6">
        <w:t>en Colombia tal como lo hace desde 2015 el</w:t>
      </w:r>
      <w:r w:rsidR="00C52B2D">
        <w:t xml:space="preserve"> </w:t>
      </w:r>
      <w:hyperlink r:id="rId19" w:history="1">
        <w:r w:rsidR="00C52B2D" w:rsidRPr="00C52B2D">
          <w:rPr>
            <w:rStyle w:val="Hyperlink"/>
          </w:rPr>
          <w:t>Ministerio de Economía y Finanzas de Uruguay.</w:t>
        </w:r>
      </w:hyperlink>
    </w:p>
    <w:p w:rsidR="00A8617F" w:rsidRPr="00A8617F" w:rsidRDefault="00A8617F" w:rsidP="00381EE5">
      <w:pPr>
        <w:jc w:val="right"/>
      </w:pPr>
      <w:r>
        <w:rPr>
          <w:i/>
        </w:rPr>
        <w:t>Richard Gasca Buelvas.</w:t>
      </w:r>
    </w:p>
    <w:sectPr w:rsidR="00A8617F" w:rsidRPr="00A8617F" w:rsidSect="007F1D21">
      <w:headerReference w:type="default" r:id="rId20"/>
      <w:footerReference w:type="default" r:id="rId2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57E" w:rsidRDefault="002D757E" w:rsidP="00EE7812">
      <w:pPr>
        <w:spacing w:after="0" w:line="240" w:lineRule="auto"/>
      </w:pPr>
      <w:r>
        <w:separator/>
      </w:r>
    </w:p>
  </w:endnote>
  <w:endnote w:type="continuationSeparator" w:id="0">
    <w:p w:rsidR="002D757E" w:rsidRDefault="002D75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57E" w:rsidRDefault="002D757E" w:rsidP="00EE7812">
      <w:pPr>
        <w:spacing w:after="0" w:line="240" w:lineRule="auto"/>
      </w:pPr>
      <w:r>
        <w:separator/>
      </w:r>
    </w:p>
  </w:footnote>
  <w:footnote w:type="continuationSeparator" w:id="0">
    <w:p w:rsidR="002D757E" w:rsidRDefault="002D757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0F4C70">
      <w:t>1152</w:t>
    </w:r>
    <w:r w:rsidR="00667D4D">
      <w:t>,</w:t>
    </w:r>
    <w:r w:rsidR="009D09BB">
      <w:t xml:space="preserve"> </w:t>
    </w:r>
    <w:r w:rsidR="00A5050D">
      <w:t>enero</w:t>
    </w:r>
    <w:r w:rsidR="000F4C70">
      <w:t xml:space="preserve"> 19</w:t>
    </w:r>
    <w:r w:rsidR="00A5050D">
      <w:t xml:space="preserve"> de 2015</w:t>
    </w:r>
  </w:p>
  <w:p w:rsidR="0046164F" w:rsidRDefault="002D757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8A6"/>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C70"/>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69A"/>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4B"/>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575"/>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6E56"/>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171"/>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6C"/>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07F00"/>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CC"/>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3FB6"/>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57E"/>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5D4"/>
    <w:rsid w:val="002F79C6"/>
    <w:rsid w:val="002F7A75"/>
    <w:rsid w:val="003002CB"/>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3C"/>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1EE5"/>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29"/>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5C7A"/>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D77"/>
    <w:rsid w:val="004B6EE2"/>
    <w:rsid w:val="004B71DC"/>
    <w:rsid w:val="004B798C"/>
    <w:rsid w:val="004C0499"/>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BB2"/>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CD6"/>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449C"/>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7AA"/>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8F"/>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5E36"/>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5D8"/>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2DF"/>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19"/>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3F0C"/>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ED"/>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2F83"/>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17F"/>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52E"/>
    <w:rsid w:val="00B2280F"/>
    <w:rsid w:val="00B22818"/>
    <w:rsid w:val="00B22C0D"/>
    <w:rsid w:val="00B22DCD"/>
    <w:rsid w:val="00B22EA2"/>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3C0"/>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5E03"/>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2D4"/>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6F64"/>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B20"/>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B2D"/>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21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26F"/>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C91"/>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989"/>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BD8"/>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8D"/>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898"/>
    <w:rsid w:val="00DA4AE8"/>
    <w:rsid w:val="00DA4D2D"/>
    <w:rsid w:val="00DA5046"/>
    <w:rsid w:val="00DA5142"/>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0"/>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BED"/>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18B"/>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2AE"/>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DD3"/>
    <w:rsid w:val="00FD7FA1"/>
    <w:rsid w:val="00FE0369"/>
    <w:rsid w:val="00FE042F"/>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taduria.gov.co/wps/wcm/connect/f8c06844-f744-490c-8ccd-180da2d501c5/CGC+Empresas+no+Cotizantes+%28Dic.19.2014%29.pdf?MOD=AJPERES&amp;CONVERT_TO=url&amp;CACHEID=f8c06844-f744-490c-8ccd-180da2d501c5" TargetMode="External"/><Relationship Id="rId18" Type="http://schemas.openxmlformats.org/officeDocument/2006/relationships/hyperlink" Target="http://www.slideshare.net/coauditoria/proynorma34-1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upersociedades.gov.co/noticias/Documents/Conclusiones-Transformacion-Empresarial.pdf" TargetMode="External"/><Relationship Id="rId17" Type="http://schemas.openxmlformats.org/officeDocument/2006/relationships/hyperlink" Target="http://www.ssf.gov.co/wps/docs/Normatividad/PDF_resoluciones/Resoluciones_2014/Res_0645_Modifica_Res_0742_de_Septiembre_20_2013.pdf" TargetMode="External"/><Relationship Id="rId2" Type="http://schemas.openxmlformats.org/officeDocument/2006/relationships/numbering" Target="numbering.xml"/><Relationship Id="rId16" Type="http://schemas.openxmlformats.org/officeDocument/2006/relationships/hyperlink" Target="http://www.supersociedades.gov.co/asuntos-economicos-y-contables/procesos-de-convergencia-niifs/circulares/Documents/circular%20externa%20115-000005%20201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porting.wix.com/supplychain" TargetMode="External"/><Relationship Id="rId5" Type="http://schemas.openxmlformats.org/officeDocument/2006/relationships/settings" Target="settings.xml"/><Relationship Id="rId15" Type="http://schemas.openxmlformats.org/officeDocument/2006/relationships/hyperlink" Target="http://www.slideshare.net/coauditoria/catalogo-unico-superfinanciera1" TargetMode="External"/><Relationship Id="rId23" Type="http://schemas.openxmlformats.org/officeDocument/2006/relationships/theme" Target="theme/theme1.xml"/><Relationship Id="rId10" Type="http://schemas.openxmlformats.org/officeDocument/2006/relationships/hyperlink" Target="https://www.youtube.com/watch?v=l9yt82pX6E8" TargetMode="External"/><Relationship Id="rId19" Type="http://schemas.openxmlformats.org/officeDocument/2006/relationships/hyperlink" Target="http://www.cbe.gub.uy/wps/portal/Home/bienvenido/!ut/p/a1/hY_NDoIwEISfhUOvdEGU6q2KEREPxkSxF1NMRQ1QUgrEt7cSLyb-7G0238zOYoYTzEreXjOur7Lk-VOz0ZFsVl648NyI7Nwh0JkzJ_42cIC4BjgYAL4MhX_-PWY9MlvQ0PNj4_GIC8tgGgb-eA2wHL2AHycizLJcpn3dAy3TAckwU-IslFB2o8z6onU1QYCg6zr7lAo7a1K7uRtd1QgqqTTPEYSyEAhKqQrzfss_pV1krXHynoKrIoHbMG9jalkPATG4KQ!!/dl5/d5/L2dBISEvZ0FBIS9nQSEh/"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yperlink" Target="http://www.contaduria.gov.co/wps/wcm/connect/1b716b7c-b700-4df1-b79c-3e699bc5be8b/CGC+Empresas+no+Cotizantes+%28Dic.19.2014%29+10.pdf?MOD=AJPERES&amp;CONVERT_TO=url&amp;CACHEID=1b716b7c-b700-4df1-b79c-3e699bc5be8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0FEF6B6-C510-4401-854B-16C7C70E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3652</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2015-01-18T17:13:00Z</dcterms:created>
  <dcterms:modified xsi:type="dcterms:W3CDTF">2015-01-18T17:13:00Z</dcterms:modified>
</cp:coreProperties>
</file>