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AC" w:rsidRPr="004534AC" w:rsidRDefault="004534AC" w:rsidP="004534AC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534AC">
        <w:rPr>
          <w:position w:val="-9"/>
          <w:sz w:val="123"/>
        </w:rPr>
        <w:t>L</w:t>
      </w:r>
    </w:p>
    <w:p w:rsidR="00365E44" w:rsidRDefault="004534AC" w:rsidP="004534AC">
      <w:r>
        <w:t xml:space="preserve">a </w:t>
      </w:r>
      <w:hyperlink r:id="rId9" w:history="1">
        <w:r w:rsidRPr="004534AC">
          <w:rPr>
            <w:rStyle w:val="Hyperlink"/>
          </w:rPr>
          <w:t>Ley 43 de 1990</w:t>
        </w:r>
      </w:hyperlink>
      <w:r>
        <w:t xml:space="preserve"> creó el Consejo Técnico de la Contaduría Pública. El parágrafo de su artículo 29 dispuso: “</w:t>
      </w:r>
      <w:r w:rsidRPr="004534AC">
        <w:rPr>
          <w:i/>
        </w:rPr>
        <w:t>Los gastos de funcionamiento que demanda el Consejo Técnico de la Contaduría Pública, estarán a cargo de la Junta Central de Contadores</w:t>
      </w:r>
      <w:r>
        <w:t>.” Dicha Junta nunca dotó de suficientes recursos al mencionado Consejo.</w:t>
      </w:r>
    </w:p>
    <w:p w:rsidR="004534AC" w:rsidRDefault="00882EBE" w:rsidP="00882EBE">
      <w:r>
        <w:t xml:space="preserve">Para solucionar esa situación el artículo 11 de la </w:t>
      </w:r>
      <w:hyperlink r:id="rId10" w:history="1">
        <w:r w:rsidRPr="00882EBE">
          <w:rPr>
            <w:rStyle w:val="Hyperlink"/>
          </w:rPr>
          <w:t>Ley 1314 de 2009</w:t>
        </w:r>
      </w:hyperlink>
      <w:r>
        <w:t xml:space="preserve"> determinó: “(…) </w:t>
      </w:r>
      <w:r w:rsidRPr="00754E6C">
        <w:rPr>
          <w:i/>
        </w:rPr>
        <w:t>Los recursos del Consejo Técnico de la Contaduría Pública, que provendrán del presupuesto nacional, se administrarán y ejecutarán por el Ministerio de Comercio, Industria y Turismo, a partir del1 de enero del año 2010</w:t>
      </w:r>
      <w:r>
        <w:t>. (…)”.</w:t>
      </w:r>
    </w:p>
    <w:p w:rsidR="00754E6C" w:rsidRDefault="00754E6C" w:rsidP="00882EBE">
      <w:r>
        <w:t>En lugar de dotar al Consejo de un presupuesto propio, como corresponde al mandato legal, los gastos del Consejo se atienden con recursos incluidos en el presupuesto del aludido ministerio.</w:t>
      </w:r>
      <w:r w:rsidR="0043060F">
        <w:t xml:space="preserve"> Estos recursos tampoco han sido suficientes.</w:t>
      </w:r>
      <w:r w:rsidR="00180DFC">
        <w:t xml:space="preserve"> Las iniciales manifestaciones del Consejo (</w:t>
      </w:r>
      <w:hyperlink r:id="rId11" w:history="1">
        <w:r w:rsidR="00180DFC" w:rsidRPr="00180DFC">
          <w:rPr>
            <w:rStyle w:val="Hyperlink"/>
          </w:rPr>
          <w:t>Contrapartida 269</w:t>
        </w:r>
      </w:hyperlink>
      <w:r w:rsidR="00180DFC">
        <w:t>) pronto desaparecieron. Desde un principio el Gobierno puso a funcionar el Consejo en condiciones precarias (</w:t>
      </w:r>
      <w:hyperlink r:id="rId12" w:history="1">
        <w:r w:rsidR="00180DFC" w:rsidRPr="00180DFC">
          <w:rPr>
            <w:rStyle w:val="Hyperlink"/>
          </w:rPr>
          <w:t>Contrapartida 290</w:t>
        </w:r>
      </w:hyperlink>
      <w:r w:rsidR="00180DFC">
        <w:t>)</w:t>
      </w:r>
      <w:r w:rsidR="003A246A">
        <w:t>. La cantidad y calidad de las acciones del Consejo depende de los recursos presupuestales disponibles (</w:t>
      </w:r>
      <w:hyperlink r:id="rId13" w:history="1">
        <w:r w:rsidR="003A246A" w:rsidRPr="003A246A">
          <w:rPr>
            <w:rStyle w:val="Hyperlink"/>
          </w:rPr>
          <w:t>Contrapartida 377</w:t>
        </w:r>
      </w:hyperlink>
      <w:r w:rsidR="003A246A">
        <w:t>).</w:t>
      </w:r>
      <w:r w:rsidR="003F6500">
        <w:t xml:space="preserve"> Hasta la fecha las autoridades de regulación y de normalización no han publicado las ejecuciones presupuestales del Consejo, mientras los principales emisores de estándares mundiales difunden con energía sus estados financieros (</w:t>
      </w:r>
      <w:hyperlink r:id="rId14" w:history="1">
        <w:r w:rsidR="003F6500" w:rsidRPr="003F6500">
          <w:rPr>
            <w:rStyle w:val="Hyperlink"/>
          </w:rPr>
          <w:t>Contrapartida 838</w:t>
        </w:r>
      </w:hyperlink>
      <w:r w:rsidR="003F6500">
        <w:t>).</w:t>
      </w:r>
      <w:r w:rsidR="00221C31">
        <w:t xml:space="preserve"> Es totalmente indispensable que el Congreso y </w:t>
      </w:r>
      <w:r w:rsidR="00221C31">
        <w:lastRenderedPageBreak/>
        <w:t>el Gobierno asignen al Consejo un presupuesto adecuado (</w:t>
      </w:r>
      <w:hyperlink r:id="rId15" w:history="1">
        <w:r w:rsidR="00221C31" w:rsidRPr="00221C31">
          <w:rPr>
            <w:rStyle w:val="Hyperlink"/>
          </w:rPr>
          <w:t>Contrapartida 937</w:t>
        </w:r>
      </w:hyperlink>
      <w:r w:rsidR="00221C31">
        <w:t>).</w:t>
      </w:r>
    </w:p>
    <w:p w:rsidR="00D07CEC" w:rsidRDefault="00ED45E7" w:rsidP="00882EBE">
      <w:r>
        <w:t>Para el MCIT el Consejo Técnico de la Contaduría Pública es un organismo de bajos dividendos políticos.  Las distintas actividades del Consejo se estrellan con los criterios y los trámites del ministerio.</w:t>
      </w:r>
      <w:r w:rsidR="00BB68DA">
        <w:t xml:space="preserve"> Cuestiones tan importantes como traducir los estándares internacionales no han sido posibles. El Consejo funciona con contratistas de </w:t>
      </w:r>
      <w:hyperlink r:id="rId16" w:history="1">
        <w:r w:rsidR="00BB68DA" w:rsidRPr="00BB68DA">
          <w:rPr>
            <w:rStyle w:val="Hyperlink"/>
          </w:rPr>
          <w:t>baja remuneración</w:t>
        </w:r>
      </w:hyperlink>
      <w:r w:rsidR="00BB68DA">
        <w:t>.</w:t>
      </w:r>
      <w:r w:rsidR="00DB6F62">
        <w:t xml:space="preserve"> Las cuestiones contractuales y presupuestales implican un gran desgaste.</w:t>
      </w:r>
    </w:p>
    <w:p w:rsidR="00DF185E" w:rsidRDefault="00DF185E" w:rsidP="00DF185E">
      <w:r>
        <w:t xml:space="preserve">En el documento </w:t>
      </w:r>
      <w:hyperlink r:id="rId17" w:history="1">
        <w:r w:rsidRPr="00DF185E">
          <w:rPr>
            <w:rStyle w:val="Hyperlink"/>
          </w:rPr>
          <w:t>Bases del Plan Nacional de Desarrollo 2014-2018</w:t>
        </w:r>
      </w:hyperlink>
      <w:r>
        <w:t xml:space="preserve"> se plantea: “(…) </w:t>
      </w:r>
      <w:r w:rsidRPr="00DF185E">
        <w:rPr>
          <w:i/>
        </w:rPr>
        <w:t>En forma complementaria se requiere avanzar en la adopción de estándares internacionales de información financiera y aseguramiento de la información (NIIF, por sus siglas en inglés) conjuntamente con el apoyo al Consejo Técnico de la Contaduría Pública a través del reconocimiento de su personería jurídica.</w:t>
      </w:r>
      <w:r>
        <w:t xml:space="preserve"> (…)”.</w:t>
      </w:r>
      <w:r w:rsidR="00E56D9D">
        <w:t xml:space="preserve"> </w:t>
      </w:r>
      <w:r w:rsidR="004C1593">
        <w:t xml:space="preserve">El reconocimiento de personería jurídica no es la solución a los problemas del Consejo. De tal personería no fluye un presupuesto adecuado. Implicará si un aumento significativo en las actividades administrativas, </w:t>
      </w:r>
      <w:r w:rsidR="00E6180C">
        <w:t>incrementando</w:t>
      </w:r>
      <w:r w:rsidR="004C1593">
        <w:t xml:space="preserve"> la burocracia del Consejo. Basta mirar la situación de la Junta Central de Contadores para darse cuenta que la personería no es una panacea.</w:t>
      </w:r>
    </w:p>
    <w:p w:rsidR="004C1593" w:rsidRDefault="00E56D9D" w:rsidP="00DF185E">
      <w:r>
        <w:t>Mientras el MHCP no cambie sus criterios de asignación presupuestal</w:t>
      </w:r>
      <w:r w:rsidR="004E78E4">
        <w:t>,</w:t>
      </w:r>
      <w:r>
        <w:t xml:space="preserve"> las cosas no mejorarán, aunque haya una personería de por medio.</w:t>
      </w:r>
    </w:p>
    <w:p w:rsidR="00E56D9D" w:rsidRPr="00E56D9D" w:rsidRDefault="00E56D9D" w:rsidP="00E56D9D">
      <w:pPr>
        <w:jc w:val="right"/>
        <w:rPr>
          <w:i/>
        </w:rPr>
      </w:pPr>
      <w:r w:rsidRPr="00E56D9D">
        <w:rPr>
          <w:i/>
        </w:rPr>
        <w:t>Hernando Bermúdez Gómez</w:t>
      </w:r>
    </w:p>
    <w:sectPr w:rsidR="00E56D9D" w:rsidRPr="00E56D9D" w:rsidSect="007F1D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A7C" w:rsidRDefault="00296A7C" w:rsidP="00EE7812">
      <w:pPr>
        <w:spacing w:after="0" w:line="240" w:lineRule="auto"/>
      </w:pPr>
      <w:r>
        <w:separator/>
      </w:r>
    </w:p>
  </w:endnote>
  <w:endnote w:type="continuationSeparator" w:id="0">
    <w:p w:rsidR="00296A7C" w:rsidRDefault="00296A7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3D" w:rsidRDefault="00896F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3D" w:rsidRDefault="00896F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3D" w:rsidRDefault="00896F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A7C" w:rsidRDefault="00296A7C" w:rsidP="00EE7812">
      <w:pPr>
        <w:spacing w:after="0" w:line="240" w:lineRule="auto"/>
      </w:pPr>
      <w:r>
        <w:separator/>
      </w:r>
    </w:p>
  </w:footnote>
  <w:footnote w:type="continuationSeparator" w:id="0">
    <w:p w:rsidR="00296A7C" w:rsidRDefault="00296A7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3D" w:rsidRDefault="00896F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060D4">
      <w:t>1160</w:t>
    </w:r>
    <w:r>
      <w:t xml:space="preserve">, </w:t>
    </w:r>
    <w:r w:rsidR="008720CF">
      <w:t>enero</w:t>
    </w:r>
    <w:r w:rsidR="0015507D">
      <w:t xml:space="preserve"> </w:t>
    </w:r>
    <w:r w:rsidR="00D554D3">
      <w:t>26</w:t>
    </w:r>
    <w:r w:rsidR="0015507D">
      <w:t xml:space="preserve"> </w:t>
    </w:r>
    <w:r w:rsidR="00896F3D">
      <w:t>de 2015</w:t>
    </w:r>
    <w:bookmarkStart w:id="0" w:name="_GoBack"/>
    <w:bookmarkEnd w:id="0"/>
  </w:p>
  <w:p w:rsidR="00D945A4" w:rsidRDefault="00296A7C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F3D" w:rsidRDefault="00896F3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1E99"/>
    <w:rsid w:val="000B2E66"/>
    <w:rsid w:val="000B3033"/>
    <w:rsid w:val="000B3468"/>
    <w:rsid w:val="000B37A3"/>
    <w:rsid w:val="000B5092"/>
    <w:rsid w:val="000B5126"/>
    <w:rsid w:val="000B53AC"/>
    <w:rsid w:val="000B55DE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3EA9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07D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346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4F1E"/>
    <w:rsid w:val="001C51C8"/>
    <w:rsid w:val="001C5D67"/>
    <w:rsid w:val="001C5ED4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7856"/>
    <w:rsid w:val="002206E3"/>
    <w:rsid w:val="00220756"/>
    <w:rsid w:val="002209EF"/>
    <w:rsid w:val="00220FD1"/>
    <w:rsid w:val="0022102C"/>
    <w:rsid w:val="00221C31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5E7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6A7C"/>
    <w:rsid w:val="00297385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39CD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246A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04B3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8E4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51A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D34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6FC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2EBE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3D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62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48A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403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39AF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4B09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3BFC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29B5"/>
    <w:rsid w:val="00C73418"/>
    <w:rsid w:val="00C74477"/>
    <w:rsid w:val="00C747D4"/>
    <w:rsid w:val="00C74A56"/>
    <w:rsid w:val="00C74FE0"/>
    <w:rsid w:val="00C75C97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413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6088"/>
    <w:rsid w:val="00D7609E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1619"/>
    <w:rsid w:val="00DC16E4"/>
    <w:rsid w:val="00DC1B3A"/>
    <w:rsid w:val="00DC1E4F"/>
    <w:rsid w:val="00DC1F45"/>
    <w:rsid w:val="00DC252E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1F6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F0E"/>
    <w:rsid w:val="00F57A4D"/>
    <w:rsid w:val="00F57C6C"/>
    <w:rsid w:val="00F57D1B"/>
    <w:rsid w:val="00F60DF4"/>
    <w:rsid w:val="00F612AA"/>
    <w:rsid w:val="00F6150A"/>
    <w:rsid w:val="00F615F7"/>
    <w:rsid w:val="00F61EB9"/>
    <w:rsid w:val="00F623ED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AD1"/>
    <w:rsid w:val="00FA7BDB"/>
    <w:rsid w:val="00FB0240"/>
    <w:rsid w:val="00FB03AB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377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290.docx" TargetMode="External"/><Relationship Id="rId17" Type="http://schemas.openxmlformats.org/officeDocument/2006/relationships/hyperlink" Target="https://colaboracion.dnp.gov.co/CDT/Prensa/Bases%20Plan%20Nacional%20de%20Desarrollo%202014-2018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tcp.gov.co/index!.php?NEWS_ID=459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269.doc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contrapartida/Contrapartida937.docx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javeriana.edu.co/personales/hbermude/leycontable/contadores/2009-ley-1314.pdf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1990-ley-43.pdf" TargetMode="External"/><Relationship Id="rId14" Type="http://schemas.openxmlformats.org/officeDocument/2006/relationships/hyperlink" Target="http://www.javeriana.edu.co/personales/hbermude/contrapartida/Contrapartida838.docx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A0C2EF8E-AF66-4F0F-89FB-F5F57213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582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2015-01-25T20:14:00Z</dcterms:created>
  <dcterms:modified xsi:type="dcterms:W3CDTF">2015-01-27T20:22:00Z</dcterms:modified>
</cp:coreProperties>
</file>