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4A" w:rsidRPr="007F774A" w:rsidRDefault="007F774A" w:rsidP="007F774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7F774A">
        <w:rPr>
          <w:position w:val="-8"/>
          <w:sz w:val="122"/>
        </w:rPr>
        <w:t>A</w:t>
      </w:r>
    </w:p>
    <w:p w:rsidR="00347F2A" w:rsidRDefault="003238FE" w:rsidP="003F3EA2">
      <w:r>
        <w:t>l parecer se viene otr</w:t>
      </w:r>
      <w:r w:rsidR="00650174">
        <w:t>a reforma tributaria en el 2015</w:t>
      </w:r>
      <w:r>
        <w:t xml:space="preserve">. </w:t>
      </w:r>
      <w:r w:rsidR="003F3EA2">
        <w:t>El 15 de d</w:t>
      </w:r>
      <w:r w:rsidR="00C238A6">
        <w:t>ici</w:t>
      </w:r>
      <w:r w:rsidR="00BD7CC1">
        <w:t>embre de 2014</w:t>
      </w:r>
      <w:r w:rsidR="006016F0">
        <w:t>, el Congreso</w:t>
      </w:r>
      <w:r w:rsidR="00C238A6">
        <w:t xml:space="preserve"> aprobó </w:t>
      </w:r>
      <w:r w:rsidR="003F3EA2">
        <w:t>el proyecto de reforma tributari</w:t>
      </w:r>
      <w:r w:rsidR="00C238A6">
        <w:t>a que buscaba tapar el hue</w:t>
      </w:r>
      <w:r w:rsidR="005E53EC">
        <w:t>co fiscal de $12.5 billones</w:t>
      </w:r>
      <w:r w:rsidR="003F3EA2">
        <w:t>. Con la nueva r</w:t>
      </w:r>
      <w:r w:rsidR="00BD7CC1">
        <w:t>eforma el Gobierno lograría recaudar $12.5 billones para el 2015, $13 para el 2016, $13.5 para el 2017 y $14 para el 2018.</w:t>
      </w:r>
      <w:r w:rsidR="00F330BA">
        <w:t xml:space="preserve"> Entre l</w:t>
      </w:r>
      <w:r w:rsidR="003F3EA2">
        <w:t>os puntos más relevantes de la r</w:t>
      </w:r>
      <w:r w:rsidR="00F330BA">
        <w:t xml:space="preserve">eforma se encuentran el nuevo </w:t>
      </w:r>
      <w:hyperlink r:id="rId9" w:history="1">
        <w:r w:rsidR="007F774A">
          <w:rPr>
            <w:rStyle w:val="Hyperlink"/>
          </w:rPr>
          <w:t>impuesto a la r</w:t>
        </w:r>
        <w:r w:rsidR="00F330BA" w:rsidRPr="00F330BA">
          <w:rPr>
            <w:rStyle w:val="Hyperlink"/>
          </w:rPr>
          <w:t>iqueza, la sobretasa del CREE y la extensión de</w:t>
        </w:r>
        <w:r w:rsidR="005E53EC">
          <w:rPr>
            <w:rStyle w:val="Hyperlink"/>
          </w:rPr>
          <w:t>l</w:t>
        </w:r>
        <w:r w:rsidR="00F330BA" w:rsidRPr="00F330BA">
          <w:rPr>
            <w:rStyle w:val="Hyperlink"/>
          </w:rPr>
          <w:t xml:space="preserve"> GMF (4x1.000)</w:t>
        </w:r>
      </w:hyperlink>
      <w:r w:rsidR="00F330BA">
        <w:t xml:space="preserve">. </w:t>
      </w:r>
      <w:r w:rsidR="005E53EC">
        <w:t>Sin embargo</w:t>
      </w:r>
      <w:r w:rsidR="003F3EA2">
        <w:t>,</w:t>
      </w:r>
      <w:r w:rsidR="005E53EC">
        <w:t xml:space="preserve"> </w:t>
      </w:r>
      <w:hyperlink r:id="rId10" w:history="1">
        <w:r w:rsidR="007F774A">
          <w:rPr>
            <w:rStyle w:val="Hyperlink"/>
          </w:rPr>
          <w:t>la r</w:t>
        </w:r>
        <w:r w:rsidR="00650174" w:rsidRPr="0072239F">
          <w:rPr>
            <w:rStyle w:val="Hyperlink"/>
          </w:rPr>
          <w:t>eforma</w:t>
        </w:r>
        <w:r w:rsidR="005E53EC">
          <w:rPr>
            <w:rStyle w:val="Hyperlink"/>
          </w:rPr>
          <w:t>,</w:t>
        </w:r>
        <w:r w:rsidR="00650174" w:rsidRPr="0072239F">
          <w:rPr>
            <w:rStyle w:val="Hyperlink"/>
          </w:rPr>
          <w:t xml:space="preserve"> que tuvo distanciada a los gremios de empresarios y al Gobierno</w:t>
        </w:r>
      </w:hyperlink>
      <w:r w:rsidR="00650174">
        <w:t>, parece no haber sido suficiente para cerrar la brecha fiscal que se proyectaba para los próximos años.</w:t>
      </w:r>
      <w:r w:rsidR="009D6FF6">
        <w:t xml:space="preserve"> Por una parte,</w:t>
      </w:r>
      <w:r w:rsidR="0072239F">
        <w:t xml:space="preserve"> el presupuesto que formul</w:t>
      </w:r>
      <w:r w:rsidR="009D6FF6">
        <w:t xml:space="preserve">ó el Gobierno para el año </w:t>
      </w:r>
      <w:r w:rsidR="0072239F">
        <w:t>2015 se llevó a cabo con un precio de</w:t>
      </w:r>
      <w:r w:rsidR="007F774A">
        <w:t xml:space="preserve"> p</w:t>
      </w:r>
      <w:r w:rsidR="009D6FF6">
        <w:t>etróleo WTI de $98 dólares y</w:t>
      </w:r>
      <w:r w:rsidR="0072239F">
        <w:t xml:space="preserve"> al momento de la redacción de este </w:t>
      </w:r>
      <w:r w:rsidR="00347F2A">
        <w:t>artículo</w:t>
      </w:r>
      <w:r w:rsidR="0072239F">
        <w:t xml:space="preserve"> </w:t>
      </w:r>
      <w:r w:rsidR="009D6FF6">
        <w:t>éste</w:t>
      </w:r>
      <w:r w:rsidR="0072239F">
        <w:t xml:space="preserve"> se encontraba un </w:t>
      </w:r>
      <w:r w:rsidR="009D6FF6">
        <w:t>47% por debajo</w:t>
      </w:r>
      <w:r w:rsidR="005E53EC">
        <w:t>.</w:t>
      </w:r>
      <w:r w:rsidR="00347F2A">
        <w:t xml:space="preserve"> </w:t>
      </w:r>
    </w:p>
    <w:p w:rsidR="001C7FF8" w:rsidRDefault="00347F2A" w:rsidP="003F3EA2">
      <w:r>
        <w:t xml:space="preserve">En Diciembre del 2014 </w:t>
      </w:r>
      <w:hyperlink r:id="rId11" w:history="1">
        <w:r w:rsidRPr="00347F2A">
          <w:rPr>
            <w:rStyle w:val="Hyperlink"/>
          </w:rPr>
          <w:t>la Contraloría General lanzó un boletín</w:t>
        </w:r>
      </w:hyperlink>
      <w:r>
        <w:t xml:space="preserve"> bajo el cual advierte que por cada dólar que</w:t>
      </w:r>
      <w:r w:rsidR="007F774A">
        <w:t xml:space="preserve"> cae el petróleo, el Gobierno c</w:t>
      </w:r>
      <w:r>
        <w:t>olombiano deja de percibir $430.000 millones al año. Lo anterior significaría que los niveles a</w:t>
      </w:r>
      <w:r w:rsidR="007F774A">
        <w:t>ctuales del WTI tendrían a las f</w:t>
      </w:r>
      <w:r>
        <w:t>inanzas del país en</w:t>
      </w:r>
      <w:r w:rsidR="00BD4C9A">
        <w:t xml:space="preserve"> posible recesión con</w:t>
      </w:r>
      <w:r>
        <w:t xml:space="preserve"> un déficit de más de $22 bi</w:t>
      </w:r>
      <w:r w:rsidR="009D6FF6">
        <w:t xml:space="preserve">llones para el 2015 y el panorama </w:t>
      </w:r>
      <w:r>
        <w:t>sería aún peor</w:t>
      </w:r>
      <w:r w:rsidR="009D6FF6">
        <w:t xml:space="preserve"> para el 2016</w:t>
      </w:r>
      <w:r>
        <w:t>.</w:t>
      </w:r>
      <w:r w:rsidR="00236D37">
        <w:t xml:space="preserve"> </w:t>
      </w:r>
      <w:r w:rsidR="009D6FF6">
        <w:t xml:space="preserve">Pero la pregunta es </w:t>
      </w:r>
      <w:r w:rsidR="007F774A">
        <w:t>¿</w:t>
      </w:r>
      <w:r w:rsidR="009D6FF6">
        <w:t>qué ha llevado a Colombia a esta situación?</w:t>
      </w:r>
      <w:r w:rsidR="009733E2">
        <w:t xml:space="preserve"> </w:t>
      </w:r>
    </w:p>
    <w:p w:rsidR="001C7FF8" w:rsidRDefault="00C224D8" w:rsidP="003F3EA2">
      <w:r>
        <w:t>Por una parte e</w:t>
      </w:r>
      <w:r w:rsidR="001C7FF8">
        <w:t>ntre el 2007</w:t>
      </w:r>
      <w:r w:rsidR="005E53EC">
        <w:t xml:space="preserve"> y </w:t>
      </w:r>
      <w:r w:rsidR="001B158A">
        <w:t>20</w:t>
      </w:r>
      <w:r w:rsidR="001C7FF8">
        <w:t xml:space="preserve">13 </w:t>
      </w:r>
      <w:r>
        <w:t xml:space="preserve">las </w:t>
      </w:r>
      <w:r w:rsidR="001C7FF8">
        <w:t>exportaciones de petróleo</w:t>
      </w:r>
      <w:r>
        <w:t xml:space="preserve"> crecieron en más de 4 veces</w:t>
      </w:r>
      <w:r w:rsidR="005E53EC">
        <w:t xml:space="preserve"> hasta llegar a una participación del</w:t>
      </w:r>
      <w:r w:rsidR="001C7FF8">
        <w:t xml:space="preserve"> 55% como se evidencia en la siguiente tabla:</w:t>
      </w:r>
    </w:p>
    <w:tbl>
      <w:tblPr>
        <w:tblW w:w="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"/>
        <w:gridCol w:w="1105"/>
        <w:gridCol w:w="919"/>
        <w:gridCol w:w="1020"/>
      </w:tblGrid>
      <w:tr w:rsidR="001C7FF8" w:rsidRPr="001C7FF8" w:rsidTr="0028657B">
        <w:trPr>
          <w:trHeight w:val="25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lastRenderedPageBreak/>
              <w:t>EXPORTACIONES TOTALES</w:t>
            </w:r>
          </w:p>
        </w:tc>
      </w:tr>
      <w:tr w:rsidR="001C7FF8" w:rsidRPr="001C7FF8" w:rsidTr="0028657B">
        <w:trPr>
          <w:trHeight w:val="258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(En Millones de dólares FOB)</w:t>
            </w:r>
          </w:p>
        </w:tc>
      </w:tr>
      <w:tr w:rsidR="001C7FF8" w:rsidRPr="001C7FF8" w:rsidTr="0028657B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Petróleo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 </w:t>
            </w:r>
          </w:p>
        </w:tc>
      </w:tr>
      <w:tr w:rsidR="001C7FF8" w:rsidRPr="001C7FF8" w:rsidTr="0028657B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Período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Exportaciones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y derivados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Participación</w:t>
            </w:r>
          </w:p>
        </w:tc>
      </w:tr>
      <w:tr w:rsidR="001C7FF8" w:rsidRPr="001C7FF8" w:rsidTr="0028657B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11.975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3.275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27,35%</w:t>
            </w:r>
          </w:p>
        </w:tc>
      </w:tr>
      <w:tr w:rsidR="001C7FF8" w:rsidRPr="001C7FF8" w:rsidTr="0028657B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29.991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7.318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24,40%</w:t>
            </w:r>
          </w:p>
        </w:tc>
      </w:tr>
      <w:tr w:rsidR="001C7FF8" w:rsidRPr="001C7FF8" w:rsidTr="0028657B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</w:pPr>
            <w:r w:rsidRPr="001C7FF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CO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      58.824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 xml:space="preserve">           32.483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FF8" w:rsidRPr="001C7FF8" w:rsidRDefault="001C7FF8" w:rsidP="003F3EA2">
            <w:pPr>
              <w:rPr>
                <w:rFonts w:eastAsia="Times New Roman"/>
                <w:color w:val="000000"/>
                <w:sz w:val="14"/>
                <w:szCs w:val="14"/>
                <w:lang w:eastAsia="es-CO"/>
              </w:rPr>
            </w:pPr>
            <w:r w:rsidRPr="001C7FF8">
              <w:rPr>
                <w:rFonts w:eastAsia="Times New Roman"/>
                <w:color w:val="000000"/>
                <w:sz w:val="14"/>
                <w:szCs w:val="14"/>
                <w:lang w:eastAsia="es-CO"/>
              </w:rPr>
              <w:t>55,22%</w:t>
            </w:r>
          </w:p>
        </w:tc>
      </w:tr>
    </w:tbl>
    <w:p w:rsidR="001C7FF8" w:rsidRPr="001C7FF8" w:rsidRDefault="001C7FF8" w:rsidP="003F3EA2">
      <w:pPr>
        <w:rPr>
          <w:sz w:val="18"/>
          <w:szCs w:val="18"/>
        </w:rPr>
      </w:pPr>
      <w:r w:rsidRPr="001C7FF8">
        <w:rPr>
          <w:sz w:val="18"/>
          <w:szCs w:val="18"/>
        </w:rPr>
        <w:t xml:space="preserve">Fuente: </w:t>
      </w:r>
      <w:hyperlink r:id="rId12" w:history="1">
        <w:r w:rsidR="006016F0" w:rsidRPr="009A12F6">
          <w:rPr>
            <w:rStyle w:val="Hyperlink"/>
            <w:sz w:val="18"/>
            <w:szCs w:val="18"/>
          </w:rPr>
          <w:t>www.banrep.gov.co</w:t>
        </w:r>
      </w:hyperlink>
      <w:r w:rsidR="006016F0">
        <w:rPr>
          <w:sz w:val="18"/>
          <w:szCs w:val="18"/>
        </w:rPr>
        <w:t xml:space="preserve"> </w:t>
      </w:r>
    </w:p>
    <w:p w:rsidR="001C7FF8" w:rsidRDefault="006016F0" w:rsidP="003F3EA2">
      <w:r>
        <w:t xml:space="preserve">La producción de gas y crudo creció un 97% y Colombia entró al grupo de los 20 con mayor nivel de producción de petróleo a nivel mundial. Las finanzas públicas se vieron expuestas al precio del petróleo no solo a través del recaudo de regalías, sino a través del </w:t>
      </w:r>
      <w:r w:rsidR="00C224D8">
        <w:t xml:space="preserve">88.5% de participación en Ecopetrol que recientemente fue ubicada en el </w:t>
      </w:r>
      <w:hyperlink r:id="rId13" w:history="1">
        <w:r w:rsidR="006016AA">
          <w:rPr>
            <w:rStyle w:val="Hyperlink"/>
          </w:rPr>
          <w:t>puesto 14 entre las mejores p</w:t>
        </w:r>
        <w:r w:rsidR="00C224D8" w:rsidRPr="00C224D8">
          <w:rPr>
            <w:rStyle w:val="Hyperlink"/>
          </w:rPr>
          <w:t>etroleras del mundo.</w:t>
        </w:r>
      </w:hyperlink>
      <w:r w:rsidR="00C224D8">
        <w:t xml:space="preserve"> </w:t>
      </w:r>
    </w:p>
    <w:p w:rsidR="00A13E61" w:rsidRPr="005E53EC" w:rsidRDefault="00A13E61" w:rsidP="003F3EA2">
      <w:pPr>
        <w:rPr>
          <w:rFonts w:cs="Arial"/>
          <w:color w:val="000000"/>
        </w:rPr>
      </w:pPr>
      <w:r>
        <w:t>Pero si se tuvo la época de las vacas gordas, ahora llegó la de las vacas flacas. De un precio de WTI por encima de $100</w:t>
      </w:r>
      <w:r w:rsidR="006016AA">
        <w:t>,</w:t>
      </w:r>
      <w:r>
        <w:t xml:space="preserve"> </w:t>
      </w:r>
      <w:r w:rsidR="006016AA">
        <w:t xml:space="preserve">pasamos </w:t>
      </w:r>
      <w:r>
        <w:t>a uno por debajo de $50, con el agravante que hoy C</w:t>
      </w:r>
      <w:r w:rsidR="006016AA">
        <w:t>olombia es más dependiente del p</w:t>
      </w:r>
      <w:r>
        <w:t xml:space="preserve">etróleo. </w:t>
      </w:r>
      <w:r w:rsidR="00B248BA">
        <w:t>En momentos como estos surgen muchas inquietudes como: ¿no hubiera sido mejor privatizar Ecopetrol? Por si sola, la caída de la acción en el 2014 le costó al G</w:t>
      </w:r>
      <w:r w:rsidR="006016AA">
        <w:t>obierno $39 b</w:t>
      </w:r>
      <w:r w:rsidR="005E53EC">
        <w:t>illones de dólares</w:t>
      </w:r>
      <w:r w:rsidR="006016AA">
        <w:t>. A</w:t>
      </w:r>
      <w:r w:rsidR="00B248BA">
        <w:t xml:space="preserve"> diferencia de Colombia </w:t>
      </w:r>
      <w:r w:rsidR="001B158A">
        <w:t>otros países</w:t>
      </w:r>
      <w:r w:rsidR="006016AA">
        <w:t>,</w:t>
      </w:r>
      <w:r w:rsidR="001B158A">
        <w:t xml:space="preserve"> como </w:t>
      </w:r>
      <w:r w:rsidR="00B248BA">
        <w:t>México</w:t>
      </w:r>
      <w:r w:rsidR="006016AA">
        <w:t>,</w:t>
      </w:r>
      <w:r w:rsidR="001B158A">
        <w:t xml:space="preserve"> se encontraban completa o parcialmente</w:t>
      </w:r>
      <w:r w:rsidR="00B248BA">
        <w:t xml:space="preserve"> cubi</w:t>
      </w:r>
      <w:r w:rsidR="001B158A">
        <w:t>ertos</w:t>
      </w:r>
      <w:r w:rsidR="00B248BA">
        <w:t xml:space="preserve"> contra la caída del petróleo en 2015.</w:t>
      </w:r>
      <w:r w:rsidR="00E33D5B">
        <w:t xml:space="preserve"> E</w:t>
      </w:r>
      <w:r w:rsidR="005E53EC">
        <w:t>l Gobierno enfrentará un enorme hueco presupuestal que hace pensar</w:t>
      </w:r>
      <w:r w:rsidR="00236D37">
        <w:t xml:space="preserve"> </w:t>
      </w:r>
      <w:r w:rsidR="00236D37" w:rsidRPr="00333FD7">
        <w:t>que</w:t>
      </w:r>
      <w:r w:rsidR="0071233A">
        <w:t xml:space="preserve"> </w:t>
      </w:r>
      <w:r w:rsidR="00E33D5B">
        <w:t>s</w:t>
      </w:r>
      <w:r w:rsidR="005E53EC">
        <w:t>eguro se vienen impuestos y se vendrán muchos más.</w:t>
      </w:r>
    </w:p>
    <w:p w:rsidR="005D4AB9" w:rsidRPr="002D138F" w:rsidRDefault="00557C73" w:rsidP="009E54D7">
      <w:pPr>
        <w:jc w:val="right"/>
      </w:pPr>
      <w:r>
        <w:rPr>
          <w:i/>
          <w:iCs/>
        </w:rPr>
        <w:t>Jaime Vargas Vives</w:t>
      </w:r>
    </w:p>
    <w:sectPr w:rsidR="005D4AB9" w:rsidRPr="002D138F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064" w:rsidRDefault="00E17064" w:rsidP="00EE7812">
      <w:pPr>
        <w:spacing w:after="0" w:line="240" w:lineRule="auto"/>
      </w:pPr>
      <w:r>
        <w:separator/>
      </w:r>
    </w:p>
  </w:endnote>
  <w:endnote w:type="continuationSeparator" w:id="0">
    <w:p w:rsidR="00E17064" w:rsidRDefault="00E1706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6E" w:rsidRDefault="0088526E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064" w:rsidRDefault="00E17064" w:rsidP="00EE7812">
      <w:pPr>
        <w:spacing w:after="0" w:line="240" w:lineRule="auto"/>
      </w:pPr>
      <w:r>
        <w:separator/>
      </w:r>
    </w:p>
  </w:footnote>
  <w:footnote w:type="continuationSeparator" w:id="0">
    <w:p w:rsidR="00E17064" w:rsidRDefault="00E1706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26E" w:rsidRDefault="0088526E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88526E" w:rsidRDefault="0088526E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88526E" w:rsidRDefault="003507E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7F774A">
      <w:t>1162</w:t>
    </w:r>
    <w:r w:rsidR="0088526E">
      <w:t xml:space="preserve">, </w:t>
    </w:r>
    <w:r w:rsidR="00FC0A2C">
      <w:t xml:space="preserve">enero </w:t>
    </w:r>
    <w:r w:rsidR="007F774A">
      <w:t>26</w:t>
    </w:r>
    <w:r w:rsidR="00FF450E">
      <w:t xml:space="preserve"> de 2015</w:t>
    </w:r>
  </w:p>
  <w:p w:rsidR="0088526E" w:rsidRDefault="00E1706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 w14:anchorId="46CA7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1A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05F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B60"/>
    <w:rsid w:val="00095D83"/>
    <w:rsid w:val="00096461"/>
    <w:rsid w:val="0009648E"/>
    <w:rsid w:val="000968BF"/>
    <w:rsid w:val="00096A25"/>
    <w:rsid w:val="00096B87"/>
    <w:rsid w:val="00096E09"/>
    <w:rsid w:val="00097261"/>
    <w:rsid w:val="000972A5"/>
    <w:rsid w:val="000976AA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B5B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C7D03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9E7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6F1E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58A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C7FF8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1F3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AF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A4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6D37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2D6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3D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459"/>
    <w:rsid w:val="0028558C"/>
    <w:rsid w:val="00285726"/>
    <w:rsid w:val="00286511"/>
    <w:rsid w:val="0028657B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95B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2F7AD0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8FE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D7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47F2A"/>
    <w:rsid w:val="0035021B"/>
    <w:rsid w:val="00350239"/>
    <w:rsid w:val="003507E5"/>
    <w:rsid w:val="003509D0"/>
    <w:rsid w:val="00350A52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3EA2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DC3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1FFE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7DA"/>
    <w:rsid w:val="00466A45"/>
    <w:rsid w:val="00467486"/>
    <w:rsid w:val="00467931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B3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B4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5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6B14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1A53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7FF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67AF"/>
    <w:rsid w:val="00557888"/>
    <w:rsid w:val="00557B1B"/>
    <w:rsid w:val="00557C55"/>
    <w:rsid w:val="00557C73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38BA"/>
    <w:rsid w:val="005846AB"/>
    <w:rsid w:val="005846BC"/>
    <w:rsid w:val="0058499F"/>
    <w:rsid w:val="00584D39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0F6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29CC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6C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0D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3EC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6AA"/>
    <w:rsid w:val="006016F0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174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3B9C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373"/>
    <w:rsid w:val="006605F3"/>
    <w:rsid w:val="00660C7C"/>
    <w:rsid w:val="0066142A"/>
    <w:rsid w:val="006617EC"/>
    <w:rsid w:val="00661A36"/>
    <w:rsid w:val="00661C29"/>
    <w:rsid w:val="0066283A"/>
    <w:rsid w:val="00662D55"/>
    <w:rsid w:val="00662FE8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4FB"/>
    <w:rsid w:val="00670ACD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6F27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1E5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176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311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33A"/>
    <w:rsid w:val="0071272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39F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E7A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033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D30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74A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C2E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0BC"/>
    <w:rsid w:val="008141A0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B67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A7C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26E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5EE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548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076C3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3B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5F6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3E2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4F25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7E1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6FF6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4D7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973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028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E61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0B0A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3E5A"/>
    <w:rsid w:val="00AC4BC4"/>
    <w:rsid w:val="00AC5026"/>
    <w:rsid w:val="00AC5403"/>
    <w:rsid w:val="00AC6562"/>
    <w:rsid w:val="00AC679B"/>
    <w:rsid w:val="00AC6AD3"/>
    <w:rsid w:val="00AC73BB"/>
    <w:rsid w:val="00AC77FD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88B"/>
    <w:rsid w:val="00AF1D1C"/>
    <w:rsid w:val="00AF1E4E"/>
    <w:rsid w:val="00AF2042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8BA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176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3D37"/>
    <w:rsid w:val="00BA4388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DE4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C9A"/>
    <w:rsid w:val="00BD4EB8"/>
    <w:rsid w:val="00BD555A"/>
    <w:rsid w:val="00BD577C"/>
    <w:rsid w:val="00BD6C0F"/>
    <w:rsid w:val="00BD6DFA"/>
    <w:rsid w:val="00BD71F6"/>
    <w:rsid w:val="00BD72E6"/>
    <w:rsid w:val="00BD7CC1"/>
    <w:rsid w:val="00BE08A9"/>
    <w:rsid w:val="00BE0A40"/>
    <w:rsid w:val="00BE0D84"/>
    <w:rsid w:val="00BE0EE0"/>
    <w:rsid w:val="00BE0F57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0DCC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4FC6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30C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4D8"/>
    <w:rsid w:val="00C22A96"/>
    <w:rsid w:val="00C2337F"/>
    <w:rsid w:val="00C23579"/>
    <w:rsid w:val="00C238A3"/>
    <w:rsid w:val="00C238A6"/>
    <w:rsid w:val="00C23A35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F47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971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1C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5AF6"/>
    <w:rsid w:val="00C76016"/>
    <w:rsid w:val="00C76680"/>
    <w:rsid w:val="00C7676E"/>
    <w:rsid w:val="00C76D5E"/>
    <w:rsid w:val="00C7757A"/>
    <w:rsid w:val="00C775FD"/>
    <w:rsid w:val="00C778F7"/>
    <w:rsid w:val="00C77AA9"/>
    <w:rsid w:val="00C77E9E"/>
    <w:rsid w:val="00C80E8C"/>
    <w:rsid w:val="00C81AD2"/>
    <w:rsid w:val="00C81B1C"/>
    <w:rsid w:val="00C82105"/>
    <w:rsid w:val="00C82ABF"/>
    <w:rsid w:val="00C84537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660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098D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5B6B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AD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82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822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C0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5D2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39D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3A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0EE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32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B2C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064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3D5B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159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0D5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0F1"/>
    <w:rsid w:val="00E729D5"/>
    <w:rsid w:val="00E72D89"/>
    <w:rsid w:val="00E72F39"/>
    <w:rsid w:val="00E73675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4BC"/>
    <w:rsid w:val="00E82AFE"/>
    <w:rsid w:val="00E83150"/>
    <w:rsid w:val="00E8323F"/>
    <w:rsid w:val="00E832AF"/>
    <w:rsid w:val="00E835E1"/>
    <w:rsid w:val="00E83955"/>
    <w:rsid w:val="00E83F2E"/>
    <w:rsid w:val="00E8418D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40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D22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1F0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6EB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E7FAA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4A3"/>
    <w:rsid w:val="00F04BDF"/>
    <w:rsid w:val="00F0504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4DC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0BA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46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7E8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7D0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3F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4BF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A2C"/>
    <w:rsid w:val="00FC0E0B"/>
    <w:rsid w:val="00FC0F8E"/>
    <w:rsid w:val="00FC0FF3"/>
    <w:rsid w:val="00FC1344"/>
    <w:rsid w:val="00FC1877"/>
    <w:rsid w:val="00FC187A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9D"/>
    <w:rsid w:val="00FF4383"/>
    <w:rsid w:val="00FF4485"/>
    <w:rsid w:val="00FF450E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1"/>
    <w:uiPriority w:val="99"/>
    <w:unhideWhenUsed/>
    <w:rsid w:val="00E00176"/>
    <w:rPr>
      <w:sz w:val="20"/>
      <w:szCs w:val="20"/>
      <w:lang w:val="x-none"/>
    </w:rPr>
  </w:style>
  <w:style w:type="character" w:customStyle="1" w:styleId="FootnoteTextChar1">
    <w:name w:val="Footnote Text Char1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uiPriority w:val="99"/>
    <w:rsid w:val="008852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1"/>
    <w:uiPriority w:val="99"/>
    <w:unhideWhenUsed/>
    <w:rsid w:val="00E00176"/>
    <w:rPr>
      <w:sz w:val="20"/>
      <w:szCs w:val="20"/>
      <w:lang w:val="x-none"/>
    </w:rPr>
  </w:style>
  <w:style w:type="character" w:customStyle="1" w:styleId="FootnoteTextChar1">
    <w:name w:val="Footnote Text Char1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uiPriority w:val="99"/>
    <w:rsid w:val="008852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p250.platts.com/Top250Ranking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nrep.gov.c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traloriagen.gov.co/web/guest/boletinprensa/-/asset_publisher/RJ9mIGHGBjML/content/con-un-analisis-de-la-caida-del-precio-del-petroleo-contraloria-general-lanza-el-boletin-macro-fisca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aracol.com.co/noticias/economia/empresarios-se-declaran-decepcionados-con-la-reforma-tributaria/20141127/nota/2526551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tafolio.co/economia/reforma-tributaria-impuestos-ministerio-hacienda-20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Kug08</b:Tag>
    <b:SourceType>Report</b:SourceType>
    <b:Guid>{FE219BA4-CDA5-42EB-B6E8-0B741D3F4265}</b:Guid>
    <b:Author>
      <b:Author>
        <b:NameList>
          <b:Person>
            <b:Last>Kugler</b:Last>
            <b:First>Adriana</b:First>
          </b:Person>
          <b:Person>
            <b:Last>Kugler</b:Last>
            <b:First>Maurice</b:First>
          </b:Person>
        </b:NameList>
      </b:Author>
    </b:Author>
    <b:Title>Labor Market Effects of Payroll Taxes in Developing Countries: Evidence From Colombia</b:Title>
    <b:Year>2008</b:Year>
    <b:Publisher>National Bureau of Economic Research</b:Publisher>
    <b:City>Cambridge</b:City>
    <b:RefOrder>1</b:RefOrder>
  </b:Source>
  <b:Source>
    <b:Tag>Car12</b:Tag>
    <b:SourceType>ArticleInAPeriodical</b:SourceType>
    <b:Guid>{E0C57A62-D621-4E5B-BD4A-CD3BDBB29744}</b:Guid>
    <b:Author>
      <b:Author>
        <b:NameList>
          <b:Person>
            <b:Last>Carranza Garzón</b:Last>
            <b:First>Andrea</b:First>
          </b:Person>
        </b:NameList>
      </b:Author>
    </b:Author>
    <b:Title>Temporales reciben 19% menos de ingresos por hora</b:Title>
    <b:Year>2012</b:Year>
    <b:Pages>Economía</b:Pages>
    <b:PeriodicalTitle>La República</b:PeriodicalTitle>
    <b:Month>Septiembre </b:Month>
    <b:Day>18</b:Day>
    <b:RefOrder>2</b:RefOrder>
  </b:Source>
  <b:Source>
    <b:Tag>GEM10</b:Tag>
    <b:SourceType>Report</b:SourceType>
    <b:Guid>{6FC6D223-D4C9-4EBA-B233-7273F8DAD6B5}</b:Guid>
    <b:Author>
      <b:Author>
        <b:NameList>
          <b:Person>
            <b:Last>GEM</b:Last>
          </b:Person>
        </b:NameList>
      </b:Author>
    </b:Author>
    <b:Title>Global Entrepreneurship Monitor</b:Title>
    <b:Year>2010</b:Year>
    <b:City>Colombia</b:City>
    <b:RefOrder>3</b:RefOrder>
  </b:Source>
</b:Sources>
</file>

<file path=customXml/itemProps1.xml><?xml version="1.0" encoding="utf-8"?>
<ds:datastoreItem xmlns:ds="http://schemas.openxmlformats.org/officeDocument/2006/customXml" ds:itemID="{465C59B8-0641-4070-B965-83DB736A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2015-01-25T20:17:00Z</dcterms:created>
  <dcterms:modified xsi:type="dcterms:W3CDTF">2015-01-25T20:17:00Z</dcterms:modified>
</cp:coreProperties>
</file>