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04" w:rsidRPr="00B27E04" w:rsidRDefault="00B27E04" w:rsidP="00B27E0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27E04">
        <w:rPr>
          <w:position w:val="-8"/>
          <w:sz w:val="122"/>
        </w:rPr>
        <w:t>Y</w:t>
      </w:r>
    </w:p>
    <w:p w:rsidR="0056497E" w:rsidRDefault="00B27E04" w:rsidP="00542433">
      <w:r>
        <w:t xml:space="preserve">a es tiempo de hacer análisis más a fondo sobre el efecto de las normas de contabilidad y de información financiera (artículo 3° de la </w:t>
      </w:r>
      <w:hyperlink r:id="rId9" w:history="1">
        <w:r w:rsidRPr="00833CC0">
          <w:rPr>
            <w:rStyle w:val="Hyperlink"/>
          </w:rPr>
          <w:t>Ley 1314 de 2009</w:t>
        </w:r>
      </w:hyperlink>
      <w:r>
        <w:t>) respecto de otras formas de contabilidad, como la contabilidad tributaria y la contabilidad prudencial.</w:t>
      </w:r>
    </w:p>
    <w:p w:rsidR="00B27E04" w:rsidRDefault="004617C6" w:rsidP="00542433">
      <w:r>
        <w:t>Como lo planteamos recientemente</w:t>
      </w:r>
      <w:r w:rsidR="00CA3836">
        <w:t xml:space="preserve"> (</w:t>
      </w:r>
      <w:hyperlink r:id="rId10" w:history="1">
        <w:r w:rsidR="00CA3836" w:rsidRPr="00CA3836">
          <w:rPr>
            <w:rStyle w:val="Hyperlink"/>
          </w:rPr>
          <w:t>Contrapartida 1174</w:t>
        </w:r>
      </w:hyperlink>
      <w:r w:rsidR="00CA3836">
        <w:t>)</w:t>
      </w:r>
      <w:r>
        <w:t>, en lugar de seguir preguntándonos cuál norma debe aplicarse, es necesario asumir que las diferentes disposiciones pueden coexistir.</w:t>
      </w:r>
    </w:p>
    <w:p w:rsidR="007823E9" w:rsidRDefault="004D1287" w:rsidP="00542433">
      <w:r>
        <w:t>La cuestión concreta radica en que las disposiciones tributarias o prudenciales suelen establecer obligaciones de contenido económico que el ente respectivo debe reconocer en su contabilidad financiera.</w:t>
      </w:r>
    </w:p>
    <w:p w:rsidR="006A177F" w:rsidRDefault="00E344E1" w:rsidP="00E82084">
      <w:r>
        <w:t>Un buen caso de estudio consiste en la regulación tributaria de la valoración de inversiones. Como se recordará, la hoy Superintendencia Financiera de Colombia ordenó a sus vigilados valorar sus inversiones a precios de mercado, llevando a resultados las diferencias respecto del valor nominal</w:t>
      </w:r>
      <w:r w:rsidR="003E6383">
        <w:t xml:space="preserve"> (Resolución 200 de 1995)</w:t>
      </w:r>
      <w:r>
        <w:t>. Esto vino a conocerse como un sistema especial de valoración de inversiones</w:t>
      </w:r>
      <w:r w:rsidR="00494B26">
        <w:t>. Así las cosas una regla prudencial provocó una diferencia respecto de la contabilidad tributaria.</w:t>
      </w:r>
      <w:r w:rsidR="003E6383">
        <w:t xml:space="preserve"> Posteriormente el legislador resolvió modificar la </w:t>
      </w:r>
      <w:r w:rsidR="003E6383" w:rsidRPr="003E6383">
        <w:t>Valor Patrimonial de los Títulos, Bonos y Seguros de Vida</w:t>
      </w:r>
      <w:r w:rsidR="003E6383">
        <w:t xml:space="preserve">, así como el </w:t>
      </w:r>
      <w:r w:rsidR="003E6383" w:rsidRPr="003E6383">
        <w:t>Valor de las acciones, aportes, y demás derechos en sociedades</w:t>
      </w:r>
      <w:r w:rsidR="003E6383">
        <w:t>, estableciendo que “</w:t>
      </w:r>
      <w:r w:rsidR="003E6383" w:rsidRPr="003E6383">
        <w:rPr>
          <w:i/>
        </w:rPr>
        <w:t xml:space="preserve">Para los contribuyentes obligados a utilizar sistemas especiales de valoración de inversiones, de acuerdo con las disposiciones expedidas al </w:t>
      </w:r>
      <w:r w:rsidR="003E6383" w:rsidRPr="003E6383">
        <w:rPr>
          <w:i/>
        </w:rPr>
        <w:lastRenderedPageBreak/>
        <w:t>respecto por las entidades de control, el valor patrimonial será el que resulte de la aplicación de tales mecanismos de valoración</w:t>
      </w:r>
      <w:r w:rsidR="003E6383">
        <w:t xml:space="preserve">” (artículos </w:t>
      </w:r>
      <w:hyperlink r:id="rId11" w:history="1">
        <w:r w:rsidR="003E6383" w:rsidRPr="008069BC">
          <w:rPr>
            <w:rStyle w:val="Hyperlink"/>
          </w:rPr>
          <w:t>271</w:t>
        </w:r>
      </w:hyperlink>
      <w:r w:rsidR="003E6383">
        <w:t xml:space="preserve"> y </w:t>
      </w:r>
      <w:hyperlink r:id="rId12" w:history="1">
        <w:r w:rsidR="003E6383" w:rsidRPr="008069BC">
          <w:rPr>
            <w:rStyle w:val="Hyperlink"/>
          </w:rPr>
          <w:t>272</w:t>
        </w:r>
      </w:hyperlink>
      <w:r w:rsidR="003E6383">
        <w:t xml:space="preserve"> del Estatuto Tributario).</w:t>
      </w:r>
      <w:r w:rsidR="008069BC">
        <w:t xml:space="preserve"> De esta manera se eliminó la diferencia causada por la decisión de la entidad de inspección, vigilancia y control.</w:t>
      </w:r>
      <w:r w:rsidR="00E82084">
        <w:t xml:space="preserve"> A renglón seguido el Presidente de la República expidió el </w:t>
      </w:r>
      <w:hyperlink r:id="rId13" w:history="1">
        <w:r w:rsidR="00E82084" w:rsidRPr="00E82084">
          <w:rPr>
            <w:rStyle w:val="Hyperlink"/>
          </w:rPr>
          <w:t>Decreto reglamentario 2336 de 1995</w:t>
        </w:r>
      </w:hyperlink>
      <w:r w:rsidR="00E82084">
        <w:t xml:space="preserve"> (Diciembre 29), en el cual estableció: “</w:t>
      </w:r>
      <w:r w:rsidR="00E82084" w:rsidRPr="00E82084">
        <w:rPr>
          <w:i/>
        </w:rPr>
        <w:t xml:space="preserve">Las utilidades que se generen al cierre del ejercicio contable como consecuencia de la aplicación de sistemas especiales de valoración a precios de mercado y que no se hayan realizado en cabeza de la sociedad de </w:t>
      </w:r>
      <w:proofErr w:type="gramStart"/>
      <w:r w:rsidR="00E82084" w:rsidRPr="00E82084">
        <w:rPr>
          <w:i/>
        </w:rPr>
        <w:t>acuerdo</w:t>
      </w:r>
      <w:proofErr w:type="gramEnd"/>
      <w:r w:rsidR="00E82084" w:rsidRPr="00E82084">
        <w:rPr>
          <w:i/>
        </w:rPr>
        <w:t xml:space="preserve"> con las reglas del artículo 27 y demás normas concordantes del Estatuto Tributario, se llevarán a una reserva. Dicha reserva sólo podrá afectarse cuando se capitalicen tales utilidades o se realice fiscalmente el ingreso</w:t>
      </w:r>
      <w:r w:rsidR="00E82084" w:rsidRPr="00E82084">
        <w:t>.</w:t>
      </w:r>
      <w:r w:rsidR="00E82084">
        <w:t>”</w:t>
      </w:r>
      <w:r w:rsidR="004A367D">
        <w:t xml:space="preserve"> Como se sabe las reservas son utilidades retenidas.</w:t>
      </w:r>
      <w:r w:rsidR="00D35AB4">
        <w:t xml:space="preserve"> Este decreto es claramente una norma fiscal (obsérvese las normas que dice reglamentar).</w:t>
      </w:r>
    </w:p>
    <w:p w:rsidR="00D82BBE" w:rsidRDefault="0009703E" w:rsidP="00E82084">
      <w:r>
        <w:t xml:space="preserve">En su concepto </w:t>
      </w:r>
      <w:hyperlink r:id="rId14" w:history="1">
        <w:r w:rsidRPr="0009703E">
          <w:rPr>
            <w:rStyle w:val="Hyperlink"/>
          </w:rPr>
          <w:t>2014-661 del 30 de enero de 2015</w:t>
        </w:r>
      </w:hyperlink>
      <w:r>
        <w:t>, el Consejo Técnico de la Contaduría Pública opinó que “</w:t>
      </w:r>
      <w:r w:rsidRPr="0009703E">
        <w:rPr>
          <w:i/>
        </w:rPr>
        <w:t>El CTCP considera que el Decreto 2336 de 1995 es una norma contable, que se entendería derogada a partir de la fecha de aplicación de las NIIF, por lo que esta reserva debería ser reclasificada a las ganancias acumuladas</w:t>
      </w:r>
      <w:r>
        <w:t>”.</w:t>
      </w:r>
    </w:p>
    <w:p w:rsidR="00D82BBE" w:rsidRDefault="00D82BBE" w:rsidP="00E82084">
      <w:r>
        <w:t xml:space="preserve">Conviene discutir si la obligación de crear </w:t>
      </w:r>
      <w:r w:rsidR="00EC6101">
        <w:t>la aludida</w:t>
      </w:r>
      <w:r>
        <w:t xml:space="preserve"> reserva es contable, prudencial o fiscal.</w:t>
      </w:r>
    </w:p>
    <w:p w:rsidR="005A1A2D" w:rsidRPr="005A1A2D" w:rsidRDefault="005A1A2D" w:rsidP="005A1A2D">
      <w:pPr>
        <w:jc w:val="right"/>
        <w:rPr>
          <w:i/>
        </w:rPr>
      </w:pPr>
      <w:r w:rsidRPr="005A1A2D">
        <w:rPr>
          <w:i/>
        </w:rPr>
        <w:t>Hernando Bermúdez Gómez</w:t>
      </w:r>
    </w:p>
    <w:sectPr w:rsidR="005A1A2D" w:rsidRPr="005A1A2D" w:rsidSect="007F1D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A4B" w:rsidRDefault="00E40A4B" w:rsidP="00EE7812">
      <w:pPr>
        <w:spacing w:after="0" w:line="240" w:lineRule="auto"/>
      </w:pPr>
      <w:r>
        <w:separator/>
      </w:r>
    </w:p>
  </w:endnote>
  <w:endnote w:type="continuationSeparator" w:id="0">
    <w:p w:rsidR="00E40A4B" w:rsidRDefault="00E40A4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7B" w:rsidRDefault="00D347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7B" w:rsidRDefault="00D347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7B" w:rsidRDefault="00D34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A4B" w:rsidRDefault="00E40A4B" w:rsidP="00EE7812">
      <w:pPr>
        <w:spacing w:after="0" w:line="240" w:lineRule="auto"/>
      </w:pPr>
      <w:r>
        <w:separator/>
      </w:r>
    </w:p>
  </w:footnote>
  <w:footnote w:type="continuationSeparator" w:id="0">
    <w:p w:rsidR="00E40A4B" w:rsidRDefault="00E40A4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7B" w:rsidRDefault="00D347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542433">
      <w:t>1182</w:t>
    </w:r>
    <w:r>
      <w:t xml:space="preserve">, </w:t>
    </w:r>
    <w:r w:rsidR="000C1253">
      <w:t xml:space="preserve">febrero </w:t>
    </w:r>
    <w:r w:rsidR="00D3477B">
      <w:t>16</w:t>
    </w:r>
    <w:bookmarkStart w:id="0" w:name="_GoBack"/>
    <w:bookmarkEnd w:id="0"/>
    <w:r w:rsidR="0015507D">
      <w:t xml:space="preserve"> </w:t>
    </w:r>
    <w:r w:rsidR="007D018A">
      <w:t>de 2015</w:t>
    </w:r>
  </w:p>
  <w:p w:rsidR="00D945A4" w:rsidRDefault="00E40A4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77B" w:rsidRDefault="00D34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30735"/>
    <w:rsid w:val="00130BDE"/>
    <w:rsid w:val="00130C3D"/>
    <w:rsid w:val="00130D69"/>
    <w:rsid w:val="001311CA"/>
    <w:rsid w:val="0013166E"/>
    <w:rsid w:val="00131A5F"/>
    <w:rsid w:val="00131AED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AB1"/>
    <w:rsid w:val="00155B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590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91F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822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412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587"/>
    <w:rsid w:val="003C17C3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5C9"/>
    <w:rsid w:val="00574444"/>
    <w:rsid w:val="00574686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828"/>
    <w:rsid w:val="005E6CA2"/>
    <w:rsid w:val="005E6CD2"/>
    <w:rsid w:val="005F0C42"/>
    <w:rsid w:val="005F115B"/>
    <w:rsid w:val="005F11A0"/>
    <w:rsid w:val="005F11A5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3AE"/>
    <w:rsid w:val="00631664"/>
    <w:rsid w:val="00631C34"/>
    <w:rsid w:val="0063237D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538E"/>
    <w:rsid w:val="006C599E"/>
    <w:rsid w:val="006C61E5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27F8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701"/>
    <w:rsid w:val="008327DC"/>
    <w:rsid w:val="00832A31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76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6BAA"/>
    <w:rsid w:val="008579BD"/>
    <w:rsid w:val="00857D14"/>
    <w:rsid w:val="008604D9"/>
    <w:rsid w:val="00860948"/>
    <w:rsid w:val="00860A2A"/>
    <w:rsid w:val="00861E57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042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BE"/>
    <w:rsid w:val="00883691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69E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74A"/>
    <w:rsid w:val="009E4787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E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5D44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2FD6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59"/>
    <w:rsid w:val="00AF44CD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6ABF"/>
    <w:rsid w:val="00B475F7"/>
    <w:rsid w:val="00B476A8"/>
    <w:rsid w:val="00B502B2"/>
    <w:rsid w:val="00B503DD"/>
    <w:rsid w:val="00B504C9"/>
    <w:rsid w:val="00B50600"/>
    <w:rsid w:val="00B50655"/>
    <w:rsid w:val="00B50D1A"/>
    <w:rsid w:val="00B51AF8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B48"/>
    <w:rsid w:val="00B73A84"/>
    <w:rsid w:val="00B73DF3"/>
    <w:rsid w:val="00B74105"/>
    <w:rsid w:val="00B741FC"/>
    <w:rsid w:val="00B7443A"/>
    <w:rsid w:val="00B74B09"/>
    <w:rsid w:val="00B75297"/>
    <w:rsid w:val="00B75407"/>
    <w:rsid w:val="00B75CD5"/>
    <w:rsid w:val="00B76BF2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600"/>
    <w:rsid w:val="00B85C0E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3C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EFD"/>
    <w:rsid w:val="00D22164"/>
    <w:rsid w:val="00D223CA"/>
    <w:rsid w:val="00D22917"/>
    <w:rsid w:val="00D23472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77B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34E"/>
    <w:rsid w:val="00E40A4B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084"/>
    <w:rsid w:val="00E82475"/>
    <w:rsid w:val="00E82AF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414D"/>
    <w:rsid w:val="00F0435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636B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922"/>
    <w:rsid w:val="00F93CA0"/>
    <w:rsid w:val="00F9478A"/>
    <w:rsid w:val="00F94ADF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E78"/>
    <w:rsid w:val="00FA61E0"/>
    <w:rsid w:val="00FA6B41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aldiabogota.gov.co/sisjur/normas/Norma1.jsp?i=741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b88a9afb16c2a7bf05256f0c0078f03b?OpenDocume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82008e922a6316da05256f0c0078abce?OpenDocumen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contrapartida/Contrapartida1174.docx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www.ctcp.gov.co/conceptos.php?concept_id=20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E9B292A-70A4-4E1D-BB21-BA5AA32D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2015-02-15T21:13:00Z</dcterms:created>
  <dcterms:modified xsi:type="dcterms:W3CDTF">2015-02-16T21:00:00Z</dcterms:modified>
</cp:coreProperties>
</file>