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A2" w:rsidRPr="009E41A2" w:rsidRDefault="009E41A2" w:rsidP="009E41A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9E41A2">
        <w:rPr>
          <w:position w:val="-8"/>
          <w:sz w:val="120"/>
        </w:rPr>
        <w:t>C</w:t>
      </w:r>
    </w:p>
    <w:p w:rsidR="001E16B5" w:rsidRDefault="009E41A2" w:rsidP="00B85577">
      <w:r>
        <w:t xml:space="preserve">iertamente la expedición de </w:t>
      </w:r>
      <w:r w:rsidRPr="009E41A2">
        <w:t>normas de aseguramiento de información</w:t>
      </w:r>
      <w:r>
        <w:t xml:space="preserve"> (artículo 5° de la </w:t>
      </w:r>
      <w:hyperlink r:id="rId9" w:history="1">
        <w:r w:rsidRPr="00E44DA9">
          <w:rPr>
            <w:rStyle w:val="Hyperlink"/>
          </w:rPr>
          <w:t>Ley 131 4 de 2009</w:t>
        </w:r>
      </w:hyperlink>
      <w:r>
        <w:t xml:space="preserve">) es un paso </w:t>
      </w:r>
      <w:r w:rsidR="00903F52">
        <w:t>indispensable</w:t>
      </w:r>
      <w:r>
        <w:t xml:space="preserve"> para completar el programa de modernización del derecho contable colombiano.</w:t>
      </w:r>
    </w:p>
    <w:p w:rsidR="00E44DA9" w:rsidRDefault="00E44DA9" w:rsidP="00B85577">
      <w:r>
        <w:t xml:space="preserve">Según las </w:t>
      </w:r>
      <w:hyperlink r:id="rId10" w:history="1">
        <w:r w:rsidRPr="00E44DA9">
          <w:rPr>
            <w:rStyle w:val="Hyperlink"/>
          </w:rPr>
          <w:t>proyecciones</w:t>
        </w:r>
      </w:hyperlink>
      <w:r>
        <w:t xml:space="preserve"> del Consejo Técnico de la Contaduría Pública, ello debería haber ocurrido en el último trimestre del año 2014. Ya en mediados de febrero de 2015</w:t>
      </w:r>
      <w:r w:rsidR="00DB1813">
        <w:t>,</w:t>
      </w:r>
      <w:r>
        <w:t xml:space="preserve"> es claro que el asunto se embolató.</w:t>
      </w:r>
    </w:p>
    <w:p w:rsidR="00BD1F4D" w:rsidRDefault="00BD1F4D" w:rsidP="00B85577">
      <w:r>
        <w:t xml:space="preserve">Especulamos que el </w:t>
      </w:r>
      <w:r w:rsidRPr="00BD1F4D">
        <w:rPr>
          <w:i/>
        </w:rPr>
        <w:t>impasse</w:t>
      </w:r>
      <w:r>
        <w:t xml:space="preserve"> es el resultado de las equivocaciones cometidas al publicar un </w:t>
      </w:r>
      <w:hyperlink r:id="rId11" w:history="1">
        <w:r w:rsidRPr="00BD1F4D">
          <w:rPr>
            <w:rStyle w:val="Hyperlink"/>
          </w:rPr>
          <w:t>proyecto de ley</w:t>
        </w:r>
      </w:hyperlink>
      <w:r>
        <w:t xml:space="preserve"> en contravía de la </w:t>
      </w:r>
      <w:hyperlink r:id="rId12" w:history="1">
        <w:r w:rsidRPr="00BD1F4D">
          <w:rPr>
            <w:rStyle w:val="Hyperlink"/>
          </w:rPr>
          <w:t>propuesta de un decreto reglamentario</w:t>
        </w:r>
      </w:hyperlink>
      <w:r>
        <w:t xml:space="preserve"> que incorporaría las normas internacionales de aseguramiento.</w:t>
      </w:r>
      <w:r w:rsidR="00903F52">
        <w:t xml:space="preserve"> Esto alborotó el avispero, según se dice llegando hasta manifestaciones faltas de respeto.</w:t>
      </w:r>
    </w:p>
    <w:p w:rsidR="001D26A4" w:rsidRDefault="003C2197" w:rsidP="00B85577">
      <w:r>
        <w:t>Así las cosas, n</w:t>
      </w:r>
      <w:r w:rsidR="001D26A4">
        <w:t>os llama mucho la atención que el señor Ministro de la Presidencia vaya a participar con una conferencia en el segmento titulado “</w:t>
      </w:r>
      <w:r w:rsidR="001D26A4" w:rsidRPr="00FE493C">
        <w:rPr>
          <w:i/>
        </w:rPr>
        <w:t>La revisoría fiscal, un modelo nacional para replicar en el contexto internacional</w:t>
      </w:r>
      <w:r w:rsidR="001D26A4">
        <w:t>”</w:t>
      </w:r>
      <w:r w:rsidR="00D21AEA">
        <w:t xml:space="preserve"> que forma parte de </w:t>
      </w:r>
      <w:hyperlink r:id="rId13" w:history="1">
        <w:r w:rsidR="00D21AEA" w:rsidRPr="00D21AEA">
          <w:rPr>
            <w:rStyle w:val="Hyperlink"/>
          </w:rPr>
          <w:t>conmemoración de los 40 años del día del Contador Público</w:t>
        </w:r>
      </w:hyperlink>
      <w:r w:rsidR="00D21AEA">
        <w:t>.</w:t>
      </w:r>
    </w:p>
    <w:p w:rsidR="00FE493C" w:rsidRDefault="003C2197" w:rsidP="00B85577">
      <w:r>
        <w:t>Las teorías sobre la revisoría fiscal son irreconciliables. Ello se debe a que están construidas sobre aspiraciones, las que, por su propia naturaleza, responden a cosmovisiones e ideologías.</w:t>
      </w:r>
      <w:r w:rsidR="00380B2C">
        <w:t xml:space="preserve"> Nosotros hemos abogado por una intelección basada en la investigación histórica, tanto a nivel nacional como internacional.</w:t>
      </w:r>
      <w:r w:rsidR="00FB367B">
        <w:t xml:space="preserve"> Muchos hablan de la revisoría fiscal. Algunos desde sus vivencias. </w:t>
      </w:r>
      <w:r w:rsidR="00FB367B">
        <w:lastRenderedPageBreak/>
        <w:t>La gran mayoría no se ha sentado a estudiarla.</w:t>
      </w:r>
    </w:p>
    <w:p w:rsidR="002543DD" w:rsidRDefault="002543DD" w:rsidP="002543DD">
      <w:r>
        <w:t>Desde una perspectiva internacional</w:t>
      </w:r>
      <w:r w:rsidR="00FB057C">
        <w:t>,</w:t>
      </w:r>
      <w:r>
        <w:t xml:space="preserve"> las auditorías estatutarias son fundamentales para la prevención y la lucha contra las prácticas irregulares empresariales y financieras, como lo puso de presente hace ya 10 años la </w:t>
      </w:r>
      <w:hyperlink r:id="rId14" w:history="1">
        <w:r w:rsidRPr="002543DD">
          <w:rPr>
            <w:rStyle w:val="Hyperlink"/>
          </w:rPr>
          <w:t>Comunicación de la Comisión al Consejo y al Parlamento Europeo</w:t>
        </w:r>
      </w:hyperlink>
      <w:r>
        <w:t xml:space="preserve"> del 27 de septiembre de 2004, </w:t>
      </w:r>
      <w:r w:rsidR="00FB057C">
        <w:t>escrita a la luz de los daños ocasionados por Enron y Parmalat.</w:t>
      </w:r>
    </w:p>
    <w:p w:rsidR="006451E1" w:rsidRDefault="006451E1" w:rsidP="002543DD">
      <w:r>
        <w:t xml:space="preserve">El documento plantea </w:t>
      </w:r>
      <w:r w:rsidRPr="006451E1">
        <w:t>cuatro líneas “defensivas” contra las prácticas irregulares de las sociedades</w:t>
      </w:r>
      <w:r>
        <w:t xml:space="preserve">: (1) </w:t>
      </w:r>
      <w:r w:rsidR="00883E88">
        <w:t xml:space="preserve">el </w:t>
      </w:r>
      <w:r w:rsidRPr="006451E1">
        <w:t xml:space="preserve">control interno de la </w:t>
      </w:r>
      <w:proofErr w:type="gramStart"/>
      <w:r w:rsidRPr="006451E1">
        <w:t>sociedad</w:t>
      </w:r>
      <w:proofErr w:type="gramEnd"/>
      <w:r>
        <w:t>, (2) los auditores, (3) los supervisores y (4) los jueces.</w:t>
      </w:r>
    </w:p>
    <w:p w:rsidR="00ED18FD" w:rsidRDefault="00ED18FD" w:rsidP="002543DD">
      <w:r>
        <w:t xml:space="preserve">Muy poco ha avanzado nuestra legislación en la consagración de una regulación de talla internacional sobre el control interno. </w:t>
      </w:r>
      <w:r w:rsidR="00557485">
        <w:t xml:space="preserve">Desde la reforma introducida al régimen de los administradores contenida en la </w:t>
      </w:r>
      <w:hyperlink r:id="rId15" w:history="1">
        <w:r w:rsidR="00557485" w:rsidRPr="001D4E6B">
          <w:rPr>
            <w:rStyle w:val="Hyperlink"/>
          </w:rPr>
          <w:t>Ley 222 de 1995</w:t>
        </w:r>
      </w:hyperlink>
      <w:r w:rsidR="00557485">
        <w:t xml:space="preserve"> la legislación colombiana no ha hecho avances de importancia. </w:t>
      </w:r>
      <w:r>
        <w:t>Por ello las estrategias sobre la lucha contra la criminalidad están apoyadas en “pies de barro”.</w:t>
      </w:r>
      <w:r w:rsidR="00E7292D">
        <w:t xml:space="preserve"> Mientras tanto el paradigma emitido por COSO ha llegado a su </w:t>
      </w:r>
      <w:hyperlink r:id="rId16" w:history="1">
        <w:r w:rsidR="00E7292D" w:rsidRPr="0095091A">
          <w:rPr>
            <w:rStyle w:val="Hyperlink"/>
          </w:rPr>
          <w:t>segunda versión</w:t>
        </w:r>
      </w:hyperlink>
      <w:r w:rsidR="00E7292D">
        <w:t>.</w:t>
      </w:r>
      <w:r w:rsidR="004D2C21">
        <w:t xml:space="preserve"> </w:t>
      </w:r>
    </w:p>
    <w:p w:rsidR="00D82992" w:rsidRDefault="00A503A9" w:rsidP="002543DD">
      <w:r>
        <w:t>La adopción de las normas internacionales de aseguramiento aumentar</w:t>
      </w:r>
      <w:r w:rsidR="009C34A3">
        <w:t>ía la calidad del examen de los revisores fiscales y, consecuentemente, la de sus informes. Esto es necesario para asegurar el debido aporte de esta “segunda línea de defensa”.</w:t>
      </w:r>
      <w:r w:rsidR="00204F73">
        <w:t xml:space="preserve"> El Gobierno no debería dejarse enredar. La Ley 1314 de 2009 le trazó claramente el camino.</w:t>
      </w:r>
    </w:p>
    <w:p w:rsidR="00204F73" w:rsidRPr="00204F73" w:rsidRDefault="00204F73" w:rsidP="00204F73">
      <w:pPr>
        <w:jc w:val="right"/>
        <w:rPr>
          <w:i/>
        </w:rPr>
      </w:pPr>
      <w:r w:rsidRPr="00204F73">
        <w:rPr>
          <w:i/>
        </w:rPr>
        <w:t>Hernando Bermúdez Gómez</w:t>
      </w:r>
    </w:p>
    <w:sectPr w:rsidR="00204F73" w:rsidRPr="00204F73" w:rsidSect="007F1D2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57" w:rsidRDefault="00CA4E57" w:rsidP="00EE7812">
      <w:pPr>
        <w:spacing w:after="0" w:line="240" w:lineRule="auto"/>
      </w:pPr>
      <w:r>
        <w:separator/>
      </w:r>
    </w:p>
  </w:endnote>
  <w:endnote w:type="continuationSeparator" w:id="0">
    <w:p w:rsidR="00CA4E57" w:rsidRDefault="00CA4E5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F0" w:rsidRDefault="00DB23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F0" w:rsidRDefault="00DB23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F0" w:rsidRDefault="00DB23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57" w:rsidRDefault="00CA4E57" w:rsidP="00EE7812">
      <w:pPr>
        <w:spacing w:after="0" w:line="240" w:lineRule="auto"/>
      </w:pPr>
      <w:r>
        <w:separator/>
      </w:r>
    </w:p>
  </w:footnote>
  <w:footnote w:type="continuationSeparator" w:id="0">
    <w:p w:rsidR="00CA4E57" w:rsidRDefault="00CA4E5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F0" w:rsidRDefault="00DB23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B85577">
      <w:t>1185</w:t>
    </w:r>
    <w:r>
      <w:t xml:space="preserve">, </w:t>
    </w:r>
    <w:r w:rsidR="000C1253">
      <w:t xml:space="preserve">febrero </w:t>
    </w:r>
    <w:r w:rsidR="00DB23F0">
      <w:t>16</w:t>
    </w:r>
    <w:bookmarkStart w:id="0" w:name="_GoBack"/>
    <w:bookmarkEnd w:id="0"/>
    <w:r w:rsidR="0015507D">
      <w:t xml:space="preserve"> </w:t>
    </w:r>
    <w:r w:rsidR="007D018A">
      <w:t>de 2015</w:t>
    </w:r>
  </w:p>
  <w:p w:rsidR="00D945A4" w:rsidRDefault="00CA4E5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F0" w:rsidRDefault="00DB23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30735"/>
    <w:rsid w:val="00130BDE"/>
    <w:rsid w:val="00130C3D"/>
    <w:rsid w:val="00130D69"/>
    <w:rsid w:val="001311CA"/>
    <w:rsid w:val="0013166E"/>
    <w:rsid w:val="00131A5F"/>
    <w:rsid w:val="00131AED"/>
    <w:rsid w:val="0013238E"/>
    <w:rsid w:val="00132B20"/>
    <w:rsid w:val="00132B2E"/>
    <w:rsid w:val="00132E05"/>
    <w:rsid w:val="001335EF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A4B"/>
    <w:rsid w:val="00154E09"/>
    <w:rsid w:val="0015507D"/>
    <w:rsid w:val="00155AB1"/>
    <w:rsid w:val="00155B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16B5"/>
    <w:rsid w:val="001E191F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822"/>
    <w:rsid w:val="002C618F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412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0EA0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5C9"/>
    <w:rsid w:val="00574444"/>
    <w:rsid w:val="00574686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C67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828"/>
    <w:rsid w:val="005E6CA2"/>
    <w:rsid w:val="005E6CD2"/>
    <w:rsid w:val="005F0C42"/>
    <w:rsid w:val="005F115B"/>
    <w:rsid w:val="005F11A0"/>
    <w:rsid w:val="005F11A5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3AE"/>
    <w:rsid w:val="00631664"/>
    <w:rsid w:val="00631C34"/>
    <w:rsid w:val="0063237D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8A7"/>
    <w:rsid w:val="006A29E3"/>
    <w:rsid w:val="006A3751"/>
    <w:rsid w:val="006A37C9"/>
    <w:rsid w:val="006A3BC4"/>
    <w:rsid w:val="006A3FF5"/>
    <w:rsid w:val="006A46F2"/>
    <w:rsid w:val="006A493C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538E"/>
    <w:rsid w:val="006C599E"/>
    <w:rsid w:val="006C61E5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99"/>
    <w:rsid w:val="007013DC"/>
    <w:rsid w:val="00701CC9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667E"/>
    <w:rsid w:val="00746E08"/>
    <w:rsid w:val="0074713C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27F8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701"/>
    <w:rsid w:val="008327DC"/>
    <w:rsid w:val="00832A31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E57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042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75"/>
    <w:rsid w:val="00950D7F"/>
    <w:rsid w:val="0095169E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5FE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D03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6F00"/>
    <w:rsid w:val="009B7537"/>
    <w:rsid w:val="009B7917"/>
    <w:rsid w:val="009B7A05"/>
    <w:rsid w:val="009B7E53"/>
    <w:rsid w:val="009C0C1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E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5D44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E95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59"/>
    <w:rsid w:val="00AF44CD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D1A"/>
    <w:rsid w:val="00B51AF8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3C35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401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293C"/>
    <w:rsid w:val="00C729B5"/>
    <w:rsid w:val="00C73418"/>
    <w:rsid w:val="00C74477"/>
    <w:rsid w:val="00C747D4"/>
    <w:rsid w:val="00C74A56"/>
    <w:rsid w:val="00C74FE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D8D"/>
    <w:rsid w:val="00CA4663"/>
    <w:rsid w:val="00CA46B4"/>
    <w:rsid w:val="00CA4B23"/>
    <w:rsid w:val="00CA4E57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23F0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084"/>
    <w:rsid w:val="00E82475"/>
    <w:rsid w:val="00E82AF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414D"/>
    <w:rsid w:val="00F0435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636B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922"/>
    <w:rsid w:val="00F93CA0"/>
    <w:rsid w:val="00F9478A"/>
    <w:rsid w:val="00F94ADF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E78"/>
    <w:rsid w:val="00FA61E0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imerodemarzo.wordpress.com/cronograma-del-evento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14-proyectodedecreto-aseguramiento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so.org/documents/990025P_Executive_Summary_final_may20_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PL_ARMONIZACION_CONTABLE_TEXTO_FINAL_PARA_CONSULTA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1995-ley-222.do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tcp.gov.co/athena/ctcp/info_plan.php?DOCS_TOPIC=1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://eur-lex.europa.eu/legal-content/ES/TXT/PDF/?uri=CELEX:52004DC0611&amp;from=ES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7FC4396-1BFC-458F-BB47-3B1A8750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2015-02-15T21:19:00Z</dcterms:created>
  <dcterms:modified xsi:type="dcterms:W3CDTF">2015-02-16T21:01:00Z</dcterms:modified>
</cp:coreProperties>
</file>