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DD" w:rsidRPr="008323DD" w:rsidRDefault="008323DD" w:rsidP="008323D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8323DD">
        <w:rPr>
          <w:position w:val="-8"/>
          <w:sz w:val="120"/>
        </w:rPr>
        <w:t>C</w:t>
      </w:r>
    </w:p>
    <w:p w:rsidR="009B39CE" w:rsidRDefault="008323DD" w:rsidP="009B6CD1">
      <w:r>
        <w:t>on imprevisión</w:t>
      </w:r>
      <w:r w:rsidR="002D7065">
        <w:t xml:space="preserve">, el legislativo colombiano autorizó a varias entidades, entre ellas ministerios y superintendencias, a expedir normas de contabilidad. Esto originó una serie de cuerpos normativos desarticulados entre sí, que en ocasiones implicaban para los preparadores </w:t>
      </w:r>
      <w:r w:rsidR="001543EC">
        <w:t xml:space="preserve">una multiplicidad de reportes bajo estructuras diferentes. Bajo la vigencia del </w:t>
      </w:r>
      <w:hyperlink r:id="rId9" w:history="1">
        <w:r w:rsidR="001543EC" w:rsidRPr="0036242F">
          <w:rPr>
            <w:rStyle w:val="Hyperlink"/>
          </w:rPr>
          <w:t>Decreto reglamentario 2160 de 1986</w:t>
        </w:r>
      </w:hyperlink>
      <w:r w:rsidR="001543EC">
        <w:t>, tales autoridades estimaron que las disposiciones de este decreto solo tenían efecto residual respecto de las normas expedidas por ellos.</w:t>
      </w:r>
      <w:r w:rsidR="0036242F">
        <w:t xml:space="preserve"> El </w:t>
      </w:r>
      <w:hyperlink r:id="rId10" w:history="1">
        <w:r w:rsidR="0036242F" w:rsidRPr="0036242F">
          <w:rPr>
            <w:rStyle w:val="Hyperlink"/>
          </w:rPr>
          <w:t>Decreto reglamentario 2649 de 1993</w:t>
        </w:r>
      </w:hyperlink>
      <w:r w:rsidR="0036242F">
        <w:t xml:space="preserve"> insertó en nuestra legislación un marco conceptual, unas normas técnicas generales y acuñó los conceptos de normas técnicas específicas y normas técnicas especiales. Dispuso que las normas técnicas especiales </w:t>
      </w:r>
      <w:r w:rsidR="007A5089">
        <w:t>debieran</w:t>
      </w:r>
      <w:r w:rsidR="0036242F">
        <w:t xml:space="preserve"> respetar el marco conceptual y las normas técnicas generales, pero podían apartarse de las normas técnicas específicas.</w:t>
      </w:r>
      <w:r w:rsidR="007A5089">
        <w:t xml:space="preserve"> Esto no siempre fue acatado. Algunas superintendencias mediante resoluciones y circulares se </w:t>
      </w:r>
      <w:r w:rsidR="00B3789B">
        <w:t>alejaron</w:t>
      </w:r>
      <w:r w:rsidR="007A5089">
        <w:t xml:space="preserve"> de las reglas consagradas en el citado decreto 2649.</w:t>
      </w:r>
      <w:r w:rsidR="00AC5DC0">
        <w:t xml:space="preserve"> El clamor contra la diversidad de planes únicos de cuentas fue uno de los </w:t>
      </w:r>
      <w:hyperlink r:id="rId11" w:history="1">
        <w:r w:rsidR="00AC5DC0" w:rsidRPr="007543FB">
          <w:rPr>
            <w:rStyle w:val="Hyperlink"/>
          </w:rPr>
          <w:t>motivos</w:t>
        </w:r>
      </w:hyperlink>
      <w:r w:rsidR="00AC5DC0">
        <w:t xml:space="preserve"> que incentivó la adopción de la que hoy es la </w:t>
      </w:r>
      <w:hyperlink r:id="rId12" w:history="1">
        <w:r w:rsidR="00AC5DC0" w:rsidRPr="007543FB">
          <w:rPr>
            <w:rStyle w:val="Hyperlink"/>
          </w:rPr>
          <w:t>Ley 1314 de 2009</w:t>
        </w:r>
      </w:hyperlink>
      <w:r w:rsidR="00AC5DC0">
        <w:t>.</w:t>
      </w:r>
      <w:r w:rsidR="000A37CC">
        <w:t xml:space="preserve"> Ésta</w:t>
      </w:r>
      <w:r w:rsidR="00186C0D">
        <w:t xml:space="preserve"> señaló</w:t>
      </w:r>
      <w:r w:rsidR="000A37CC">
        <w:t>,</w:t>
      </w:r>
      <w:r w:rsidR="00186C0D">
        <w:t xml:space="preserve"> en su artículo 3° que las normas de contabilidad y de información financiera son un “(…) </w:t>
      </w:r>
      <w:r w:rsidR="00186C0D" w:rsidRPr="00186C0D">
        <w:rPr>
          <w:i/>
        </w:rPr>
        <w:t>sistema compuesto por postulados, principios, limitaciones, conceptos, normas técnicas generales, normas técnicas específicas, normas técnicas especiales, normas técnicas sobre revelaciones</w:t>
      </w:r>
      <w:r w:rsidR="00186C0D">
        <w:rPr>
          <w:i/>
        </w:rPr>
        <w:t>,</w:t>
      </w:r>
      <w:r w:rsidR="00186C0D" w:rsidRPr="00186C0D">
        <w:rPr>
          <w:i/>
        </w:rPr>
        <w:t xml:space="preserve"> normas técnicas sobre registros y libros, interpretaciones y guías</w:t>
      </w:r>
      <w:r w:rsidR="00186C0D">
        <w:t xml:space="preserve"> </w:t>
      </w:r>
      <w:r w:rsidR="00186C0D">
        <w:lastRenderedPageBreak/>
        <w:t>(…)” y dispuso, en su artículo 10°</w:t>
      </w:r>
      <w:r w:rsidR="000A37CC">
        <w:t>,</w:t>
      </w:r>
      <w:r w:rsidR="00186C0D">
        <w:t xml:space="preserve"> que las autoridades de supervisión podrán “(…) </w:t>
      </w:r>
      <w:r w:rsidR="00186C0D" w:rsidRPr="00186C0D">
        <w:rPr>
          <w:i/>
        </w:rPr>
        <w:t>Expedir normas técnicas especiales, interpretaciones y guías en materia de contabilidad y de información financiera y de aseguramiento de información</w:t>
      </w:r>
      <w:r w:rsidR="00186C0D">
        <w:t xml:space="preserve">.(…), advirtiendo que (…) </w:t>
      </w:r>
      <w:r w:rsidR="00186C0D" w:rsidRPr="00186C0D">
        <w:rPr>
          <w:i/>
        </w:rPr>
        <w:t>Estas actuaciones administrativas, deberán producirse dentro de los límites fijados en la Constitución, en la presente Ley y en las normas que la reglamenten y desarrollen</w:t>
      </w:r>
      <w:r w:rsidR="00186C0D">
        <w:t>. (…)”</w:t>
      </w:r>
      <w:r w:rsidR="0059296A">
        <w:t>. Así las cosas</w:t>
      </w:r>
      <w:r w:rsidR="000A37CC">
        <w:t>,</w:t>
      </w:r>
      <w:r w:rsidR="0059296A">
        <w:t xml:space="preserve"> las normas técnicas especiales ahora están subordinadas tanto al marco conceptual, como a las normas técnicas generales y a cualquier otra que las autoridades de regulación expidan en desarrollo de la ley aludida.</w:t>
      </w:r>
      <w:r w:rsidR="009B6CD1">
        <w:t xml:space="preserve"> Ahora bien, como donde el legislador no distingue no cabe al intérprete distinguir, según el artículo 6° de la nombrada ley, las autoridades de regulación, a instancia de la autoridad de normalización, pueden expedir toda clase de “(…) </w:t>
      </w:r>
      <w:r w:rsidR="009B6CD1" w:rsidRPr="000A37CC">
        <w:rPr>
          <w:i/>
        </w:rPr>
        <w:t>principios, normas, interpretaciones y guías de contabilidad e información financiera y de aseguramiento de información</w:t>
      </w:r>
      <w:r w:rsidR="009B6CD1">
        <w:t xml:space="preserve"> (…)”.</w:t>
      </w:r>
      <w:r w:rsidR="009B39CE">
        <w:t xml:space="preserve"> El Ejecutivo no ha entendido esto. El 20 de febrero pasado, mediante el </w:t>
      </w:r>
      <w:hyperlink r:id="rId13" w:history="1">
        <w:r w:rsidR="009B39CE" w:rsidRPr="009B39CE">
          <w:rPr>
            <w:rStyle w:val="Hyperlink"/>
          </w:rPr>
          <w:t>Decreto reglamentario 301 de 2015</w:t>
        </w:r>
      </w:hyperlink>
      <w:r w:rsidR="009B39CE">
        <w:t xml:space="preserve">, expidió normas para “(…) </w:t>
      </w:r>
      <w:r w:rsidR="009B39CE" w:rsidRPr="009B39CE">
        <w:rPr>
          <w:i/>
        </w:rPr>
        <w:t>establecer estándares para la revelación de la información financiera de las Administradoras de Riesgos Laborales, los cuales deben ser implementados, adoptados y ejecutados con el fin de que dicha información se presente adecuadamente en los estados financieros y sus notas, y sea posible su análisis, interpretación, simplificación, abstracción y agrupación</w:t>
      </w:r>
      <w:r w:rsidR="009B39CE">
        <w:t xml:space="preserve"> (…)”.</w:t>
      </w:r>
    </w:p>
    <w:p w:rsidR="009B39CE" w:rsidRPr="009B39CE" w:rsidRDefault="009B39CE" w:rsidP="009B39CE">
      <w:pPr>
        <w:jc w:val="right"/>
        <w:rPr>
          <w:i/>
        </w:rPr>
      </w:pPr>
      <w:r w:rsidRPr="009B39CE">
        <w:rPr>
          <w:i/>
        </w:rPr>
        <w:t>Hernando Bermúdez Gómez</w:t>
      </w:r>
    </w:p>
    <w:sectPr w:rsidR="009B39CE" w:rsidRPr="009B39CE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4A" w:rsidRDefault="00ED184A" w:rsidP="00EE7812">
      <w:pPr>
        <w:spacing w:after="0" w:line="240" w:lineRule="auto"/>
      </w:pPr>
      <w:r>
        <w:separator/>
      </w:r>
    </w:p>
  </w:endnote>
  <w:endnote w:type="continuationSeparator" w:id="0">
    <w:p w:rsidR="00ED184A" w:rsidRDefault="00ED184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4A" w:rsidRDefault="00ED184A" w:rsidP="00EE7812">
      <w:pPr>
        <w:spacing w:after="0" w:line="240" w:lineRule="auto"/>
      </w:pPr>
      <w:r>
        <w:separator/>
      </w:r>
    </w:p>
  </w:footnote>
  <w:footnote w:type="continuationSeparator" w:id="0">
    <w:p w:rsidR="00ED184A" w:rsidRDefault="00ED184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6D6C86">
      <w:t>1198</w:t>
    </w:r>
    <w:r>
      <w:t xml:space="preserve">, </w:t>
    </w:r>
    <w:r w:rsidR="004845D0">
      <w:t>marzo</w:t>
    </w:r>
    <w:r w:rsidR="000C1253">
      <w:t xml:space="preserve"> </w:t>
    </w:r>
    <w:r w:rsidR="00E82D6E">
      <w:t>2</w:t>
    </w:r>
    <w:r w:rsidR="0015507D">
      <w:t xml:space="preserve"> </w:t>
    </w:r>
    <w:r w:rsidR="007D018A">
      <w:t>de 2015</w:t>
    </w:r>
  </w:p>
  <w:p w:rsidR="00D945A4" w:rsidRDefault="00ED184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035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3E5E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7CC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4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A16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1CA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527"/>
    <w:rsid w:val="00161827"/>
    <w:rsid w:val="0016207A"/>
    <w:rsid w:val="001621F4"/>
    <w:rsid w:val="00162EEC"/>
    <w:rsid w:val="00163104"/>
    <w:rsid w:val="0016325B"/>
    <w:rsid w:val="00163346"/>
    <w:rsid w:val="001635A4"/>
    <w:rsid w:val="00163A79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97D76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1997"/>
    <w:rsid w:val="001D26A4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16B5"/>
    <w:rsid w:val="001E191F"/>
    <w:rsid w:val="001E2A48"/>
    <w:rsid w:val="001E2D9E"/>
    <w:rsid w:val="001E4397"/>
    <w:rsid w:val="001E4407"/>
    <w:rsid w:val="001E5433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75"/>
    <w:rsid w:val="001F4CA6"/>
    <w:rsid w:val="001F583A"/>
    <w:rsid w:val="001F5CED"/>
    <w:rsid w:val="001F5D91"/>
    <w:rsid w:val="001F6456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37BCB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242F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0B2C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274"/>
    <w:rsid w:val="003E0305"/>
    <w:rsid w:val="003E06AC"/>
    <w:rsid w:val="003E0707"/>
    <w:rsid w:val="003E088B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4D9"/>
    <w:rsid w:val="0048162C"/>
    <w:rsid w:val="00481852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4B26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5504"/>
    <w:rsid w:val="005055F5"/>
    <w:rsid w:val="0050575F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203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2C67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99C"/>
    <w:rsid w:val="00635485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623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8BB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1399"/>
    <w:rsid w:val="007013DC"/>
    <w:rsid w:val="00701CC9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1A00"/>
    <w:rsid w:val="0076257E"/>
    <w:rsid w:val="007626A1"/>
    <w:rsid w:val="007626E8"/>
    <w:rsid w:val="00762A73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AEE"/>
    <w:rsid w:val="007B632B"/>
    <w:rsid w:val="007B6459"/>
    <w:rsid w:val="007B72DC"/>
    <w:rsid w:val="007C0031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8C1"/>
    <w:rsid w:val="00820FB1"/>
    <w:rsid w:val="0082134E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76E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AF"/>
    <w:rsid w:val="008821D7"/>
    <w:rsid w:val="0088252A"/>
    <w:rsid w:val="00882723"/>
    <w:rsid w:val="0088278B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84D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B3"/>
    <w:rsid w:val="008E6DEF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0EC"/>
    <w:rsid w:val="00970556"/>
    <w:rsid w:val="00971244"/>
    <w:rsid w:val="00971579"/>
    <w:rsid w:val="00971D90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D03"/>
    <w:rsid w:val="00987E09"/>
    <w:rsid w:val="00987F10"/>
    <w:rsid w:val="00987F6E"/>
    <w:rsid w:val="0099019D"/>
    <w:rsid w:val="009912D3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0A0"/>
    <w:rsid w:val="00AC5403"/>
    <w:rsid w:val="00AC5D44"/>
    <w:rsid w:val="00AC5DC0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616F"/>
    <w:rsid w:val="00B3684F"/>
    <w:rsid w:val="00B373EC"/>
    <w:rsid w:val="00B3789B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BF2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2BA"/>
    <w:rsid w:val="00BA1A9A"/>
    <w:rsid w:val="00BA1ABA"/>
    <w:rsid w:val="00BA1E20"/>
    <w:rsid w:val="00BA21D3"/>
    <w:rsid w:val="00BA3103"/>
    <w:rsid w:val="00BA4E08"/>
    <w:rsid w:val="00BA57B9"/>
    <w:rsid w:val="00BA5D53"/>
    <w:rsid w:val="00BA637A"/>
    <w:rsid w:val="00BA642F"/>
    <w:rsid w:val="00BA6918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401"/>
    <w:rsid w:val="00BF4F46"/>
    <w:rsid w:val="00BF5A58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28F1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D8D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BE1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DFE"/>
    <w:rsid w:val="00CD72A5"/>
    <w:rsid w:val="00CE0186"/>
    <w:rsid w:val="00CE0373"/>
    <w:rsid w:val="00CE0378"/>
    <w:rsid w:val="00CE0A7E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0C3"/>
    <w:rsid w:val="00D123A5"/>
    <w:rsid w:val="00D12529"/>
    <w:rsid w:val="00D12DD9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B49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6AC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604D"/>
    <w:rsid w:val="00D960F8"/>
    <w:rsid w:val="00D96595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0E3B"/>
    <w:rsid w:val="00DC1619"/>
    <w:rsid w:val="00DC16E4"/>
    <w:rsid w:val="00DC1B3A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4CF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99C"/>
    <w:rsid w:val="00E36BA8"/>
    <w:rsid w:val="00E36C6B"/>
    <w:rsid w:val="00E37616"/>
    <w:rsid w:val="00E37C7C"/>
    <w:rsid w:val="00E4034E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84A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66B"/>
    <w:rsid w:val="00F7468E"/>
    <w:rsid w:val="00F74C5A"/>
    <w:rsid w:val="00F7540A"/>
    <w:rsid w:val="00F760DB"/>
    <w:rsid w:val="00F762BC"/>
    <w:rsid w:val="00F7636B"/>
    <w:rsid w:val="00F763BF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p.presidencia.gov.co/sitios/normativa/decretos/2015/Decretos2015/DECRETO%20301%20DEL%2020%20DE%20FEBRERO%20DE%202015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09-ley-13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veriana.edu.co/personales/hbermude/regulacioncontable/documentos/gaceta73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1993-decreto-264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86-decreto-2160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AC76277C-1AFB-40C9-8929-D6A5901F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2015-02-28T16:11:00Z</dcterms:created>
  <dcterms:modified xsi:type="dcterms:W3CDTF">2015-02-28T16:11:00Z</dcterms:modified>
</cp:coreProperties>
</file>