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422" w:rsidRPr="00090422" w:rsidRDefault="00090422" w:rsidP="0009042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090422">
        <w:rPr>
          <w:position w:val="-8"/>
          <w:sz w:val="123"/>
        </w:rPr>
        <w:t>P</w:t>
      </w:r>
    </w:p>
    <w:p w:rsidR="002370FB" w:rsidRPr="00234F60" w:rsidRDefault="004A13B8" w:rsidP="00090422">
      <w:r>
        <w:t xml:space="preserve">acific Rubiales parece ir camino a la quiebra. La multinacional </w:t>
      </w:r>
      <w:r w:rsidR="00090422">
        <w:t>c</w:t>
      </w:r>
      <w:r w:rsidR="00544AA0">
        <w:t>anadiense</w:t>
      </w:r>
      <w:r>
        <w:t xml:space="preserve"> </w:t>
      </w:r>
      <w:r w:rsidR="00544AA0">
        <w:t>vio</w:t>
      </w:r>
      <w:r>
        <w:t xml:space="preserve"> </w:t>
      </w:r>
      <w:r w:rsidR="002370FB">
        <w:t>s</w:t>
      </w:r>
      <w:r w:rsidR="00FE1ADA">
        <w:t>u acción desvalorizarse en un 55</w:t>
      </w:r>
      <w:r>
        <w:t>% en el 2014, un año en el cuál perdió más de 1.3 billones de dólares, equivalentes a un 31.6% de su patrimonio del año 2013. Si los resultados del</w:t>
      </w:r>
      <w:r w:rsidR="00090422">
        <w:t xml:space="preserve"> 2014 se vuelven a repetir, el patrimonio de la p</w:t>
      </w:r>
      <w:r w:rsidR="00544AA0">
        <w:t>etrolera habr</w:t>
      </w:r>
      <w:r w:rsidR="00090422">
        <w:t>á</w:t>
      </w:r>
      <w:r w:rsidR="00544AA0">
        <w:t xml:space="preserve"> desaparecido para el 2016.</w:t>
      </w:r>
      <w:r w:rsidR="002370FB">
        <w:t xml:space="preserve"> Ya en lo corrido del 2015 el precio de la acc</w:t>
      </w:r>
      <w:r w:rsidR="009C5EA9">
        <w:t xml:space="preserve">ión ha </w:t>
      </w:r>
      <w:r w:rsidR="00420197">
        <w:t>caído</w:t>
      </w:r>
      <w:r w:rsidR="00FE1ADA">
        <w:t xml:space="preserve"> un 66</w:t>
      </w:r>
      <w:r w:rsidR="009C5EA9">
        <w:t xml:space="preserve">% adicional </w:t>
      </w:r>
      <w:r w:rsidR="002370FB">
        <w:t>sobre</w:t>
      </w:r>
      <w:r w:rsidR="00090422">
        <w:t xml:space="preserve"> el precio de cierre del 31 de d</w:t>
      </w:r>
      <w:r w:rsidR="002370FB">
        <w:t xml:space="preserve">iciembre de 2014. Esto, sumado a la decisión del Gobierno de no prorrogar el contrato de operación sobre Campos Rubiales (que vence en 2016) parece tener a </w:t>
      </w:r>
      <w:r w:rsidR="002370FB" w:rsidRPr="00234F60">
        <w:t>Pacific contra la pared.</w:t>
      </w:r>
    </w:p>
    <w:p w:rsidR="00F024C6" w:rsidRDefault="00420197" w:rsidP="00F024C6">
      <w:pPr>
        <w:rPr>
          <w:rFonts w:eastAsia="Times New Roman"/>
        </w:rPr>
      </w:pPr>
      <w:r>
        <w:rPr>
          <w:bCs/>
        </w:rPr>
        <w:t>Sin embargo</w:t>
      </w:r>
      <w:r w:rsidR="00090422">
        <w:rPr>
          <w:bCs/>
        </w:rPr>
        <w:t>,</w:t>
      </w:r>
      <w:r>
        <w:rPr>
          <w:bCs/>
        </w:rPr>
        <w:t xml:space="preserve"> algunas calificadora</w:t>
      </w:r>
      <w:r w:rsidR="00234F60" w:rsidRPr="00234F60">
        <w:rPr>
          <w:bCs/>
        </w:rPr>
        <w:t xml:space="preserve">s de riesgo parecen no haber reaccionado lo suficiente. </w:t>
      </w:r>
      <w:hyperlink r:id="rId9" w:history="1">
        <w:r w:rsidR="00234F60" w:rsidRPr="006F4192">
          <w:rPr>
            <w:rStyle w:val="Hyperlink"/>
            <w:bCs/>
          </w:rPr>
          <w:t>Standard &amp; Poor's</w:t>
        </w:r>
      </w:hyperlink>
      <w:r w:rsidR="00234F60">
        <w:rPr>
          <w:bCs/>
        </w:rPr>
        <w:t xml:space="preserve"> y</w:t>
      </w:r>
      <w:r w:rsidR="00090422">
        <w:rPr>
          <w:bCs/>
        </w:rPr>
        <w:t xml:space="preserve"> </w:t>
      </w:r>
      <w:hyperlink r:id="rId10" w:history="1">
        <w:r w:rsidR="00234F60" w:rsidRPr="006F4192">
          <w:rPr>
            <w:rStyle w:val="Hyperlink"/>
            <w:bCs/>
          </w:rPr>
          <w:t>Fitch</w:t>
        </w:r>
      </w:hyperlink>
      <w:r w:rsidR="00234F60">
        <w:rPr>
          <w:bCs/>
        </w:rPr>
        <w:t xml:space="preserve"> recientemente bajaron la calificación de la compañía de BB+ a BB, </w:t>
      </w:r>
      <w:r>
        <w:rPr>
          <w:bCs/>
        </w:rPr>
        <w:t>mientras</w:t>
      </w:r>
      <w:r w:rsidR="00234F60">
        <w:rPr>
          <w:bCs/>
        </w:rPr>
        <w:t xml:space="preserve"> que </w:t>
      </w:r>
      <w:hyperlink r:id="rId11" w:history="1">
        <w:r w:rsidR="00234F60" w:rsidRPr="006F4192">
          <w:rPr>
            <w:rStyle w:val="Hyperlink"/>
            <w:bCs/>
          </w:rPr>
          <w:t>Moody´s todavía conserva la c</w:t>
        </w:r>
        <w:r w:rsidR="00090422">
          <w:rPr>
            <w:rStyle w:val="Hyperlink"/>
            <w:bCs/>
          </w:rPr>
          <w:t>alificación de Ba2 otorgada en s</w:t>
        </w:r>
        <w:r w:rsidR="00234F60" w:rsidRPr="006F4192">
          <w:rPr>
            <w:rStyle w:val="Hyperlink"/>
            <w:bCs/>
          </w:rPr>
          <w:t>eptiembre del año pasado</w:t>
        </w:r>
      </w:hyperlink>
      <w:r w:rsidR="00234F60">
        <w:rPr>
          <w:bCs/>
        </w:rPr>
        <w:t xml:space="preserve">. Para evaluar lo adecuado de estas </w:t>
      </w:r>
      <w:r w:rsidR="00090422">
        <w:rPr>
          <w:bCs/>
        </w:rPr>
        <w:t>estimaciones</w:t>
      </w:r>
      <w:r w:rsidR="00234F60">
        <w:rPr>
          <w:bCs/>
        </w:rPr>
        <w:t xml:space="preserve"> otorgadas por las tres principales calificadoras d</w:t>
      </w:r>
      <w:r w:rsidR="00090422">
        <w:rPr>
          <w:bCs/>
        </w:rPr>
        <w:t>e r</w:t>
      </w:r>
      <w:r w:rsidR="00234F60">
        <w:rPr>
          <w:bCs/>
        </w:rPr>
        <w:t xml:space="preserve">iesgo, me </w:t>
      </w:r>
      <w:r>
        <w:rPr>
          <w:bCs/>
        </w:rPr>
        <w:t>di</w:t>
      </w:r>
      <w:r w:rsidR="00234F60">
        <w:rPr>
          <w:bCs/>
        </w:rPr>
        <w:t xml:space="preserve"> a la tarea de </w:t>
      </w:r>
      <w:r w:rsidR="00090422">
        <w:rPr>
          <w:bCs/>
        </w:rPr>
        <w:t>examinar</w:t>
      </w:r>
      <w:r w:rsidR="00234F60">
        <w:rPr>
          <w:bCs/>
        </w:rPr>
        <w:t xml:space="preserve"> la probabilidad de quiebra</w:t>
      </w:r>
      <w:r w:rsidR="000C036C">
        <w:rPr>
          <w:bCs/>
        </w:rPr>
        <w:t xml:space="preserve"> futura de Pacific Rubiales utilizando el modelo de </w:t>
      </w:r>
      <w:r w:rsidR="000C036C" w:rsidRPr="00090422">
        <w:rPr>
          <w:bCs/>
          <w:i/>
        </w:rPr>
        <w:t xml:space="preserve">Expected Default </w:t>
      </w:r>
      <w:r w:rsidR="00F024C6" w:rsidRPr="00090422">
        <w:rPr>
          <w:bCs/>
          <w:i/>
        </w:rPr>
        <w:t>Frecuency</w:t>
      </w:r>
      <w:r w:rsidR="00F024C6">
        <w:rPr>
          <w:bCs/>
        </w:rPr>
        <w:t xml:space="preserve"> (EDF) expuesto por Moody´s y Vasicek dentro de la metodología de reclamos contingentes de Black-Scholes (1973) y Merton (1974) y su aplicabilidad para Colombia desarrollada en el artículo</w:t>
      </w:r>
      <w:r w:rsidR="002609D7">
        <w:rPr>
          <w:bCs/>
        </w:rPr>
        <w:t>:</w:t>
      </w:r>
      <w:r w:rsidR="00090422">
        <w:rPr>
          <w:bCs/>
        </w:rPr>
        <w:t xml:space="preserve"> </w:t>
      </w:r>
      <w:hyperlink r:id="rId12" w:history="1">
        <w:r w:rsidR="002609D7" w:rsidRPr="00090422">
          <w:rPr>
            <w:rStyle w:val="Hyperlink"/>
            <w:bCs/>
            <w:i/>
          </w:rPr>
          <w:t>“</w:t>
        </w:r>
        <w:r w:rsidR="00F024C6" w:rsidRPr="00090422">
          <w:rPr>
            <w:rStyle w:val="Hyperlink"/>
            <w:i/>
          </w:rPr>
          <w:t>Aproximación de reclamos contingentes para la predicción de riesgos de crédito en sus medidas de determinación de la distancia de default y su probabilidad de quiebra para Colombia</w:t>
        </w:r>
        <w:r w:rsidR="002609D7" w:rsidRPr="00090422">
          <w:rPr>
            <w:rStyle w:val="Hyperlink"/>
            <w:i/>
          </w:rPr>
          <w:t>”</w:t>
        </w:r>
        <w:r w:rsidR="00F024C6" w:rsidRPr="00090422">
          <w:rPr>
            <w:rStyle w:val="Hyperlink"/>
            <w:i/>
          </w:rPr>
          <w:t>.</w:t>
        </w:r>
      </w:hyperlink>
      <w:r w:rsidR="009C5EA9">
        <w:rPr>
          <w:b/>
          <w:i/>
        </w:rPr>
        <w:t xml:space="preserve"> </w:t>
      </w:r>
      <w:r w:rsidR="009C5EA9" w:rsidRPr="009C5EA9">
        <w:t>(Cruz y Vargas)</w:t>
      </w:r>
    </w:p>
    <w:p w:rsidR="004A13B8" w:rsidRDefault="00F024C6" w:rsidP="003F3EA2">
      <w:pPr>
        <w:rPr>
          <w:bCs/>
        </w:rPr>
      </w:pPr>
      <w:r>
        <w:rPr>
          <w:bCs/>
        </w:rPr>
        <w:lastRenderedPageBreak/>
        <w:t>El modelo consiste en</w:t>
      </w:r>
      <w:r w:rsidR="00547374">
        <w:rPr>
          <w:bCs/>
        </w:rPr>
        <w:t xml:space="preserve"> buscar la probabilidad que el valor de mercado de los a</w:t>
      </w:r>
      <w:r>
        <w:rPr>
          <w:bCs/>
        </w:rPr>
        <w:t xml:space="preserve">ctivos, en un tiempo futuro, cruce el punto de quiebra (o bancarrota). Al aplicar </w:t>
      </w:r>
      <w:r w:rsidR="009C5EA9">
        <w:rPr>
          <w:bCs/>
        </w:rPr>
        <w:t xml:space="preserve">este modelo, </w:t>
      </w:r>
      <w:r>
        <w:rPr>
          <w:bCs/>
        </w:rPr>
        <w:t xml:space="preserve">encontré que la probabilidad es en realidad bastante alta. En gran medida se debe al hecho que el valor de mercado del patrimonio de Pacific se </w:t>
      </w:r>
      <w:r w:rsidR="00420197">
        <w:rPr>
          <w:bCs/>
        </w:rPr>
        <w:t>sitúa</w:t>
      </w:r>
      <w:r>
        <w:rPr>
          <w:bCs/>
        </w:rPr>
        <w:t xml:space="preserve"> en menos de un 30% de su valor en libros. </w:t>
      </w:r>
      <w:r w:rsidR="00420197">
        <w:rPr>
          <w:bCs/>
        </w:rPr>
        <w:t>Por otro lado</w:t>
      </w:r>
      <w:r>
        <w:rPr>
          <w:bCs/>
        </w:rPr>
        <w:t xml:space="preserve">, los pasivos de Pacific aumentaron del 2013 al 2014. </w:t>
      </w:r>
    </w:p>
    <w:p w:rsidR="00B3412A" w:rsidRDefault="00F024C6" w:rsidP="003F3EA2">
      <w:pPr>
        <w:rPr>
          <w:bCs/>
        </w:rPr>
      </w:pPr>
      <w:r>
        <w:rPr>
          <w:bCs/>
        </w:rPr>
        <w:t xml:space="preserve">Lo anterior lleva a que actualmente la probabilidad de que Pacific quiebre en el próximo año sea de un </w:t>
      </w:r>
      <w:r w:rsidR="00420197">
        <w:rPr>
          <w:bCs/>
        </w:rPr>
        <w:t>34.80</w:t>
      </w:r>
      <w:r w:rsidR="00B3412A">
        <w:rPr>
          <w:bCs/>
        </w:rPr>
        <w:t xml:space="preserve">%, </w:t>
      </w:r>
      <w:r w:rsidR="00420197">
        <w:rPr>
          <w:bCs/>
        </w:rPr>
        <w:t>mientras</w:t>
      </w:r>
      <w:r w:rsidR="00B3412A">
        <w:rPr>
          <w:bCs/>
        </w:rPr>
        <w:t xml:space="preserve"> qu</w:t>
      </w:r>
      <w:r w:rsidR="00547374">
        <w:rPr>
          <w:bCs/>
        </w:rPr>
        <w:t>e la probabilidad de que quiebre</w:t>
      </w:r>
      <w:r w:rsidR="009C5EA9">
        <w:rPr>
          <w:bCs/>
        </w:rPr>
        <w:t xml:space="preserve"> en los próximos 2 años, sea de </w:t>
      </w:r>
      <w:r w:rsidR="00420197">
        <w:rPr>
          <w:bCs/>
        </w:rPr>
        <w:t>un 52.87</w:t>
      </w:r>
      <w:r w:rsidR="00B3412A">
        <w:rPr>
          <w:bCs/>
        </w:rPr>
        <w:t xml:space="preserve">%. Si bien estos </w:t>
      </w:r>
      <w:hyperlink r:id="rId13" w:history="1">
        <w:r w:rsidR="00B3412A" w:rsidRPr="007A3A8F">
          <w:rPr>
            <w:rStyle w:val="Hyperlink"/>
            <w:bCs/>
          </w:rPr>
          <w:t>resultados</w:t>
        </w:r>
      </w:hyperlink>
      <w:r w:rsidR="00B3412A">
        <w:rPr>
          <w:bCs/>
        </w:rPr>
        <w:t xml:space="preserve"> pueden </w:t>
      </w:r>
      <w:r w:rsidR="00420197">
        <w:rPr>
          <w:bCs/>
        </w:rPr>
        <w:t xml:space="preserve">variar </w:t>
      </w:r>
      <w:r w:rsidR="00B3412A">
        <w:rPr>
          <w:bCs/>
        </w:rPr>
        <w:t>dependiendo del cambio de las variables del mercado (</w:t>
      </w:r>
      <w:r w:rsidR="00420197">
        <w:rPr>
          <w:bCs/>
        </w:rPr>
        <w:t>específicamente el precio del WTI), lo más probable</w:t>
      </w:r>
      <w:r w:rsidR="00B3412A">
        <w:rPr>
          <w:bCs/>
        </w:rPr>
        <w:t xml:space="preserve"> </w:t>
      </w:r>
      <w:r w:rsidR="00420197">
        <w:rPr>
          <w:bCs/>
        </w:rPr>
        <w:t xml:space="preserve">es </w:t>
      </w:r>
      <w:r w:rsidR="00B3412A">
        <w:rPr>
          <w:bCs/>
        </w:rPr>
        <w:t>que Pacific Rubiales haya quebrado antes de que se venza el contr</w:t>
      </w:r>
      <w:r w:rsidR="00420197">
        <w:rPr>
          <w:bCs/>
        </w:rPr>
        <w:t>ato con Campos Rubiales en 2016 (en los próximos 2 años).</w:t>
      </w:r>
      <w:r w:rsidR="00B3412A">
        <w:rPr>
          <w:bCs/>
        </w:rPr>
        <w:t xml:space="preserve"> </w:t>
      </w:r>
    </w:p>
    <w:p w:rsidR="00A13E61" w:rsidRPr="005E53EC" w:rsidRDefault="00B3412A" w:rsidP="00B3412A">
      <w:pPr>
        <w:rPr>
          <w:rFonts w:cs="Arial"/>
          <w:color w:val="000000"/>
        </w:rPr>
      </w:pPr>
      <w:r>
        <w:rPr>
          <w:bCs/>
        </w:rPr>
        <w:t>La gran pregunta</w:t>
      </w:r>
      <w:r w:rsidR="009C5EA9">
        <w:rPr>
          <w:bCs/>
        </w:rPr>
        <w:t xml:space="preserve"> a hacerse entonces</w:t>
      </w:r>
      <w:r>
        <w:rPr>
          <w:bCs/>
        </w:rPr>
        <w:t xml:space="preserve"> es: ¿</w:t>
      </w:r>
      <w:r w:rsidR="00420197">
        <w:rPr>
          <w:bCs/>
        </w:rPr>
        <w:t>por qué las tres calificadora</w:t>
      </w:r>
      <w:r>
        <w:rPr>
          <w:bCs/>
        </w:rPr>
        <w:t xml:space="preserve">s no le han bajado el </w:t>
      </w:r>
      <w:r w:rsidRPr="009E4E24">
        <w:rPr>
          <w:bCs/>
          <w:i/>
        </w:rPr>
        <w:t>rating</w:t>
      </w:r>
      <w:r>
        <w:rPr>
          <w:bCs/>
        </w:rPr>
        <w:t xml:space="preserve"> de los bonos de Pacific a su justa calificación? Con las anteriormente mencionadas</w:t>
      </w:r>
      <w:r w:rsidR="007A4761">
        <w:rPr>
          <w:bCs/>
        </w:rPr>
        <w:t xml:space="preserve"> probabilidades de quiebra, la calificación de Pacific se debería encontrar en grado especulativo “C” y no en las que se encuentran actualmente. </w:t>
      </w:r>
      <w:r w:rsidR="00420197">
        <w:rPr>
          <w:bCs/>
        </w:rPr>
        <w:t>Mientras</w:t>
      </w:r>
      <w:r w:rsidR="007A4761">
        <w:rPr>
          <w:bCs/>
        </w:rPr>
        <w:t xml:space="preserve"> tanto, los tenedores de </w:t>
      </w:r>
      <w:r w:rsidR="00A164C6">
        <w:rPr>
          <w:bCs/>
        </w:rPr>
        <w:t xml:space="preserve">bonos y accionistas de Pacific son los que </w:t>
      </w:r>
      <w:r w:rsidR="007A4761">
        <w:rPr>
          <w:bCs/>
        </w:rPr>
        <w:t>se encuentran asumiendo el riesgo y posibles pérdidas ante la falt</w:t>
      </w:r>
      <w:r w:rsidR="009E4E24">
        <w:rPr>
          <w:bCs/>
        </w:rPr>
        <w:t>a de reacción por parte de las c</w:t>
      </w:r>
      <w:r w:rsidR="007A4761">
        <w:rPr>
          <w:bCs/>
        </w:rPr>
        <w:t xml:space="preserve">alificadoras. </w:t>
      </w:r>
    </w:p>
    <w:p w:rsidR="005D4AB9" w:rsidRPr="002D138F" w:rsidRDefault="00557C73" w:rsidP="009E54D7">
      <w:pPr>
        <w:jc w:val="right"/>
      </w:pPr>
      <w:r>
        <w:rPr>
          <w:i/>
          <w:iCs/>
        </w:rPr>
        <w:t>Jaime Vargas Vives</w:t>
      </w:r>
    </w:p>
    <w:sectPr w:rsidR="005D4AB9" w:rsidRPr="002D138F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97" w:rsidRDefault="00C63497" w:rsidP="00EE7812">
      <w:pPr>
        <w:spacing w:after="0" w:line="240" w:lineRule="auto"/>
      </w:pPr>
      <w:r>
        <w:separator/>
      </w:r>
    </w:p>
  </w:endnote>
  <w:endnote w:type="continuationSeparator" w:id="0">
    <w:p w:rsidR="00C63497" w:rsidRDefault="00C6349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9" w:rsidRDefault="009C5EA9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97" w:rsidRDefault="00C63497" w:rsidP="00EE7812">
      <w:pPr>
        <w:spacing w:after="0" w:line="240" w:lineRule="auto"/>
      </w:pPr>
      <w:r>
        <w:separator/>
      </w:r>
    </w:p>
  </w:footnote>
  <w:footnote w:type="continuationSeparator" w:id="0">
    <w:p w:rsidR="00C63497" w:rsidRDefault="00C6349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EA9" w:rsidRDefault="009C5EA9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9C5EA9" w:rsidRDefault="009C5EA9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C5EA9" w:rsidRDefault="0042019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12</w:t>
    </w:r>
    <w:r w:rsidR="00090422">
      <w:t>75</w:t>
    </w:r>
    <w:r>
      <w:t>, abril 20</w:t>
    </w:r>
    <w:r w:rsidR="009C5EA9">
      <w:t xml:space="preserve"> de 2015</w:t>
    </w:r>
  </w:p>
  <w:p w:rsidR="009C5EA9" w:rsidRDefault="00C6349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 w14:anchorId="1BE4C6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1A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05F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422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B60"/>
    <w:rsid w:val="00095D83"/>
    <w:rsid w:val="00096461"/>
    <w:rsid w:val="0009648E"/>
    <w:rsid w:val="000968BF"/>
    <w:rsid w:val="00096A25"/>
    <w:rsid w:val="00096B87"/>
    <w:rsid w:val="00096E09"/>
    <w:rsid w:val="00097261"/>
    <w:rsid w:val="000972A5"/>
    <w:rsid w:val="000976AA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B5B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36C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C7D03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8C7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9E7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6F1E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58A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C7FF8"/>
    <w:rsid w:val="001D0135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E95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1F3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27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AF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A4"/>
    <w:rsid w:val="002342F4"/>
    <w:rsid w:val="0023434D"/>
    <w:rsid w:val="0023462B"/>
    <w:rsid w:val="00234F5C"/>
    <w:rsid w:val="00234F60"/>
    <w:rsid w:val="0023573C"/>
    <w:rsid w:val="00236443"/>
    <w:rsid w:val="00236877"/>
    <w:rsid w:val="00236964"/>
    <w:rsid w:val="00236971"/>
    <w:rsid w:val="00236D37"/>
    <w:rsid w:val="002370FB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2D6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3DA"/>
    <w:rsid w:val="00257C66"/>
    <w:rsid w:val="00257F04"/>
    <w:rsid w:val="00257F4B"/>
    <w:rsid w:val="0026022D"/>
    <w:rsid w:val="00260965"/>
    <w:rsid w:val="002609D7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459"/>
    <w:rsid w:val="0028558C"/>
    <w:rsid w:val="00285726"/>
    <w:rsid w:val="00286511"/>
    <w:rsid w:val="0028657B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95B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2F7AD0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8FE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D7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47F2A"/>
    <w:rsid w:val="0035021B"/>
    <w:rsid w:val="00350239"/>
    <w:rsid w:val="003507E5"/>
    <w:rsid w:val="003509D0"/>
    <w:rsid w:val="00350A52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3EA2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197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DC3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1FFE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7DA"/>
    <w:rsid w:val="00466A45"/>
    <w:rsid w:val="00467486"/>
    <w:rsid w:val="00467931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B3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B45"/>
    <w:rsid w:val="00496F5E"/>
    <w:rsid w:val="0049789D"/>
    <w:rsid w:val="00497AA9"/>
    <w:rsid w:val="00497FC5"/>
    <w:rsid w:val="004A01CD"/>
    <w:rsid w:val="004A10B5"/>
    <w:rsid w:val="004A131B"/>
    <w:rsid w:val="004A13B8"/>
    <w:rsid w:val="004A1DF6"/>
    <w:rsid w:val="004A1E1C"/>
    <w:rsid w:val="004A1E53"/>
    <w:rsid w:val="004A2461"/>
    <w:rsid w:val="004A24DB"/>
    <w:rsid w:val="004A2768"/>
    <w:rsid w:val="004A2D7F"/>
    <w:rsid w:val="004A2F5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6B14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1A53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7FF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AA0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374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67AF"/>
    <w:rsid w:val="00557888"/>
    <w:rsid w:val="00557B1B"/>
    <w:rsid w:val="00557C55"/>
    <w:rsid w:val="00557C73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38BA"/>
    <w:rsid w:val="005846AB"/>
    <w:rsid w:val="005846BC"/>
    <w:rsid w:val="0058499F"/>
    <w:rsid w:val="00584D39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0F6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29CC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18B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6C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0D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3EC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6AA"/>
    <w:rsid w:val="006016F0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174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3B9C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373"/>
    <w:rsid w:val="006605F3"/>
    <w:rsid w:val="00660C7C"/>
    <w:rsid w:val="0066142A"/>
    <w:rsid w:val="006617EC"/>
    <w:rsid w:val="00661A36"/>
    <w:rsid w:val="00661C29"/>
    <w:rsid w:val="0066283A"/>
    <w:rsid w:val="00662D55"/>
    <w:rsid w:val="00662FE8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4FB"/>
    <w:rsid w:val="00670ACD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6F27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1E5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176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192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311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33A"/>
    <w:rsid w:val="0071272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39F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E7A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033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3A8F"/>
    <w:rsid w:val="007A4136"/>
    <w:rsid w:val="007A4165"/>
    <w:rsid w:val="007A4761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AE1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D30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74A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C2E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0BC"/>
    <w:rsid w:val="008141A0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B67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A7C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26E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5EE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548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076C3"/>
    <w:rsid w:val="0091051D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3B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5F6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3E2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4F25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EA9"/>
    <w:rsid w:val="009C5FD0"/>
    <w:rsid w:val="009C60F1"/>
    <w:rsid w:val="009C6773"/>
    <w:rsid w:val="009C67E1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6FF6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4E24"/>
    <w:rsid w:val="009E52EC"/>
    <w:rsid w:val="009E54D7"/>
    <w:rsid w:val="009E5648"/>
    <w:rsid w:val="009E58A5"/>
    <w:rsid w:val="009E61DF"/>
    <w:rsid w:val="009E632D"/>
    <w:rsid w:val="009E6490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973"/>
    <w:rsid w:val="009F7A2C"/>
    <w:rsid w:val="00A003CE"/>
    <w:rsid w:val="00A0048A"/>
    <w:rsid w:val="00A00763"/>
    <w:rsid w:val="00A00985"/>
    <w:rsid w:val="00A009BF"/>
    <w:rsid w:val="00A00CA0"/>
    <w:rsid w:val="00A00F02"/>
    <w:rsid w:val="00A012E4"/>
    <w:rsid w:val="00A014F0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028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E61"/>
    <w:rsid w:val="00A13F3F"/>
    <w:rsid w:val="00A140DD"/>
    <w:rsid w:val="00A14636"/>
    <w:rsid w:val="00A14AEC"/>
    <w:rsid w:val="00A1508B"/>
    <w:rsid w:val="00A15782"/>
    <w:rsid w:val="00A15DF5"/>
    <w:rsid w:val="00A1605F"/>
    <w:rsid w:val="00A164C6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815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0B0A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3E5A"/>
    <w:rsid w:val="00AC4BC4"/>
    <w:rsid w:val="00AC5026"/>
    <w:rsid w:val="00AC5403"/>
    <w:rsid w:val="00AC6562"/>
    <w:rsid w:val="00AC679B"/>
    <w:rsid w:val="00AC6AD3"/>
    <w:rsid w:val="00AC73BB"/>
    <w:rsid w:val="00AC77FD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88B"/>
    <w:rsid w:val="00AF1D1C"/>
    <w:rsid w:val="00AF1E4E"/>
    <w:rsid w:val="00AF2042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B99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3DFD"/>
    <w:rsid w:val="00B241C9"/>
    <w:rsid w:val="00B244FE"/>
    <w:rsid w:val="00B244FF"/>
    <w:rsid w:val="00B2477D"/>
    <w:rsid w:val="00B248BA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DF9"/>
    <w:rsid w:val="00B3412A"/>
    <w:rsid w:val="00B34182"/>
    <w:rsid w:val="00B3448F"/>
    <w:rsid w:val="00B34BED"/>
    <w:rsid w:val="00B3616F"/>
    <w:rsid w:val="00B3684F"/>
    <w:rsid w:val="00B37176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2E0B"/>
    <w:rsid w:val="00BA3103"/>
    <w:rsid w:val="00BA330B"/>
    <w:rsid w:val="00BA36B4"/>
    <w:rsid w:val="00BA3D37"/>
    <w:rsid w:val="00BA4388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DE4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C9A"/>
    <w:rsid w:val="00BD4EB8"/>
    <w:rsid w:val="00BD555A"/>
    <w:rsid w:val="00BD577C"/>
    <w:rsid w:val="00BD6C0F"/>
    <w:rsid w:val="00BD6DFA"/>
    <w:rsid w:val="00BD71F6"/>
    <w:rsid w:val="00BD72E6"/>
    <w:rsid w:val="00BD7CC1"/>
    <w:rsid w:val="00BE08A9"/>
    <w:rsid w:val="00BE0A40"/>
    <w:rsid w:val="00BE0D84"/>
    <w:rsid w:val="00BE0EE0"/>
    <w:rsid w:val="00BE0F57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0DCC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4FC6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30C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4D8"/>
    <w:rsid w:val="00C22A96"/>
    <w:rsid w:val="00C2337F"/>
    <w:rsid w:val="00C23579"/>
    <w:rsid w:val="00C238A3"/>
    <w:rsid w:val="00C238A6"/>
    <w:rsid w:val="00C23A35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F47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971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1C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945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497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8D3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5AF6"/>
    <w:rsid w:val="00C76016"/>
    <w:rsid w:val="00C76680"/>
    <w:rsid w:val="00C7676E"/>
    <w:rsid w:val="00C76D5E"/>
    <w:rsid w:val="00C7757A"/>
    <w:rsid w:val="00C775FD"/>
    <w:rsid w:val="00C778F7"/>
    <w:rsid w:val="00C77AA9"/>
    <w:rsid w:val="00C77E9E"/>
    <w:rsid w:val="00C80E8C"/>
    <w:rsid w:val="00C81AD2"/>
    <w:rsid w:val="00C81B1C"/>
    <w:rsid w:val="00C82105"/>
    <w:rsid w:val="00C82ABF"/>
    <w:rsid w:val="00C84537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660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098D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5B6B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AD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82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822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C0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5D2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5F0B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39D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3A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0EE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32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B2C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064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3D5B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159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0D5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0F1"/>
    <w:rsid w:val="00E729D5"/>
    <w:rsid w:val="00E72D89"/>
    <w:rsid w:val="00E72F39"/>
    <w:rsid w:val="00E73675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4BC"/>
    <w:rsid w:val="00E82AFE"/>
    <w:rsid w:val="00E83150"/>
    <w:rsid w:val="00E8323F"/>
    <w:rsid w:val="00E832AF"/>
    <w:rsid w:val="00E835E1"/>
    <w:rsid w:val="00E83955"/>
    <w:rsid w:val="00E83F2E"/>
    <w:rsid w:val="00E8418D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40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D22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1F0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6EB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E7FAA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4C6"/>
    <w:rsid w:val="00F0268C"/>
    <w:rsid w:val="00F0274C"/>
    <w:rsid w:val="00F02D35"/>
    <w:rsid w:val="00F031B2"/>
    <w:rsid w:val="00F03351"/>
    <w:rsid w:val="00F0414D"/>
    <w:rsid w:val="00F04357"/>
    <w:rsid w:val="00F044A3"/>
    <w:rsid w:val="00F04BDF"/>
    <w:rsid w:val="00F0504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4DC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0BA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AC8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46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7E8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7D0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3F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4BF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A2C"/>
    <w:rsid w:val="00FC0E0B"/>
    <w:rsid w:val="00FC0F8E"/>
    <w:rsid w:val="00FC0FF3"/>
    <w:rsid w:val="00FC1344"/>
    <w:rsid w:val="00FC1877"/>
    <w:rsid w:val="00FC187A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ADA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9D"/>
    <w:rsid w:val="00FF4383"/>
    <w:rsid w:val="00FF4485"/>
    <w:rsid w:val="00FF450E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  <w14:docId w14:val="2164A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1"/>
    <w:uiPriority w:val="99"/>
    <w:unhideWhenUsed/>
    <w:rsid w:val="00E00176"/>
    <w:rPr>
      <w:sz w:val="20"/>
      <w:szCs w:val="20"/>
      <w:lang w:val="x-none"/>
    </w:rPr>
  </w:style>
  <w:style w:type="character" w:customStyle="1" w:styleId="FootnoteTextChar1">
    <w:name w:val="Footnote Text Char1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uiPriority w:val="99"/>
    <w:rsid w:val="0088526E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F024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1"/>
    <w:uiPriority w:val="99"/>
    <w:unhideWhenUsed/>
    <w:rsid w:val="00E00176"/>
    <w:rPr>
      <w:sz w:val="20"/>
      <w:szCs w:val="20"/>
      <w:lang w:val="x-none"/>
    </w:rPr>
  </w:style>
  <w:style w:type="character" w:customStyle="1" w:styleId="FootnoteTextChar1">
    <w:name w:val="Footnote Text Char1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FootnoteTextChar">
    <w:name w:val="Footnote Text Char"/>
    <w:basedOn w:val="DefaultParagraphFont"/>
    <w:uiPriority w:val="99"/>
    <w:rsid w:val="0088526E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F02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PACIFIC-EDF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esi.edu.co/revistas/index.php/estudios_gerenciales/article/view/3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odys.com/research/Moodys-assigns-Ba2-rating-to-Pacific-Rubiales-senior-note-issuance--PR_308132?WT.mc_id=AM~WWFob29fRmluYW5jZTQyX1NCX1JhdGluZyBOZXdzX0FsbF9Fbmc%3D~20140915_PR_308132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elespectador.com/noticias/economia/fitch-baja-calificacion-pacific-rubiales-articulo-54708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ilchannel.tv/web/pacific-rubiales-recibe-baja-calificacion-de-standard-poors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Kug08</b:Tag>
    <b:SourceType>Report</b:SourceType>
    <b:Guid>{FE219BA4-CDA5-42EB-B6E8-0B741D3F4265}</b:Guid>
    <b:Author>
      <b:Author>
        <b:NameList>
          <b:Person>
            <b:Last>Kugler</b:Last>
            <b:First>Adriana</b:First>
          </b:Person>
          <b:Person>
            <b:Last>Kugler</b:Last>
            <b:First>Maurice</b:First>
          </b:Person>
        </b:NameList>
      </b:Author>
    </b:Author>
    <b:Title>Labor Market Effects of Payroll Taxes in Developing Countries: Evidence From Colombia</b:Title>
    <b:Year>2008</b:Year>
    <b:Publisher>National Bureau of Economic Research</b:Publisher>
    <b:City>Cambridge</b:City>
    <b:RefOrder>1</b:RefOrder>
  </b:Source>
  <b:Source>
    <b:Tag>Car12</b:Tag>
    <b:SourceType>ArticleInAPeriodical</b:SourceType>
    <b:Guid>{E0C57A62-D621-4E5B-BD4A-CD3BDBB29744}</b:Guid>
    <b:Author>
      <b:Author>
        <b:NameList>
          <b:Person>
            <b:Last>Carranza Garzón</b:Last>
            <b:First>Andrea</b:First>
          </b:Person>
        </b:NameList>
      </b:Author>
    </b:Author>
    <b:Title>Temporales reciben 19% menos de ingresos por hora</b:Title>
    <b:Year>2012</b:Year>
    <b:Pages>Economía</b:Pages>
    <b:PeriodicalTitle>La República</b:PeriodicalTitle>
    <b:Month>Septiembre </b:Month>
    <b:Day>18</b:Day>
    <b:RefOrder>2</b:RefOrder>
  </b:Source>
  <b:Source>
    <b:Tag>GEM10</b:Tag>
    <b:SourceType>Report</b:SourceType>
    <b:Guid>{6FC6D223-D4C9-4EBA-B233-7273F8DAD6B5}</b:Guid>
    <b:Author>
      <b:Author>
        <b:NameList>
          <b:Person>
            <b:Last>GEM</b:Last>
          </b:Person>
        </b:NameList>
      </b:Author>
    </b:Author>
    <b:Title>Global Entrepreneurship Monitor</b:Title>
    <b:Year>2010</b:Year>
    <b:City>Colombia</b:City>
    <b:RefOrder>3</b:RefOrder>
  </b:Source>
</b:Sources>
</file>

<file path=customXml/itemProps1.xml><?xml version="1.0" encoding="utf-8"?>
<ds:datastoreItem xmlns:ds="http://schemas.openxmlformats.org/officeDocument/2006/customXml" ds:itemID="{35DBA3DF-3404-459D-A034-A9B103131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2015-04-18T19:42:00Z</dcterms:created>
  <dcterms:modified xsi:type="dcterms:W3CDTF">2015-04-18T19:42:00Z</dcterms:modified>
</cp:coreProperties>
</file>