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74" w:rsidRPr="00300D74" w:rsidRDefault="00300D74" w:rsidP="00300D7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00D74">
        <w:rPr>
          <w:position w:val="-9"/>
          <w:sz w:val="123"/>
        </w:rPr>
        <w:t>L</w:t>
      </w:r>
    </w:p>
    <w:p w:rsidR="0032063F" w:rsidRDefault="00300D74" w:rsidP="00334763">
      <w:r>
        <w:t xml:space="preserve">os ojos de los académicos están puestos sobre </w:t>
      </w:r>
      <w:proofErr w:type="spellStart"/>
      <w:r w:rsidRPr="00300D74">
        <w:rPr>
          <w:smallCaps/>
        </w:rPr>
        <w:t>Iasb</w:t>
      </w:r>
      <w:proofErr w:type="spellEnd"/>
      <w:r>
        <w:t xml:space="preserve">. Entre los muchos aspectos que han sido objeto de estudio se encuentra el de la legitimidad. </w:t>
      </w:r>
      <w:r w:rsidR="00AA60D1">
        <w:t>Hay diferentes generadores de ésta. La participación en los procesos de discusión de las propuestas de normas</w:t>
      </w:r>
      <w:r w:rsidR="00D508FB">
        <w:t>,</w:t>
      </w:r>
      <w:r w:rsidR="00AA60D1">
        <w:t xml:space="preserve"> es uno de los indicadores que se utilizan para medirla.</w:t>
      </w:r>
    </w:p>
    <w:p w:rsidR="006F26AD" w:rsidRDefault="00A862D1" w:rsidP="00A862D1">
      <w:r w:rsidRPr="00D508FB">
        <w:t xml:space="preserve">Robert K. </w:t>
      </w:r>
      <w:proofErr w:type="spellStart"/>
      <w:r w:rsidRPr="00D508FB">
        <w:t>Larson</w:t>
      </w:r>
      <w:proofErr w:type="spellEnd"/>
      <w:r w:rsidRPr="00D508FB">
        <w:t xml:space="preserve"> y Paul J. </w:t>
      </w:r>
      <w:proofErr w:type="spellStart"/>
      <w:r w:rsidRPr="00D508FB">
        <w:t>Herz</w:t>
      </w:r>
      <w:proofErr w:type="spellEnd"/>
      <w:r w:rsidRPr="00D508FB">
        <w:t xml:space="preserve">, en su artículo </w:t>
      </w:r>
      <w:hyperlink r:id="rId9" w:history="1">
        <w:r w:rsidRPr="00D508FB">
          <w:rPr>
            <w:rStyle w:val="Hyperlink"/>
            <w:i/>
          </w:rPr>
          <w:t xml:space="preserve">A </w:t>
        </w:r>
        <w:proofErr w:type="spellStart"/>
        <w:r w:rsidRPr="00D508FB">
          <w:rPr>
            <w:rStyle w:val="Hyperlink"/>
            <w:i/>
          </w:rPr>
          <w:t>Multi-Issue</w:t>
        </w:r>
        <w:proofErr w:type="spellEnd"/>
        <w:r w:rsidRPr="00D508FB">
          <w:rPr>
            <w:rStyle w:val="Hyperlink"/>
            <w:i/>
          </w:rPr>
          <w:t>/</w:t>
        </w:r>
        <w:proofErr w:type="spellStart"/>
        <w:r w:rsidRPr="00D508FB">
          <w:rPr>
            <w:rStyle w:val="Hyperlink"/>
            <w:i/>
          </w:rPr>
          <w:t>Multi-Period</w:t>
        </w:r>
        <w:proofErr w:type="spellEnd"/>
        <w:r w:rsidRPr="00D508FB">
          <w:rPr>
            <w:rStyle w:val="Hyperlink"/>
            <w:i/>
          </w:rPr>
          <w:t xml:space="preserve"> </w:t>
        </w:r>
        <w:proofErr w:type="spellStart"/>
        <w:r w:rsidRPr="00D508FB">
          <w:rPr>
            <w:rStyle w:val="Hyperlink"/>
            <w:i/>
          </w:rPr>
          <w:t>Analysis</w:t>
        </w:r>
        <w:proofErr w:type="spellEnd"/>
        <w:r w:rsidRPr="00D508FB">
          <w:rPr>
            <w:rStyle w:val="Hyperlink"/>
            <w:i/>
          </w:rPr>
          <w:t xml:space="preserve"> of </w:t>
        </w:r>
        <w:proofErr w:type="spellStart"/>
        <w:r w:rsidRPr="00D508FB">
          <w:rPr>
            <w:rStyle w:val="Hyperlink"/>
            <w:i/>
          </w:rPr>
          <w:t>the</w:t>
        </w:r>
        <w:proofErr w:type="spellEnd"/>
        <w:r w:rsidRPr="00D508FB">
          <w:rPr>
            <w:rStyle w:val="Hyperlink"/>
            <w:i/>
          </w:rPr>
          <w:t xml:space="preserve"> </w:t>
        </w:r>
        <w:proofErr w:type="spellStart"/>
        <w:r w:rsidRPr="00D508FB">
          <w:rPr>
            <w:rStyle w:val="Hyperlink"/>
            <w:i/>
          </w:rPr>
          <w:t>Geographic</w:t>
        </w:r>
        <w:proofErr w:type="spellEnd"/>
        <w:r w:rsidRPr="00D508FB">
          <w:rPr>
            <w:rStyle w:val="Hyperlink"/>
            <w:i/>
          </w:rPr>
          <w:t xml:space="preserve"> </w:t>
        </w:r>
        <w:proofErr w:type="spellStart"/>
        <w:r w:rsidRPr="00D508FB">
          <w:rPr>
            <w:rStyle w:val="Hyperlink"/>
            <w:i/>
          </w:rPr>
          <w:t>Diversity</w:t>
        </w:r>
        <w:proofErr w:type="spellEnd"/>
        <w:r w:rsidRPr="00D508FB">
          <w:rPr>
            <w:rStyle w:val="Hyperlink"/>
            <w:i/>
          </w:rPr>
          <w:t xml:space="preserve"> of IASB </w:t>
        </w:r>
        <w:proofErr w:type="spellStart"/>
        <w:r w:rsidRPr="00D508FB">
          <w:rPr>
            <w:rStyle w:val="Hyperlink"/>
            <w:i/>
          </w:rPr>
          <w:t>Comment</w:t>
        </w:r>
        <w:proofErr w:type="spellEnd"/>
        <w:r w:rsidRPr="00D508FB">
          <w:rPr>
            <w:rStyle w:val="Hyperlink"/>
            <w:i/>
          </w:rPr>
          <w:t xml:space="preserve"> </w:t>
        </w:r>
        <w:proofErr w:type="spellStart"/>
        <w:r w:rsidRPr="00D508FB">
          <w:rPr>
            <w:rStyle w:val="Hyperlink"/>
            <w:i/>
          </w:rPr>
          <w:t>Letter</w:t>
        </w:r>
        <w:proofErr w:type="spellEnd"/>
        <w:r w:rsidRPr="00D508FB">
          <w:rPr>
            <w:rStyle w:val="Hyperlink"/>
            <w:i/>
          </w:rPr>
          <w:t xml:space="preserve"> </w:t>
        </w:r>
        <w:proofErr w:type="spellStart"/>
        <w:r w:rsidRPr="00D508FB">
          <w:rPr>
            <w:rStyle w:val="Hyperlink"/>
            <w:i/>
          </w:rPr>
          <w:t>Participation</w:t>
        </w:r>
        <w:proofErr w:type="spellEnd"/>
      </w:hyperlink>
      <w:r w:rsidRPr="00D508FB">
        <w:t xml:space="preserve">, publicado en </w:t>
      </w:r>
      <w:proofErr w:type="spellStart"/>
      <w:r w:rsidRPr="00D508FB">
        <w:t>Accounting</w:t>
      </w:r>
      <w:proofErr w:type="spellEnd"/>
      <w:r w:rsidRPr="00D508FB">
        <w:t xml:space="preserve"> in </w:t>
      </w:r>
      <w:proofErr w:type="spellStart"/>
      <w:r w:rsidRPr="00D508FB">
        <w:t>Europe</w:t>
      </w:r>
      <w:proofErr w:type="spellEnd"/>
      <w:r w:rsidRPr="00D508FB">
        <w:t xml:space="preserve">, 2013, </w:t>
      </w:r>
      <w:proofErr w:type="spellStart"/>
      <w:r w:rsidRPr="00D508FB">
        <w:t>volume</w:t>
      </w:r>
      <w:proofErr w:type="spellEnd"/>
      <w:r w:rsidRPr="00D508FB">
        <w:t xml:space="preserve"> 10, número 1, páginas 99–151, </w:t>
      </w:r>
      <w:r w:rsidR="00D508FB" w:rsidRPr="00D508FB">
        <w:t>nos presen</w:t>
      </w:r>
      <w:r w:rsidR="00A0495C">
        <w:t>t</w:t>
      </w:r>
      <w:r w:rsidR="00D508FB" w:rsidRPr="00D508FB">
        <w:t>an los resultados de analizar la participaci</w:t>
      </w:r>
      <w:r w:rsidR="00D508FB">
        <w:t xml:space="preserve">ón </w:t>
      </w:r>
      <w:r w:rsidR="001E14DE">
        <w:t>durante el período 2001 – 2008.</w:t>
      </w:r>
    </w:p>
    <w:p w:rsidR="00A0495C" w:rsidRDefault="00A0495C" w:rsidP="00A862D1">
      <w:r>
        <w:t xml:space="preserve">En primer lugar hay que destacar que este tipo de investigaciones es posible gracias a las políticas de publicidad de </w:t>
      </w:r>
      <w:proofErr w:type="spellStart"/>
      <w:r w:rsidRPr="00A0495C">
        <w:rPr>
          <w:smallCaps/>
        </w:rPr>
        <w:t>Iasb</w:t>
      </w:r>
      <w:proofErr w:type="spellEnd"/>
      <w:r>
        <w:t>, las cuales aumentan la transparencia de sus actuaciones.</w:t>
      </w:r>
    </w:p>
    <w:p w:rsidR="00A0495C" w:rsidRDefault="003C78F7" w:rsidP="00A862D1">
      <w:r>
        <w:t xml:space="preserve">Los autores encontraron que el número de respuestas recibido por </w:t>
      </w:r>
      <w:proofErr w:type="spellStart"/>
      <w:r w:rsidRPr="003C78F7">
        <w:rPr>
          <w:smallCaps/>
        </w:rPr>
        <w:t>Iasb</w:t>
      </w:r>
      <w:proofErr w:type="spellEnd"/>
      <w:r>
        <w:t xml:space="preserve"> es mayor que el que recibía </w:t>
      </w:r>
      <w:proofErr w:type="spellStart"/>
      <w:r w:rsidRPr="003C78F7">
        <w:rPr>
          <w:smallCaps/>
        </w:rPr>
        <w:t>Iasc</w:t>
      </w:r>
      <w:proofErr w:type="spellEnd"/>
      <w:r>
        <w:t xml:space="preserve">. Sin embargo es menor que el </w:t>
      </w:r>
      <w:r w:rsidR="00E71D6F">
        <w:t xml:space="preserve">que </w:t>
      </w:r>
      <w:r>
        <w:t>recibe en su</w:t>
      </w:r>
      <w:r w:rsidR="00764BE2">
        <w:t>s</w:t>
      </w:r>
      <w:r>
        <w:t xml:space="preserve"> procesos </w:t>
      </w:r>
      <w:proofErr w:type="spellStart"/>
      <w:r w:rsidRPr="003C78F7">
        <w:rPr>
          <w:smallCaps/>
        </w:rPr>
        <w:t>Fasb</w:t>
      </w:r>
      <w:proofErr w:type="spellEnd"/>
      <w:r>
        <w:t>.</w:t>
      </w:r>
    </w:p>
    <w:p w:rsidR="00E65A83" w:rsidRDefault="006F3C35" w:rsidP="00A862D1">
      <w:r>
        <w:t>Durante el período examinado se encontraron 7 respuestas procedentes de Colombia.</w:t>
      </w:r>
    </w:p>
    <w:p w:rsidR="00A91D0C" w:rsidRDefault="00A91D0C" w:rsidP="00A862D1">
      <w:r>
        <w:t>El 55% de las respuestas llegaron del Reino Unido, Estados Unidos de América, Australia, Alemania, Francia, Canadá y Suiza.</w:t>
      </w:r>
    </w:p>
    <w:p w:rsidR="002F3E4D" w:rsidRDefault="002F3E4D" w:rsidP="00A862D1">
      <w:r>
        <w:t>La región q</w:t>
      </w:r>
      <w:r w:rsidR="00B46B33">
        <w:t>ue mayor aporte tuvo fue Europa, aunque se observó que su participación está declinando.</w:t>
      </w:r>
    </w:p>
    <w:p w:rsidR="00C105F4" w:rsidRDefault="004D3032" w:rsidP="00A862D1">
      <w:r>
        <w:lastRenderedPageBreak/>
        <w:t>Es destacable la participación de las grandes firmas de contadores.</w:t>
      </w:r>
      <w:r w:rsidR="004C25ED">
        <w:t xml:space="preserve"> </w:t>
      </w:r>
      <w:r w:rsidR="00917FB5">
        <w:t>Se sigue percibiendo una mayor participación de los países con dominio del inglés.</w:t>
      </w:r>
      <w:r w:rsidR="004C25ED">
        <w:t xml:space="preserve"> </w:t>
      </w:r>
      <w:r w:rsidR="004D34AE">
        <w:t xml:space="preserve">Hay una fuerte presencia de los donantes a </w:t>
      </w:r>
      <w:proofErr w:type="spellStart"/>
      <w:r w:rsidR="004D34AE" w:rsidRPr="004D34AE">
        <w:rPr>
          <w:smallCaps/>
        </w:rPr>
        <w:t>Iasb</w:t>
      </w:r>
      <w:proofErr w:type="spellEnd"/>
      <w:r w:rsidR="004D34AE">
        <w:t>.</w:t>
      </w:r>
      <w:r w:rsidR="004C25ED">
        <w:t xml:space="preserve"> </w:t>
      </w:r>
      <w:r w:rsidR="00C105F4">
        <w:t>También es de resaltar la presencia de los países con mercados de valores desarrollados.</w:t>
      </w:r>
      <w:r w:rsidR="004C25ED">
        <w:t xml:space="preserve"> La participación de los países en desarrollo es baja.</w:t>
      </w:r>
      <w:r w:rsidR="00A90E49">
        <w:t xml:space="preserve"> Hubo un importante porcentaje de respuestas de opositores a las propuestas de normas.</w:t>
      </w:r>
      <w:r w:rsidR="008F2B1B">
        <w:t xml:space="preserve"> Durante el período examinado no aumentó el número de respuestas.</w:t>
      </w:r>
    </w:p>
    <w:p w:rsidR="0010493D" w:rsidRDefault="0010493D" w:rsidP="00A862D1">
      <w:r>
        <w:t xml:space="preserve">El </w:t>
      </w:r>
      <w:proofErr w:type="spellStart"/>
      <w:r w:rsidRPr="0010493D">
        <w:rPr>
          <w:smallCaps/>
        </w:rPr>
        <w:t>Glenif</w:t>
      </w:r>
      <w:proofErr w:type="spellEnd"/>
      <w:r>
        <w:t xml:space="preserve"> empezó a enviar comentarios en 2011, incrementando su participación cada año.</w:t>
      </w:r>
      <w:r w:rsidR="002D71C1">
        <w:t xml:space="preserve"> Es decir que su actividad no está incluida en el artículo que venimos comentando.</w:t>
      </w:r>
    </w:p>
    <w:p w:rsidR="006151C1" w:rsidRDefault="006151C1" w:rsidP="00A862D1">
      <w:r>
        <w:t>Como se ve</w:t>
      </w:r>
      <w:r w:rsidR="00D52DA0">
        <w:t>,</w:t>
      </w:r>
      <w:r>
        <w:t xml:space="preserve"> la actividad de </w:t>
      </w:r>
      <w:proofErr w:type="spellStart"/>
      <w:r w:rsidRPr="006151C1">
        <w:rPr>
          <w:smallCaps/>
        </w:rPr>
        <w:t>Iasb</w:t>
      </w:r>
      <w:proofErr w:type="spellEnd"/>
      <w:r>
        <w:t xml:space="preserve"> es cuidadosamente examinada. Es de esperar que en nuestro país también se examine la actividad de las autoridades de </w:t>
      </w:r>
      <w:r w:rsidR="00D52DA0">
        <w:t>r</w:t>
      </w:r>
      <w:r>
        <w:t>egulación, de normalización,</w:t>
      </w:r>
      <w:r w:rsidR="00D52DA0">
        <w:t xml:space="preserve"> de supervisión y disciplinaria.</w:t>
      </w:r>
    </w:p>
    <w:p w:rsidR="00D52DA0" w:rsidRDefault="00C412E9" w:rsidP="00A862D1">
      <w:r>
        <w:t>Las políticas de publicidad son fundamentales para hacer posible los exámenes propuestos.</w:t>
      </w:r>
      <w:r w:rsidR="00FB74C2">
        <w:t xml:space="preserve"> </w:t>
      </w:r>
      <w:proofErr w:type="spellStart"/>
      <w:r w:rsidR="00FB74C2" w:rsidRPr="00FB74C2">
        <w:rPr>
          <w:smallCaps/>
        </w:rPr>
        <w:t>Iasb</w:t>
      </w:r>
      <w:proofErr w:type="spellEnd"/>
      <w:r w:rsidR="00FB74C2">
        <w:t xml:space="preserve"> ha sabido mantener en la red sus actividades, viabilizando investigaciones de carácter histórico.</w:t>
      </w:r>
    </w:p>
    <w:p w:rsidR="00154760" w:rsidRDefault="004B2733" w:rsidP="00A862D1">
      <w:r>
        <w:t>La legitimidad de la regulación es una cuestión esencial. Hay que construirla y fortalecerla. De ninguna manera se reduce a cumplir con los procesos previstos en la Ley.</w:t>
      </w:r>
      <w:r w:rsidR="00154760">
        <w:t xml:space="preserve">  Se trata de una tarea de nunca acabar.</w:t>
      </w:r>
    </w:p>
    <w:p w:rsidR="00154760" w:rsidRPr="00154760" w:rsidRDefault="00154760" w:rsidP="00154760">
      <w:pPr>
        <w:jc w:val="right"/>
        <w:rPr>
          <w:i/>
        </w:rPr>
      </w:pPr>
      <w:r w:rsidRPr="00154760">
        <w:rPr>
          <w:i/>
        </w:rPr>
        <w:t>Hernando Bermúdez Gómez</w:t>
      </w:r>
    </w:p>
    <w:sectPr w:rsidR="00154760" w:rsidRPr="00154760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B9" w:rsidRDefault="001227B9" w:rsidP="00EE7812">
      <w:pPr>
        <w:spacing w:after="0" w:line="240" w:lineRule="auto"/>
      </w:pPr>
      <w:r>
        <w:separator/>
      </w:r>
    </w:p>
  </w:endnote>
  <w:endnote w:type="continuationSeparator" w:id="0">
    <w:p w:rsidR="001227B9" w:rsidRDefault="001227B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B9" w:rsidRDefault="001227B9" w:rsidP="00EE7812">
      <w:pPr>
        <w:spacing w:after="0" w:line="240" w:lineRule="auto"/>
      </w:pPr>
      <w:r>
        <w:separator/>
      </w:r>
    </w:p>
  </w:footnote>
  <w:footnote w:type="continuationSeparator" w:id="0">
    <w:p w:rsidR="001227B9" w:rsidRDefault="001227B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334763">
      <w:t>285</w:t>
    </w:r>
    <w:r>
      <w:t xml:space="preserve">, </w:t>
    </w:r>
    <w:r w:rsidR="00607169">
      <w:t>abril</w:t>
    </w:r>
    <w:r w:rsidR="000C1253">
      <w:t xml:space="preserve"> </w:t>
    </w:r>
    <w:r w:rsidR="00082E9B">
      <w:t>27</w:t>
    </w:r>
    <w:r w:rsidR="0015507D">
      <w:t xml:space="preserve"> </w:t>
    </w:r>
    <w:r w:rsidR="007D018A">
      <w:t>de 2015</w:t>
    </w:r>
  </w:p>
  <w:p w:rsidR="00D945A4" w:rsidRDefault="001227B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402"/>
    <w:rsid w:val="00103440"/>
    <w:rsid w:val="00103647"/>
    <w:rsid w:val="0010388E"/>
    <w:rsid w:val="0010493D"/>
    <w:rsid w:val="00105186"/>
    <w:rsid w:val="001051AA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7B9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A76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3AB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0D04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726"/>
    <w:rsid w:val="00286732"/>
    <w:rsid w:val="00287180"/>
    <w:rsid w:val="002879BA"/>
    <w:rsid w:val="00290F9C"/>
    <w:rsid w:val="002911B4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81"/>
    <w:rsid w:val="002A29AD"/>
    <w:rsid w:val="002A2B09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5EE6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763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45A"/>
    <w:rsid w:val="003668B8"/>
    <w:rsid w:val="00366A75"/>
    <w:rsid w:val="00366D39"/>
    <w:rsid w:val="00366EDF"/>
    <w:rsid w:val="003671FC"/>
    <w:rsid w:val="00367230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577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EB2"/>
    <w:rsid w:val="003D00BB"/>
    <w:rsid w:val="003D039C"/>
    <w:rsid w:val="003D0432"/>
    <w:rsid w:val="003D0AF1"/>
    <w:rsid w:val="003D0BC5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73A"/>
    <w:rsid w:val="00462A1C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168F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A21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B2C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A07"/>
    <w:rsid w:val="00616D14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17"/>
    <w:rsid w:val="006327EA"/>
    <w:rsid w:val="0063355E"/>
    <w:rsid w:val="00633C23"/>
    <w:rsid w:val="00634109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4034"/>
    <w:rsid w:val="006F403E"/>
    <w:rsid w:val="006F465A"/>
    <w:rsid w:val="006F4B2D"/>
    <w:rsid w:val="006F50BB"/>
    <w:rsid w:val="006F51BC"/>
    <w:rsid w:val="006F54FF"/>
    <w:rsid w:val="006F58A4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57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C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BB7"/>
    <w:rsid w:val="007F2C3E"/>
    <w:rsid w:val="007F31F6"/>
    <w:rsid w:val="007F32A2"/>
    <w:rsid w:val="007F3615"/>
    <w:rsid w:val="007F3835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40E"/>
    <w:rsid w:val="009366ED"/>
    <w:rsid w:val="00936B6A"/>
    <w:rsid w:val="009371BF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526"/>
    <w:rsid w:val="009546A7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05A"/>
    <w:rsid w:val="009801BC"/>
    <w:rsid w:val="00980540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B65"/>
    <w:rsid w:val="00A03BE5"/>
    <w:rsid w:val="00A03D57"/>
    <w:rsid w:val="00A044C6"/>
    <w:rsid w:val="00A04634"/>
    <w:rsid w:val="00A0468E"/>
    <w:rsid w:val="00A0495C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77C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1630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3515"/>
    <w:rsid w:val="00C23579"/>
    <w:rsid w:val="00C238A3"/>
    <w:rsid w:val="00C2432D"/>
    <w:rsid w:val="00C24975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77BAE"/>
    <w:rsid w:val="00C80506"/>
    <w:rsid w:val="00C80E8C"/>
    <w:rsid w:val="00C81AD2"/>
    <w:rsid w:val="00C81B1C"/>
    <w:rsid w:val="00C81C65"/>
    <w:rsid w:val="00C82105"/>
    <w:rsid w:val="00C82DDB"/>
    <w:rsid w:val="00C834CF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A67"/>
    <w:rsid w:val="00CE7BC8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0B6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08FB"/>
    <w:rsid w:val="00D51560"/>
    <w:rsid w:val="00D5185F"/>
    <w:rsid w:val="00D52016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8F6"/>
    <w:rsid w:val="00DD19A9"/>
    <w:rsid w:val="00DD1ADA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11F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776"/>
    <w:rsid w:val="00FA5E78"/>
    <w:rsid w:val="00FA61E0"/>
    <w:rsid w:val="00FA66CD"/>
    <w:rsid w:val="00FA6B41"/>
    <w:rsid w:val="00FA7983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A98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D86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0EE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andfonline.com/doi/abs/10.1080/17449480.2013.7727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8480B88-E5CA-4EB5-AA6C-678EE331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2015-04-27T18:29:00Z</dcterms:created>
  <dcterms:modified xsi:type="dcterms:W3CDTF">2015-04-27T18:29:00Z</dcterms:modified>
</cp:coreProperties>
</file>