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E6" w:rsidRPr="00D978E6" w:rsidRDefault="00D978E6" w:rsidP="00D978E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978E6">
        <w:rPr>
          <w:position w:val="-9"/>
          <w:sz w:val="123"/>
        </w:rPr>
        <w:t>E</w:t>
      </w:r>
    </w:p>
    <w:p w:rsidR="006F5414" w:rsidRDefault="00D978E6" w:rsidP="004225BF">
      <w:pPr>
        <w:rPr>
          <w:lang w:val="en-US"/>
        </w:rPr>
      </w:pPr>
      <w:r>
        <w:t xml:space="preserve">n </w:t>
      </w:r>
      <w:hyperlink r:id="rId9" w:history="1">
        <w:r w:rsidRPr="00D978E6">
          <w:rPr>
            <w:rStyle w:val="Hyperlink"/>
          </w:rPr>
          <w:t>Contrapartida 1355</w:t>
        </w:r>
      </w:hyperlink>
      <w:r>
        <w:t xml:space="preserve"> </w:t>
      </w:r>
      <w:r w:rsidR="00986FEC">
        <w:t>resaltamos</w:t>
      </w:r>
      <w:r>
        <w:t xml:space="preserve"> la importancia de la revisión posterior de los estándares. Allí advertimos que la Unión Europea había iniciado una evaluación de sus normas, al cumplirse 10 años de su puesta en aplicación.</w:t>
      </w:r>
      <w:r w:rsidR="004225BF">
        <w:t xml:space="preserve"> </w:t>
      </w:r>
      <w:proofErr w:type="spellStart"/>
      <w:r w:rsidR="004225BF" w:rsidRPr="004225BF">
        <w:rPr>
          <w:lang w:val="en-US"/>
        </w:rPr>
        <w:t>Pues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bien</w:t>
      </w:r>
      <w:proofErr w:type="spellEnd"/>
      <w:r w:rsidR="004225BF" w:rsidRPr="004225BF">
        <w:rPr>
          <w:lang w:val="en-US"/>
        </w:rPr>
        <w:t xml:space="preserve">: </w:t>
      </w:r>
      <w:proofErr w:type="spellStart"/>
      <w:r w:rsidR="004225BF" w:rsidRPr="004225BF">
        <w:rPr>
          <w:lang w:val="en-US"/>
        </w:rPr>
        <w:t>ha</w:t>
      </w:r>
      <w:r w:rsidR="00AF1700">
        <w:rPr>
          <w:lang w:val="en-US"/>
        </w:rPr>
        <w:t>n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sido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publicadas</w:t>
      </w:r>
      <w:proofErr w:type="spellEnd"/>
      <w:r w:rsidR="004225BF" w:rsidRPr="004225BF">
        <w:rPr>
          <w:lang w:val="en-US"/>
        </w:rPr>
        <w:t xml:space="preserve"> las </w:t>
      </w:r>
      <w:proofErr w:type="spellStart"/>
      <w:r w:rsidR="004225BF" w:rsidRPr="004225BF">
        <w:rPr>
          <w:lang w:val="en-US"/>
        </w:rPr>
        <w:t>conclusiones</w:t>
      </w:r>
      <w:proofErr w:type="spellEnd"/>
      <w:r w:rsidR="004225BF" w:rsidRPr="004225BF">
        <w:rPr>
          <w:lang w:val="en-US"/>
        </w:rPr>
        <w:t xml:space="preserve"> de </w:t>
      </w:r>
      <w:proofErr w:type="spellStart"/>
      <w:r w:rsidR="004225BF" w:rsidRPr="004225BF">
        <w:rPr>
          <w:lang w:val="en-US"/>
        </w:rPr>
        <w:t>tal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evaluación</w:t>
      </w:r>
      <w:proofErr w:type="spellEnd"/>
      <w:r w:rsidR="004225BF" w:rsidRPr="004225BF">
        <w:rPr>
          <w:lang w:val="en-US"/>
        </w:rPr>
        <w:t xml:space="preserve">, </w:t>
      </w:r>
      <w:proofErr w:type="spellStart"/>
      <w:r w:rsidR="004225BF" w:rsidRPr="004225BF">
        <w:rPr>
          <w:lang w:val="en-US"/>
        </w:rPr>
        <w:t>mediante</w:t>
      </w:r>
      <w:proofErr w:type="spellEnd"/>
      <w:r w:rsidR="004225BF" w:rsidRPr="004225BF">
        <w:rPr>
          <w:lang w:val="en-US"/>
        </w:rPr>
        <w:t xml:space="preserve"> el </w:t>
      </w:r>
      <w:proofErr w:type="spellStart"/>
      <w:r w:rsidR="004225BF" w:rsidRPr="004225BF">
        <w:rPr>
          <w:lang w:val="en-US"/>
        </w:rPr>
        <w:t>documento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titulado</w:t>
      </w:r>
      <w:proofErr w:type="spellEnd"/>
      <w:r w:rsidR="004225BF" w:rsidRPr="004225BF">
        <w:rPr>
          <w:lang w:val="en-US"/>
        </w:rPr>
        <w:t xml:space="preserve"> </w:t>
      </w:r>
      <w:hyperlink r:id="rId10" w:history="1">
        <w:r w:rsidR="004225BF" w:rsidRPr="004225BF">
          <w:rPr>
            <w:rStyle w:val="Hyperlink"/>
            <w:i/>
            <w:lang w:val="en-US"/>
          </w:rPr>
          <w:t>Report from the Commission to the European Parliament and the Council - Evaluation of Regulation (</w:t>
        </w:r>
        <w:proofErr w:type="spellStart"/>
        <w:r w:rsidR="004225BF" w:rsidRPr="004225BF">
          <w:rPr>
            <w:rStyle w:val="Hyperlink"/>
            <w:i/>
            <w:lang w:val="en-US"/>
          </w:rPr>
          <w:t>Ec</w:t>
        </w:r>
        <w:proofErr w:type="spellEnd"/>
        <w:r w:rsidR="004225BF" w:rsidRPr="004225BF">
          <w:rPr>
            <w:rStyle w:val="Hyperlink"/>
            <w:i/>
            <w:lang w:val="en-US"/>
          </w:rPr>
          <w:t>) N° 1606/2002 of 19 July 2002 on the Application of International Accounting Standards</w:t>
        </w:r>
      </w:hyperlink>
      <w:r w:rsidR="004225BF">
        <w:rPr>
          <w:lang w:val="en-US"/>
        </w:rPr>
        <w:t xml:space="preserve">. </w:t>
      </w:r>
      <w:r w:rsidR="004225BF" w:rsidRPr="004225BF">
        <w:rPr>
          <w:lang w:val="en-US"/>
        </w:rPr>
        <w:t xml:space="preserve">Este document de 12 </w:t>
      </w:r>
      <w:proofErr w:type="spellStart"/>
      <w:r w:rsidR="004225BF" w:rsidRPr="004225BF">
        <w:rPr>
          <w:lang w:val="en-US"/>
        </w:rPr>
        <w:t>páginas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es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acompañado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por</w:t>
      </w:r>
      <w:proofErr w:type="spellEnd"/>
      <w:r w:rsidR="004225BF" w:rsidRPr="004225BF">
        <w:rPr>
          <w:lang w:val="en-US"/>
        </w:rPr>
        <w:t xml:space="preserve"> </w:t>
      </w:r>
      <w:proofErr w:type="spellStart"/>
      <w:r w:rsidR="004225BF" w:rsidRPr="004225BF">
        <w:rPr>
          <w:lang w:val="en-US"/>
        </w:rPr>
        <w:t>otro</w:t>
      </w:r>
      <w:proofErr w:type="spellEnd"/>
      <w:r w:rsidR="004225BF" w:rsidRPr="004225BF">
        <w:rPr>
          <w:lang w:val="en-US"/>
        </w:rPr>
        <w:t xml:space="preserve">, </w:t>
      </w:r>
      <w:hyperlink r:id="rId11" w:history="1">
        <w:r w:rsidR="004225BF" w:rsidRPr="004225BF">
          <w:rPr>
            <w:rStyle w:val="Hyperlink"/>
            <w:i/>
            <w:lang w:val="en-US"/>
          </w:rPr>
          <w:t>Commission Staff Working Document - Evaluation of Regulation (EC) N° 1606/2002 of 19 July 2002 on the application of International Accounting Standards</w:t>
        </w:r>
      </w:hyperlink>
      <w:r w:rsidR="004225BF">
        <w:rPr>
          <w:i/>
          <w:lang w:val="en-US"/>
        </w:rPr>
        <w:t xml:space="preserve"> </w:t>
      </w:r>
      <w:r w:rsidR="004225BF">
        <w:rPr>
          <w:lang w:val="en-US"/>
        </w:rPr>
        <w:t xml:space="preserve">de 160 </w:t>
      </w:r>
      <w:proofErr w:type="spellStart"/>
      <w:r w:rsidR="004225BF">
        <w:rPr>
          <w:lang w:val="en-US"/>
        </w:rPr>
        <w:t>páginas</w:t>
      </w:r>
      <w:proofErr w:type="spellEnd"/>
      <w:r w:rsidR="004225BF">
        <w:rPr>
          <w:lang w:val="en-US"/>
        </w:rPr>
        <w:t>.</w:t>
      </w:r>
    </w:p>
    <w:p w:rsidR="00753150" w:rsidRDefault="00C978E8" w:rsidP="004225BF">
      <w:r w:rsidRPr="00C978E8">
        <w:t>Los criterios utilizados en la evaluaci</w:t>
      </w:r>
      <w:r>
        <w:t xml:space="preserve">ón </w:t>
      </w:r>
      <w:r w:rsidR="0052536F">
        <w:t xml:space="preserve">de las normas </w:t>
      </w:r>
      <w:r>
        <w:t>fueron: Efectividad, eficiencia, relevancia, coherencia, valor añadido.</w:t>
      </w:r>
      <w:r w:rsidR="0052536F">
        <w:t xml:space="preserve"> También fueron evaluados el proceso de endoso de las normas y la gobernanza tanto de IASB como de EFRAG</w:t>
      </w:r>
    </w:p>
    <w:p w:rsidR="00C24C68" w:rsidRDefault="00753150" w:rsidP="004225BF">
      <w:r>
        <w:t xml:space="preserve">Aunque los efectos de las normas no pudieron ser aislados de otros factores que influyeron en el mercado, la Comisión “(…) </w:t>
      </w:r>
      <w:proofErr w:type="spellStart"/>
      <w:r w:rsidRPr="00753150">
        <w:rPr>
          <w:i/>
        </w:rPr>
        <w:t>found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evidence</w:t>
      </w:r>
      <w:proofErr w:type="spellEnd"/>
      <w:r w:rsidRPr="00753150">
        <w:rPr>
          <w:i/>
        </w:rPr>
        <w:t xml:space="preserve"> of </w:t>
      </w:r>
      <w:proofErr w:type="spellStart"/>
      <w:r w:rsidRPr="00753150">
        <w:rPr>
          <w:i/>
        </w:rPr>
        <w:t>improved</w:t>
      </w:r>
      <w:proofErr w:type="spellEnd"/>
      <w:r w:rsidRPr="00753150">
        <w:rPr>
          <w:i/>
        </w:rPr>
        <w:t xml:space="preserve"> capital </w:t>
      </w:r>
      <w:proofErr w:type="spellStart"/>
      <w:r w:rsidRPr="00753150">
        <w:rPr>
          <w:i/>
        </w:rPr>
        <w:t>market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outcomes</w:t>
      </w:r>
      <w:proofErr w:type="spellEnd"/>
      <w:r w:rsidRPr="00753150">
        <w:rPr>
          <w:i/>
        </w:rPr>
        <w:t xml:space="preserve">: </w:t>
      </w:r>
      <w:proofErr w:type="spellStart"/>
      <w:r w:rsidRPr="00753150">
        <w:rPr>
          <w:i/>
        </w:rPr>
        <w:t>higher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liquidity</w:t>
      </w:r>
      <w:proofErr w:type="spellEnd"/>
      <w:r w:rsidRPr="00753150">
        <w:rPr>
          <w:i/>
        </w:rPr>
        <w:t xml:space="preserve">; </w:t>
      </w:r>
      <w:proofErr w:type="spellStart"/>
      <w:r w:rsidRPr="00753150">
        <w:rPr>
          <w:i/>
        </w:rPr>
        <w:t>lower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costs</w:t>
      </w:r>
      <w:proofErr w:type="spellEnd"/>
      <w:r w:rsidRPr="00753150">
        <w:rPr>
          <w:i/>
        </w:rPr>
        <w:t xml:space="preserve"> of capital; </w:t>
      </w:r>
      <w:proofErr w:type="spellStart"/>
      <w:r w:rsidRPr="00753150">
        <w:rPr>
          <w:i/>
        </w:rPr>
        <w:t>increased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cross-border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transactions</w:t>
      </w:r>
      <w:proofErr w:type="spellEnd"/>
      <w:r w:rsidRPr="00753150">
        <w:rPr>
          <w:i/>
        </w:rPr>
        <w:t xml:space="preserve">; </w:t>
      </w:r>
      <w:proofErr w:type="spellStart"/>
      <w:r w:rsidRPr="00753150">
        <w:rPr>
          <w:i/>
        </w:rPr>
        <w:t>easier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access</w:t>
      </w:r>
      <w:proofErr w:type="spellEnd"/>
      <w:r w:rsidRPr="00753150">
        <w:rPr>
          <w:i/>
        </w:rPr>
        <w:t xml:space="preserve"> to capital at EU and global </w:t>
      </w:r>
      <w:proofErr w:type="spellStart"/>
      <w:r w:rsidRPr="00753150">
        <w:rPr>
          <w:i/>
        </w:rPr>
        <w:t>level</w:t>
      </w:r>
      <w:proofErr w:type="spellEnd"/>
      <w:r w:rsidRPr="00753150">
        <w:rPr>
          <w:i/>
        </w:rPr>
        <w:t xml:space="preserve">; </w:t>
      </w:r>
      <w:proofErr w:type="spellStart"/>
      <w:r w:rsidRPr="00753150">
        <w:rPr>
          <w:i/>
        </w:rPr>
        <w:t>improved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investor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protection</w:t>
      </w:r>
      <w:proofErr w:type="spellEnd"/>
      <w:r w:rsidRPr="00753150">
        <w:rPr>
          <w:i/>
        </w:rPr>
        <w:t xml:space="preserve"> and </w:t>
      </w:r>
      <w:proofErr w:type="spellStart"/>
      <w:r w:rsidRPr="00753150">
        <w:rPr>
          <w:i/>
        </w:rPr>
        <w:t>maintenance</w:t>
      </w:r>
      <w:proofErr w:type="spellEnd"/>
      <w:r w:rsidRPr="00753150">
        <w:rPr>
          <w:i/>
        </w:rPr>
        <w:t xml:space="preserve"> of </w:t>
      </w:r>
      <w:proofErr w:type="spellStart"/>
      <w:r w:rsidRPr="00753150">
        <w:rPr>
          <w:i/>
        </w:rPr>
        <w:t>investor</w:t>
      </w:r>
      <w:proofErr w:type="spellEnd"/>
      <w:r w:rsidRPr="00753150">
        <w:rPr>
          <w:i/>
        </w:rPr>
        <w:t xml:space="preserve"> </w:t>
      </w:r>
      <w:proofErr w:type="spellStart"/>
      <w:r w:rsidRPr="00753150">
        <w:rPr>
          <w:i/>
        </w:rPr>
        <w:t>confidence</w:t>
      </w:r>
      <w:proofErr w:type="spellEnd"/>
      <w:r w:rsidRPr="00753150">
        <w:t>.</w:t>
      </w:r>
      <w:r>
        <w:t xml:space="preserve"> (…)”. Esto presagia que en Colombia habríamos tomado un buen camino. Ya se verá cuando las autoridades hagan la respectiva evaluación.</w:t>
      </w:r>
      <w:r w:rsidR="00C24C68">
        <w:t xml:space="preserve"> </w:t>
      </w:r>
      <w:proofErr w:type="spellStart"/>
      <w:r w:rsidR="00C24C68" w:rsidRPr="00C24C68">
        <w:rPr>
          <w:lang w:val="en-US"/>
        </w:rPr>
        <w:t>Ahora</w:t>
      </w:r>
      <w:proofErr w:type="spellEnd"/>
      <w:r w:rsidR="00C24C68" w:rsidRPr="00C24C68">
        <w:rPr>
          <w:lang w:val="en-US"/>
        </w:rPr>
        <w:t xml:space="preserve"> </w:t>
      </w:r>
      <w:proofErr w:type="spellStart"/>
      <w:r w:rsidR="00C24C68" w:rsidRPr="00C24C68">
        <w:rPr>
          <w:lang w:val="en-US"/>
        </w:rPr>
        <w:t>bien</w:t>
      </w:r>
      <w:proofErr w:type="spellEnd"/>
      <w:r w:rsidR="00C24C68" w:rsidRPr="00C24C68">
        <w:rPr>
          <w:lang w:val="en-US"/>
        </w:rPr>
        <w:t>: “(…)</w:t>
      </w:r>
      <w:r w:rsidR="00C24C68">
        <w:rPr>
          <w:lang w:val="en-US"/>
        </w:rPr>
        <w:t xml:space="preserve"> </w:t>
      </w:r>
      <w:r w:rsidR="00C24C68" w:rsidRPr="00C24C68">
        <w:rPr>
          <w:i/>
          <w:lang w:val="en-US"/>
        </w:rPr>
        <w:t xml:space="preserve">The Commission urges the IASB to strengthen their impact </w:t>
      </w:r>
      <w:r w:rsidR="00C24C68" w:rsidRPr="00C24C68">
        <w:rPr>
          <w:i/>
          <w:lang w:val="en-US"/>
        </w:rPr>
        <w:lastRenderedPageBreak/>
        <w:t>analyses, to consider the specific needs of investors with different investment time horizons and to provide specific solutions, in particular to long-term investors, when developing their standards.</w:t>
      </w:r>
      <w:r w:rsidR="00C24C68">
        <w:rPr>
          <w:lang w:val="en-US"/>
        </w:rPr>
        <w:t xml:space="preserve"> </w:t>
      </w:r>
      <w:r w:rsidR="00C24C68" w:rsidRPr="00C24C68">
        <w:t xml:space="preserve">(…)”. </w:t>
      </w:r>
      <w:r w:rsidR="00C24C68">
        <w:t>Además</w:t>
      </w:r>
      <w:r w:rsidR="00C24C68" w:rsidRPr="00C24C68">
        <w:t xml:space="preserve"> de estar de acuerdo con otros autorizados planteamientos en esta materia</w:t>
      </w:r>
      <w:r w:rsidR="00C24C68">
        <w:t>, según los cuales hay que fortalecer los análisis de impacto, se recomienda a IASB preocuparse por las inversionistas de largo plazo, los que, en la literatura contable, se ha demostrado que están desprotegidos por los estándares actuales.</w:t>
      </w:r>
    </w:p>
    <w:p w:rsidR="00BC1DC8" w:rsidRDefault="00E65D43" w:rsidP="004225BF">
      <w:r w:rsidRPr="00E65D43">
        <w:t xml:space="preserve">Por otra parte la Comisión también señaló que “(…) </w:t>
      </w:r>
      <w:r w:rsidRPr="00E65D43">
        <w:rPr>
          <w:i/>
          <w:lang w:val="en-US"/>
        </w:rPr>
        <w:t xml:space="preserve">Although IFRS-based financial information is the starting point for much prudential regulation, the IASB does not include prudential supervisors or regulators on its list of users. Nevertheless, there is a need to ensure that financial information is fit for that purpose whilst </w:t>
      </w:r>
      <w:proofErr w:type="spellStart"/>
      <w:r w:rsidRPr="00E65D43">
        <w:rPr>
          <w:i/>
          <w:lang w:val="en-US"/>
        </w:rPr>
        <w:t>recognising</w:t>
      </w:r>
      <w:proofErr w:type="spellEnd"/>
      <w:r w:rsidRPr="00E65D43">
        <w:rPr>
          <w:i/>
          <w:lang w:val="en-US"/>
        </w:rPr>
        <w:t xml:space="preserve"> that prudential regulators can demand other information to meet their different objectives.</w:t>
      </w:r>
      <w:r>
        <w:rPr>
          <w:lang w:val="en-US"/>
        </w:rPr>
        <w:t xml:space="preserve"> </w:t>
      </w:r>
      <w:r w:rsidRPr="00E65D43">
        <w:t xml:space="preserve">(…)”. La fricción entre las normas contables y las reglas prudenciales debe ser resuelta, con esfuerzos de </w:t>
      </w:r>
      <w:r w:rsidR="009E3537">
        <w:t>ambos</w:t>
      </w:r>
      <w:r w:rsidRPr="00E65D43">
        <w:t xml:space="preserve"> lados.</w:t>
      </w:r>
      <w:r w:rsidR="009E3537">
        <w:t xml:space="preserve"> En Colombia aún no hemos encontrado el camino adecuado en esta materia.</w:t>
      </w:r>
    </w:p>
    <w:p w:rsidR="009D0B2C" w:rsidRDefault="00F54C50" w:rsidP="004225BF">
      <w:proofErr w:type="spellStart"/>
      <w:r w:rsidRPr="00F54C50">
        <w:rPr>
          <w:lang w:val="en-US"/>
        </w:rPr>
        <w:t>Ahora</w:t>
      </w:r>
      <w:proofErr w:type="spellEnd"/>
      <w:r w:rsidRPr="00F54C50">
        <w:rPr>
          <w:lang w:val="en-US"/>
        </w:rPr>
        <w:t xml:space="preserve"> </w:t>
      </w:r>
      <w:proofErr w:type="spellStart"/>
      <w:r w:rsidRPr="00F54C50">
        <w:rPr>
          <w:lang w:val="en-US"/>
        </w:rPr>
        <w:t>bien</w:t>
      </w:r>
      <w:proofErr w:type="spellEnd"/>
      <w:r w:rsidRPr="00F54C50">
        <w:rPr>
          <w:lang w:val="en-US"/>
        </w:rPr>
        <w:t>: “(…)</w:t>
      </w:r>
      <w:r>
        <w:rPr>
          <w:lang w:val="en-US"/>
        </w:rPr>
        <w:t xml:space="preserve"> </w:t>
      </w:r>
      <w:r w:rsidRPr="00F54C50">
        <w:rPr>
          <w:i/>
          <w:lang w:val="en-US"/>
        </w:rPr>
        <w:t>Compulsory use of IFRS has not been widely extended to non-listed companies or to individual financial statements.</w:t>
      </w:r>
      <w:r>
        <w:rPr>
          <w:lang w:val="en-US"/>
        </w:rPr>
        <w:t xml:space="preserve"> </w:t>
      </w:r>
      <w:r w:rsidRPr="00F54C50">
        <w:t xml:space="preserve">(…)”. En cambio en Colombia todas las empresas han sido sometidas al sistema de IASB. </w:t>
      </w:r>
      <w:r>
        <w:t>La evaluación del efecto sobre los grupos 2 y 3 es clave para despejar las dudas al respecto.</w:t>
      </w:r>
    </w:p>
    <w:p w:rsidR="00F54C50" w:rsidRPr="00F54C50" w:rsidRDefault="00F54C50" w:rsidP="00F54C50">
      <w:pPr>
        <w:jc w:val="right"/>
        <w:rPr>
          <w:i/>
        </w:rPr>
      </w:pPr>
      <w:r w:rsidRPr="00F54C50">
        <w:rPr>
          <w:i/>
        </w:rPr>
        <w:t>Hernando Bermúdez Gómez</w:t>
      </w:r>
    </w:p>
    <w:sectPr w:rsidR="00F54C50" w:rsidRPr="00F54C50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31" w:rsidRDefault="00430231" w:rsidP="00EE7812">
      <w:pPr>
        <w:spacing w:after="0" w:line="240" w:lineRule="auto"/>
      </w:pPr>
      <w:r>
        <w:separator/>
      </w:r>
    </w:p>
  </w:endnote>
  <w:endnote w:type="continuationSeparator" w:id="0">
    <w:p w:rsidR="00430231" w:rsidRDefault="004302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31" w:rsidRDefault="00430231" w:rsidP="00EE7812">
      <w:pPr>
        <w:spacing w:after="0" w:line="240" w:lineRule="auto"/>
      </w:pPr>
      <w:r>
        <w:separator/>
      </w:r>
    </w:p>
  </w:footnote>
  <w:footnote w:type="continuationSeparator" w:id="0">
    <w:p w:rsidR="00430231" w:rsidRDefault="004302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055BBF">
      <w:t>67</w:t>
    </w:r>
    <w:r>
      <w:t xml:space="preserve">, </w:t>
    </w:r>
    <w:r w:rsidR="006F4994">
      <w:t>junio</w:t>
    </w:r>
    <w:r w:rsidR="000C1253">
      <w:t xml:space="preserve"> </w:t>
    </w:r>
    <w:r w:rsidR="003406E7">
      <w:t>29</w:t>
    </w:r>
    <w:r w:rsidR="0015507D">
      <w:t xml:space="preserve"> </w:t>
    </w:r>
    <w:r w:rsidR="007D018A">
      <w:t>de 2015</w:t>
    </w:r>
  </w:p>
  <w:p w:rsidR="00D945A4" w:rsidRDefault="004302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B4E"/>
    <w:rsid w:val="000C5C15"/>
    <w:rsid w:val="000C6292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3DE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0EC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2324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43C"/>
    <w:rsid w:val="0020358F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CE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732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9C1"/>
    <w:rsid w:val="00322CB9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6E7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267"/>
    <w:rsid w:val="00381384"/>
    <w:rsid w:val="0038141A"/>
    <w:rsid w:val="003816CA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231"/>
    <w:rsid w:val="0043060F"/>
    <w:rsid w:val="0043069B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9C"/>
    <w:rsid w:val="004C725F"/>
    <w:rsid w:val="004C7577"/>
    <w:rsid w:val="004C7893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1D3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9B1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4A20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A"/>
    <w:rsid w:val="0060555C"/>
    <w:rsid w:val="006057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7EC"/>
    <w:rsid w:val="00661A36"/>
    <w:rsid w:val="00661C29"/>
    <w:rsid w:val="006620F0"/>
    <w:rsid w:val="006624A2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3E15"/>
    <w:rsid w:val="008240E0"/>
    <w:rsid w:val="0082436B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D4E"/>
    <w:rsid w:val="00876080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0F8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508E"/>
    <w:rsid w:val="0097518F"/>
    <w:rsid w:val="009754B0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114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B27"/>
    <w:rsid w:val="009E3F0B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6E95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1CE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DC2"/>
    <w:rsid w:val="00AC4392"/>
    <w:rsid w:val="00AC4963"/>
    <w:rsid w:val="00AC4BC4"/>
    <w:rsid w:val="00AC5035"/>
    <w:rsid w:val="00AC50A0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D45"/>
    <w:rsid w:val="00AD1F94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0AC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1DC8"/>
    <w:rsid w:val="00BC20B8"/>
    <w:rsid w:val="00BC2150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0CA"/>
    <w:rsid w:val="00BF016E"/>
    <w:rsid w:val="00BF02CA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4F3"/>
    <w:rsid w:val="00C935A1"/>
    <w:rsid w:val="00C93966"/>
    <w:rsid w:val="00C93C93"/>
    <w:rsid w:val="00C93E65"/>
    <w:rsid w:val="00C9404B"/>
    <w:rsid w:val="00C94549"/>
    <w:rsid w:val="00C948A2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3C7"/>
    <w:rsid w:val="00CC28FB"/>
    <w:rsid w:val="00CC2A3F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3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7F5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A4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697"/>
    <w:rsid w:val="00FB4775"/>
    <w:rsid w:val="00FB509A"/>
    <w:rsid w:val="00FB5562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finance/accounting/docs/ias-evaluation/20150618-swd_e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c.europa.eu/finance/accounting/docs/ias-evaluation/20150618-report_en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355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4BAF3099-C933-4639-96A0-6CEF197A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2015-06-28T19:28:00Z</dcterms:created>
  <dcterms:modified xsi:type="dcterms:W3CDTF">2015-06-28T19:28:00Z</dcterms:modified>
</cp:coreProperties>
</file>