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E5" w:rsidRPr="00AC3DE5" w:rsidRDefault="00AC3DE5" w:rsidP="00AC3DE5">
      <w:pPr>
        <w:keepNext/>
        <w:framePr w:dropCap="drop" w:lines="3" w:wrap="around" w:vAnchor="text" w:hAnchor="text"/>
        <w:spacing w:after="0" w:line="926" w:lineRule="exact"/>
        <w:textAlignment w:val="baseline"/>
        <w:rPr>
          <w:position w:val="-9"/>
          <w:sz w:val="123"/>
        </w:rPr>
      </w:pPr>
      <w:bookmarkStart w:id="0" w:name="_GoBack"/>
      <w:bookmarkEnd w:id="0"/>
      <w:r w:rsidRPr="00AC3DE5">
        <w:rPr>
          <w:position w:val="-9"/>
          <w:sz w:val="123"/>
        </w:rPr>
        <w:t>E</w:t>
      </w:r>
    </w:p>
    <w:p w:rsidR="00E945BF" w:rsidRDefault="00AC3DE5" w:rsidP="00DD4B48">
      <w:r>
        <w:t xml:space="preserve">vitar el fraude es una de las grandes exigencias de los usuarios de los estados financieros. </w:t>
      </w:r>
      <w:r w:rsidR="009B1185">
        <w:t>Este deber recae primeramente en los preparadores de la información financiera y luego en sus auditores.</w:t>
      </w:r>
    </w:p>
    <w:p w:rsidR="00346946" w:rsidRDefault="0013489E" w:rsidP="00C540BE">
      <w:r>
        <w:t xml:space="preserve">En virtud de la incorporación al derecho contable colombiano efectuada mediante el </w:t>
      </w:r>
      <w:hyperlink r:id="rId9" w:history="1">
        <w:r w:rsidRPr="0013489E">
          <w:rPr>
            <w:rStyle w:val="Hyperlink"/>
          </w:rPr>
          <w:t>Decreto reglamentario 0302 de 2015</w:t>
        </w:r>
      </w:hyperlink>
      <w:r>
        <w:t xml:space="preserve">, ahora los auditores tienen pautas concretas a seguir al respecto. La Norma internacional de auditoría 240 se titula </w:t>
      </w:r>
      <w:r w:rsidR="006057EC">
        <w:t>“</w:t>
      </w:r>
      <w:r w:rsidR="00824872" w:rsidRPr="002D5EFF">
        <w:rPr>
          <w:i/>
        </w:rPr>
        <w:t>Responsabilidades del auditor en la auditoría de estados financieros con respecto al fraude</w:t>
      </w:r>
      <w:r w:rsidR="006057EC">
        <w:t>”</w:t>
      </w:r>
      <w:r w:rsidR="00824872">
        <w:t>.</w:t>
      </w:r>
      <w:r w:rsidR="00C540BE">
        <w:t xml:space="preserve"> “(…) </w:t>
      </w:r>
      <w:r w:rsidR="00C540BE" w:rsidRPr="00C540BE">
        <w:rPr>
          <w:i/>
        </w:rPr>
        <w:t>5. El auditor que realiza una auditoría de conformidad con las NIA es responsable de la obtención de una seguridad razonable de que los estados financieros considerados en su conjunto están libres de incorrecciones materiales debidas a fraude o error. Debido a las limitaciones inherentes a una auditoría, existe un riesgo inevitable de que puedan no detectarse algunas incorrecciones materiales en los estados financieros, incluso aunque la auditoría se haya planificado y ejecutado adecuadamente de conformidad con las NIA</w:t>
      </w:r>
      <w:r w:rsidR="00C540BE" w:rsidRPr="00C540BE">
        <w:rPr>
          <w:i/>
          <w:vertAlign w:val="superscript"/>
        </w:rPr>
        <w:t>3</w:t>
      </w:r>
      <w:r w:rsidR="00C540BE">
        <w:t>. (…)”</w:t>
      </w:r>
    </w:p>
    <w:p w:rsidR="006E4434" w:rsidRDefault="00BA7F42" w:rsidP="00AC6E25">
      <w:r>
        <w:t xml:space="preserve">En una auditoría basada en riesgos, el contador debe preguntarse si </w:t>
      </w:r>
      <w:r w:rsidR="00502236">
        <w:t>existe probabilidad</w:t>
      </w:r>
      <w:r>
        <w:t xml:space="preserve"> que los estados financi</w:t>
      </w:r>
      <w:r w:rsidR="00A47B5E">
        <w:t xml:space="preserve">eros sean instrumento de fraude. Esto supone conocer los hechos que son indicios de tal irregularidad. </w:t>
      </w:r>
      <w:r w:rsidR="00AC6E25">
        <w:t xml:space="preserve">“(…) </w:t>
      </w:r>
      <w:r w:rsidR="00AC6E25" w:rsidRPr="00AC6E25">
        <w:rPr>
          <w:i/>
        </w:rPr>
        <w:t xml:space="preserve">A1. El fraude, ya consista en información financiera fraudulenta o en apropiación indebida de activos, conlleva la existencia de un incentivo o un elemento de presión para cometerlo, así como la </w:t>
      </w:r>
      <w:r w:rsidR="00AC6E25" w:rsidRPr="00AC6E25">
        <w:rPr>
          <w:i/>
        </w:rPr>
        <w:lastRenderedPageBreak/>
        <w:t>percepción de una oportunidad para llevarlo a cabo y cierta racionalización del acto</w:t>
      </w:r>
      <w:r w:rsidR="00AC6E25">
        <w:rPr>
          <w:i/>
        </w:rPr>
        <w:t xml:space="preserve"> </w:t>
      </w:r>
      <w:r w:rsidR="00AC6E25">
        <w:t>(…)”.</w:t>
      </w:r>
    </w:p>
    <w:p w:rsidR="009465CD" w:rsidRDefault="009465CD" w:rsidP="00823462">
      <w:pPr>
        <w:rPr>
          <w:lang w:val="en-US"/>
        </w:rPr>
      </w:pPr>
      <w:r>
        <w:t xml:space="preserve">La literatura contable se ha dedicado ampliamente al estudio del fraude. </w:t>
      </w:r>
      <w:r w:rsidR="00753C49" w:rsidRPr="00753C49">
        <w:rPr>
          <w:lang w:val="en-US"/>
        </w:rPr>
        <w:t xml:space="preserve">Jacob Peng y Caroline O. Ford, </w:t>
      </w:r>
      <w:proofErr w:type="spellStart"/>
      <w:r w:rsidR="00753C49" w:rsidRPr="00753C49">
        <w:rPr>
          <w:lang w:val="en-US"/>
        </w:rPr>
        <w:t>en</w:t>
      </w:r>
      <w:proofErr w:type="spellEnd"/>
      <w:r w:rsidR="00753C49" w:rsidRPr="00753C49">
        <w:rPr>
          <w:lang w:val="en-US"/>
        </w:rPr>
        <w:t xml:space="preserve"> </w:t>
      </w:r>
      <w:proofErr w:type="spellStart"/>
      <w:r w:rsidR="00753C49" w:rsidRPr="00753C49">
        <w:rPr>
          <w:lang w:val="en-US"/>
        </w:rPr>
        <w:t>su</w:t>
      </w:r>
      <w:proofErr w:type="spellEnd"/>
      <w:r w:rsidR="00753C49" w:rsidRPr="00753C49">
        <w:rPr>
          <w:lang w:val="en-US"/>
        </w:rPr>
        <w:t xml:space="preserve"> </w:t>
      </w:r>
      <w:proofErr w:type="spellStart"/>
      <w:r w:rsidR="00753C49" w:rsidRPr="00753C49">
        <w:rPr>
          <w:lang w:val="en-US"/>
        </w:rPr>
        <w:t>artículo</w:t>
      </w:r>
      <w:proofErr w:type="spellEnd"/>
      <w:r w:rsidR="00753C49" w:rsidRPr="00753C49">
        <w:rPr>
          <w:lang w:val="en-US"/>
        </w:rPr>
        <w:t xml:space="preserve"> </w:t>
      </w:r>
      <w:hyperlink r:id="rId10" w:history="1">
        <w:r w:rsidR="00753C49" w:rsidRPr="00753C49">
          <w:rPr>
            <w:rStyle w:val="Hyperlink"/>
            <w:i/>
            <w:lang w:val="en-US"/>
          </w:rPr>
          <w:t>Fraudulent expense reporting: impact of manager responsiveness and social presence</w:t>
        </w:r>
      </w:hyperlink>
      <w:r w:rsidR="00753C49" w:rsidRPr="00753C49">
        <w:rPr>
          <w:lang w:val="en-US"/>
        </w:rPr>
        <w:t xml:space="preserve"> (Journal of Applied Accounting</w:t>
      </w:r>
      <w:r w:rsidR="00753C49">
        <w:rPr>
          <w:lang w:val="en-US"/>
        </w:rPr>
        <w:t xml:space="preserve"> </w:t>
      </w:r>
      <w:r w:rsidR="00753C49" w:rsidRPr="00753C49">
        <w:rPr>
          <w:lang w:val="en-US"/>
        </w:rPr>
        <w:t>Research</w:t>
      </w:r>
      <w:r w:rsidR="00753C49">
        <w:rPr>
          <w:lang w:val="en-US"/>
        </w:rPr>
        <w:t xml:space="preserve">, </w:t>
      </w:r>
      <w:proofErr w:type="spellStart"/>
      <w:r w:rsidR="00753C49">
        <w:rPr>
          <w:lang w:val="en-US"/>
        </w:rPr>
        <w:t>volumen</w:t>
      </w:r>
      <w:proofErr w:type="spellEnd"/>
      <w:r w:rsidR="00753C49" w:rsidRPr="00753C49">
        <w:rPr>
          <w:lang w:val="en-US"/>
        </w:rPr>
        <w:t xml:space="preserve"> 15</w:t>
      </w:r>
      <w:r w:rsidR="00753C49">
        <w:rPr>
          <w:lang w:val="en-US"/>
        </w:rPr>
        <w:t>,</w:t>
      </w:r>
      <w:r w:rsidR="00753C49" w:rsidRPr="00753C49">
        <w:rPr>
          <w:lang w:val="en-US"/>
        </w:rPr>
        <w:t xml:space="preserve"> </w:t>
      </w:r>
      <w:proofErr w:type="spellStart"/>
      <w:r w:rsidR="00753C49">
        <w:rPr>
          <w:lang w:val="en-US"/>
        </w:rPr>
        <w:t>número</w:t>
      </w:r>
      <w:proofErr w:type="spellEnd"/>
      <w:r w:rsidR="00753C49" w:rsidRPr="00753C49">
        <w:rPr>
          <w:lang w:val="en-US"/>
        </w:rPr>
        <w:t xml:space="preserve"> 2, 2014</w:t>
      </w:r>
      <w:r w:rsidR="00753C49">
        <w:rPr>
          <w:lang w:val="en-US"/>
        </w:rPr>
        <w:t xml:space="preserve">, </w:t>
      </w:r>
      <w:proofErr w:type="spellStart"/>
      <w:r w:rsidR="00753C49">
        <w:rPr>
          <w:lang w:val="en-US"/>
        </w:rPr>
        <w:t>páginas</w:t>
      </w:r>
      <w:proofErr w:type="spellEnd"/>
      <w:r w:rsidR="00753C49" w:rsidRPr="00753C49">
        <w:rPr>
          <w:lang w:val="en-US"/>
        </w:rPr>
        <w:t xml:space="preserve"> </w:t>
      </w:r>
      <w:r w:rsidR="00753C49" w:rsidRPr="00BE195A">
        <w:rPr>
          <w:lang w:val="en-US"/>
        </w:rPr>
        <w:t xml:space="preserve">158 a 174) </w:t>
      </w:r>
      <w:proofErr w:type="spellStart"/>
      <w:r w:rsidR="00753C49" w:rsidRPr="00BE195A">
        <w:rPr>
          <w:lang w:val="en-US"/>
        </w:rPr>
        <w:t>enseñan</w:t>
      </w:r>
      <w:proofErr w:type="spellEnd"/>
      <w:r w:rsidR="00753C49" w:rsidRPr="00BE195A">
        <w:rPr>
          <w:lang w:val="en-US"/>
        </w:rPr>
        <w:t>: “(…)</w:t>
      </w:r>
      <w:r w:rsidR="00823462" w:rsidRPr="00BE195A">
        <w:rPr>
          <w:lang w:val="en-US"/>
        </w:rPr>
        <w:t xml:space="preserve"> </w:t>
      </w:r>
      <w:proofErr w:type="gramStart"/>
      <w:r w:rsidR="00823462" w:rsidRPr="00BE195A">
        <w:rPr>
          <w:i/>
          <w:lang w:val="en-US"/>
        </w:rPr>
        <w:t>This</w:t>
      </w:r>
      <w:proofErr w:type="gramEnd"/>
      <w:r w:rsidR="00823462" w:rsidRPr="00BE195A">
        <w:rPr>
          <w:i/>
          <w:lang w:val="en-US"/>
        </w:rPr>
        <w:t xml:space="preserve"> paper finds that a psychological effect cannot be overlooked when we study the effect of using ITs on users’ behavior.</w:t>
      </w:r>
      <w:r w:rsidR="00823462" w:rsidRPr="00BE195A">
        <w:rPr>
          <w:lang w:val="en-US"/>
        </w:rPr>
        <w:t xml:space="preserve"> (…)”</w:t>
      </w:r>
      <w:r w:rsidR="00BE195A" w:rsidRPr="00BE195A">
        <w:rPr>
          <w:lang w:val="en-US"/>
        </w:rPr>
        <w:t>.</w:t>
      </w:r>
      <w:r w:rsidR="00DE422E">
        <w:rPr>
          <w:lang w:val="en-US"/>
        </w:rPr>
        <w:t xml:space="preserve"> </w:t>
      </w:r>
      <w:proofErr w:type="gramStart"/>
      <w:r w:rsidR="00DE422E">
        <w:rPr>
          <w:lang w:val="en-US"/>
        </w:rPr>
        <w:t xml:space="preserve">Al </w:t>
      </w:r>
      <w:proofErr w:type="spellStart"/>
      <w:r w:rsidR="00DE422E">
        <w:rPr>
          <w:lang w:val="en-US"/>
        </w:rPr>
        <w:t>respect</w:t>
      </w:r>
      <w:r w:rsidR="005A3ADA">
        <w:rPr>
          <w:lang w:val="en-US"/>
        </w:rPr>
        <w:t>o</w:t>
      </w:r>
      <w:proofErr w:type="spellEnd"/>
      <w:r w:rsidR="00DE422E">
        <w:rPr>
          <w:lang w:val="en-US"/>
        </w:rPr>
        <w:t xml:space="preserve"> </w:t>
      </w:r>
      <w:proofErr w:type="spellStart"/>
      <w:r w:rsidR="00DE422E">
        <w:rPr>
          <w:lang w:val="en-US"/>
        </w:rPr>
        <w:t>ya</w:t>
      </w:r>
      <w:proofErr w:type="spellEnd"/>
      <w:r w:rsidR="00DE422E">
        <w:rPr>
          <w:lang w:val="en-US"/>
        </w:rPr>
        <w:t xml:space="preserve"> </w:t>
      </w:r>
      <w:proofErr w:type="spellStart"/>
      <w:r w:rsidR="00DE422E">
        <w:rPr>
          <w:lang w:val="en-US"/>
        </w:rPr>
        <w:t>hemos</w:t>
      </w:r>
      <w:proofErr w:type="spellEnd"/>
      <w:r w:rsidR="00DE422E">
        <w:rPr>
          <w:lang w:val="en-US"/>
        </w:rPr>
        <w:t xml:space="preserve"> </w:t>
      </w:r>
      <w:proofErr w:type="spellStart"/>
      <w:r w:rsidR="00DE422E">
        <w:rPr>
          <w:lang w:val="en-US"/>
        </w:rPr>
        <w:t>llamado</w:t>
      </w:r>
      <w:proofErr w:type="spellEnd"/>
      <w:r w:rsidR="00DE422E">
        <w:rPr>
          <w:lang w:val="en-US"/>
        </w:rPr>
        <w:t xml:space="preserve"> la </w:t>
      </w:r>
      <w:proofErr w:type="spellStart"/>
      <w:r w:rsidR="00DE422E">
        <w:rPr>
          <w:lang w:val="en-US"/>
        </w:rPr>
        <w:t>atención</w:t>
      </w:r>
      <w:proofErr w:type="spellEnd"/>
      <w:r w:rsidR="00DE422E">
        <w:rPr>
          <w:lang w:val="en-US"/>
        </w:rPr>
        <w:t xml:space="preserve"> </w:t>
      </w:r>
      <w:proofErr w:type="spellStart"/>
      <w:r w:rsidR="00DE422E">
        <w:rPr>
          <w:lang w:val="en-US"/>
        </w:rPr>
        <w:t>en</w:t>
      </w:r>
      <w:proofErr w:type="spellEnd"/>
      <w:r w:rsidR="00DE422E">
        <w:rPr>
          <w:lang w:val="en-US"/>
        </w:rPr>
        <w:t xml:space="preserve"> </w:t>
      </w:r>
      <w:hyperlink r:id="rId11" w:history="1">
        <w:proofErr w:type="spellStart"/>
        <w:r w:rsidR="00DE422E" w:rsidRPr="00DE422E">
          <w:rPr>
            <w:rStyle w:val="Hyperlink"/>
            <w:lang w:val="en-US"/>
          </w:rPr>
          <w:t>Contrapartida</w:t>
        </w:r>
        <w:proofErr w:type="spellEnd"/>
        <w:r w:rsidR="00DE422E" w:rsidRPr="00DE422E">
          <w:rPr>
            <w:rStyle w:val="Hyperlink"/>
            <w:lang w:val="en-US"/>
          </w:rPr>
          <w:t xml:space="preserve"> 1239</w:t>
        </w:r>
      </w:hyperlink>
      <w:r w:rsidR="00DE422E">
        <w:rPr>
          <w:lang w:val="en-US"/>
        </w:rPr>
        <w:t>.</w:t>
      </w:r>
      <w:proofErr w:type="gramEnd"/>
    </w:p>
    <w:p w:rsidR="00C9247A" w:rsidRDefault="00C9247A" w:rsidP="00823462">
      <w:r w:rsidRPr="00C9247A">
        <w:t xml:space="preserve">Desde cuando llegó a nuestras manos el libro </w:t>
      </w:r>
      <w:hyperlink r:id="rId12" w:history="1">
        <w:r w:rsidRPr="00C9247A">
          <w:rPr>
            <w:rStyle w:val="Hyperlink"/>
            <w:i/>
          </w:rPr>
          <w:t>La contabilidad y el comportamiento humano</w:t>
        </w:r>
      </w:hyperlink>
      <w:r w:rsidRPr="00C9247A">
        <w:t xml:space="preserve"> (1975) </w:t>
      </w:r>
      <w:r>
        <w:t>hemos tenido clara la importancia de la sicología contable, ausente en prácticamente todos los planes de estudio de nuestras escuelas universitarias.</w:t>
      </w:r>
    </w:p>
    <w:p w:rsidR="001F67FA" w:rsidRDefault="00DA7CCC" w:rsidP="00823462">
      <w:r>
        <w:t xml:space="preserve">Algunos contadores piensan que la cuestión se supera calificando el riesgo </w:t>
      </w:r>
      <w:r w:rsidR="00C94C15">
        <w:t>como</w:t>
      </w:r>
      <w:r>
        <w:t xml:space="preserve"> alto y planeando y ejecutando procedimientos de a</w:t>
      </w:r>
      <w:r w:rsidR="00E96EC4">
        <w:t>u</w:t>
      </w:r>
      <w:r>
        <w:t xml:space="preserve">ditoría según esa </w:t>
      </w:r>
      <w:r w:rsidR="00E96EC4">
        <w:t>calificación. Pero no. Esto es buscar el fraude a ciegas. Aquí, como en otros asuntos de auditoría, es necesario hacer evaluaciones a la medida, que correspondan claramente al ente contable respectivo.</w:t>
      </w:r>
      <w:r w:rsidR="0095288C">
        <w:t xml:space="preserve"> La evaluación de riesgo incluye el examen de las personas concretas involucradas en el proceso administrativo, pues sus emociones determinarán su conducta ética. </w:t>
      </w:r>
    </w:p>
    <w:p w:rsidR="00BF0941" w:rsidRDefault="005F47AD" w:rsidP="00823462">
      <w:r>
        <w:t>Son las personas y no los procesos las que cometen fraudes.</w:t>
      </w:r>
    </w:p>
    <w:p w:rsidR="005F47AD" w:rsidRPr="005F47AD" w:rsidRDefault="005F47AD" w:rsidP="005F47AD">
      <w:pPr>
        <w:jc w:val="right"/>
        <w:rPr>
          <w:i/>
        </w:rPr>
      </w:pPr>
      <w:r w:rsidRPr="005F47AD">
        <w:rPr>
          <w:i/>
        </w:rPr>
        <w:t>Hernando Bermúdez Gómez</w:t>
      </w:r>
    </w:p>
    <w:sectPr w:rsidR="005F47AD" w:rsidRPr="005F47AD" w:rsidSect="007F1D21">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26C" w:rsidRDefault="006C326C" w:rsidP="00EE7812">
      <w:pPr>
        <w:spacing w:after="0" w:line="240" w:lineRule="auto"/>
      </w:pPr>
      <w:r>
        <w:separator/>
      </w:r>
    </w:p>
  </w:endnote>
  <w:endnote w:type="continuationSeparator" w:id="0">
    <w:p w:rsidR="006C326C" w:rsidRDefault="006C32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78" w:rsidRDefault="00983D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78" w:rsidRDefault="00983D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26C" w:rsidRDefault="006C326C" w:rsidP="00EE7812">
      <w:pPr>
        <w:spacing w:after="0" w:line="240" w:lineRule="auto"/>
      </w:pPr>
      <w:r>
        <w:separator/>
      </w:r>
    </w:p>
  </w:footnote>
  <w:footnote w:type="continuationSeparator" w:id="0">
    <w:p w:rsidR="006C326C" w:rsidRDefault="006C326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78" w:rsidRDefault="00983D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DD4B48">
      <w:t>74</w:t>
    </w:r>
    <w:r>
      <w:t xml:space="preserve">, </w:t>
    </w:r>
    <w:r w:rsidR="00983D78">
      <w:t>julio</w:t>
    </w:r>
    <w:r w:rsidR="000C1253">
      <w:t xml:space="preserve"> </w:t>
    </w:r>
    <w:r w:rsidR="00983D78">
      <w:t>6</w:t>
    </w:r>
    <w:r w:rsidR="0015507D">
      <w:t xml:space="preserve"> </w:t>
    </w:r>
    <w:r w:rsidR="007D018A">
      <w:t>de 2015</w:t>
    </w:r>
  </w:p>
  <w:p w:rsidR="00D945A4" w:rsidRDefault="006C326C"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78" w:rsidRDefault="00983D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4F7F"/>
    <w:rsid w:val="00045584"/>
    <w:rsid w:val="00045B54"/>
    <w:rsid w:val="00045CEE"/>
    <w:rsid w:val="00045DBF"/>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2F8"/>
    <w:rsid w:val="00052C72"/>
    <w:rsid w:val="00052CCD"/>
    <w:rsid w:val="0005324C"/>
    <w:rsid w:val="000532A0"/>
    <w:rsid w:val="00053A47"/>
    <w:rsid w:val="00053E5E"/>
    <w:rsid w:val="00054412"/>
    <w:rsid w:val="000544F4"/>
    <w:rsid w:val="00054502"/>
    <w:rsid w:val="000546EA"/>
    <w:rsid w:val="000549E0"/>
    <w:rsid w:val="00054A86"/>
    <w:rsid w:val="00055092"/>
    <w:rsid w:val="000552FF"/>
    <w:rsid w:val="00055569"/>
    <w:rsid w:val="000556F5"/>
    <w:rsid w:val="000558EC"/>
    <w:rsid w:val="00055BBF"/>
    <w:rsid w:val="00055BEB"/>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39D"/>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2FA"/>
    <w:rsid w:val="000C577F"/>
    <w:rsid w:val="000C5B4E"/>
    <w:rsid w:val="000C5C15"/>
    <w:rsid w:val="000C6292"/>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3DE8"/>
    <w:rsid w:val="001144C9"/>
    <w:rsid w:val="0011483A"/>
    <w:rsid w:val="001148B6"/>
    <w:rsid w:val="0011491F"/>
    <w:rsid w:val="00114B85"/>
    <w:rsid w:val="00114BB6"/>
    <w:rsid w:val="00114E29"/>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89E"/>
    <w:rsid w:val="00134B30"/>
    <w:rsid w:val="00134C49"/>
    <w:rsid w:val="00134FC5"/>
    <w:rsid w:val="0013508F"/>
    <w:rsid w:val="001350EC"/>
    <w:rsid w:val="001351A7"/>
    <w:rsid w:val="0013525B"/>
    <w:rsid w:val="00135370"/>
    <w:rsid w:val="00135B2F"/>
    <w:rsid w:val="00135EC2"/>
    <w:rsid w:val="001360F3"/>
    <w:rsid w:val="001361F9"/>
    <w:rsid w:val="001364BB"/>
    <w:rsid w:val="001369F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2324"/>
    <w:rsid w:val="001E24BF"/>
    <w:rsid w:val="001E24EE"/>
    <w:rsid w:val="001E2841"/>
    <w:rsid w:val="001E28B2"/>
    <w:rsid w:val="001E2A48"/>
    <w:rsid w:val="001E2D9E"/>
    <w:rsid w:val="001E2EE4"/>
    <w:rsid w:val="001E3FF1"/>
    <w:rsid w:val="001E4397"/>
    <w:rsid w:val="001E4407"/>
    <w:rsid w:val="001E5433"/>
    <w:rsid w:val="001E54DB"/>
    <w:rsid w:val="001E57DC"/>
    <w:rsid w:val="001E591D"/>
    <w:rsid w:val="001E5CFD"/>
    <w:rsid w:val="001E5DAC"/>
    <w:rsid w:val="001E5EFD"/>
    <w:rsid w:val="001E67DC"/>
    <w:rsid w:val="001E690D"/>
    <w:rsid w:val="001E6B0D"/>
    <w:rsid w:val="001E6C65"/>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F8"/>
    <w:rsid w:val="00203404"/>
    <w:rsid w:val="0020343C"/>
    <w:rsid w:val="0020358F"/>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6F92"/>
    <w:rsid w:val="002C77DC"/>
    <w:rsid w:val="002C7C7C"/>
    <w:rsid w:val="002C7D58"/>
    <w:rsid w:val="002D0529"/>
    <w:rsid w:val="002D05B2"/>
    <w:rsid w:val="002D06BC"/>
    <w:rsid w:val="002D0854"/>
    <w:rsid w:val="002D09F4"/>
    <w:rsid w:val="002D0C46"/>
    <w:rsid w:val="002D0D4F"/>
    <w:rsid w:val="002D0FFA"/>
    <w:rsid w:val="002D10A5"/>
    <w:rsid w:val="002D10CC"/>
    <w:rsid w:val="002D186D"/>
    <w:rsid w:val="002D1AC2"/>
    <w:rsid w:val="002D1E3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5EFF"/>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21F"/>
    <w:rsid w:val="003213AB"/>
    <w:rsid w:val="00321963"/>
    <w:rsid w:val="0032234B"/>
    <w:rsid w:val="00322403"/>
    <w:rsid w:val="00322941"/>
    <w:rsid w:val="003229C1"/>
    <w:rsid w:val="00322CB9"/>
    <w:rsid w:val="00323197"/>
    <w:rsid w:val="003234F1"/>
    <w:rsid w:val="00323AD2"/>
    <w:rsid w:val="00323B5E"/>
    <w:rsid w:val="00323F3B"/>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946"/>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BC0"/>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267"/>
    <w:rsid w:val="00381384"/>
    <w:rsid w:val="0038141A"/>
    <w:rsid w:val="003816CA"/>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1062B"/>
    <w:rsid w:val="00410BC0"/>
    <w:rsid w:val="004118D5"/>
    <w:rsid w:val="00411CD6"/>
    <w:rsid w:val="00411D06"/>
    <w:rsid w:val="00411D23"/>
    <w:rsid w:val="0041208E"/>
    <w:rsid w:val="00412357"/>
    <w:rsid w:val="004124F8"/>
    <w:rsid w:val="00412ABA"/>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8AE"/>
    <w:rsid w:val="00453920"/>
    <w:rsid w:val="00453DF9"/>
    <w:rsid w:val="00453E06"/>
    <w:rsid w:val="00454122"/>
    <w:rsid w:val="00454916"/>
    <w:rsid w:val="00455135"/>
    <w:rsid w:val="004551D0"/>
    <w:rsid w:val="004553EF"/>
    <w:rsid w:val="00456FC7"/>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C1"/>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47D"/>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6045"/>
    <w:rsid w:val="004C6647"/>
    <w:rsid w:val="004C69B6"/>
    <w:rsid w:val="004C69F6"/>
    <w:rsid w:val="004C6C28"/>
    <w:rsid w:val="004C6E53"/>
    <w:rsid w:val="004C6ECE"/>
    <w:rsid w:val="004C6F07"/>
    <w:rsid w:val="004C6F9C"/>
    <w:rsid w:val="004C725F"/>
    <w:rsid w:val="004C7577"/>
    <w:rsid w:val="004C7893"/>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E3"/>
    <w:rsid w:val="00512DDE"/>
    <w:rsid w:val="00513711"/>
    <w:rsid w:val="005137FD"/>
    <w:rsid w:val="00513834"/>
    <w:rsid w:val="00513A61"/>
    <w:rsid w:val="00513C41"/>
    <w:rsid w:val="00513C52"/>
    <w:rsid w:val="00513D6D"/>
    <w:rsid w:val="00513F76"/>
    <w:rsid w:val="00514060"/>
    <w:rsid w:val="00514203"/>
    <w:rsid w:val="005145A1"/>
    <w:rsid w:val="00514A1F"/>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87B09"/>
    <w:rsid w:val="005900C1"/>
    <w:rsid w:val="005901A1"/>
    <w:rsid w:val="0059080E"/>
    <w:rsid w:val="0059082B"/>
    <w:rsid w:val="00590CC7"/>
    <w:rsid w:val="00590E9E"/>
    <w:rsid w:val="005911D3"/>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ADA"/>
    <w:rsid w:val="005A3B1D"/>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68C5"/>
    <w:rsid w:val="00606B11"/>
    <w:rsid w:val="00607169"/>
    <w:rsid w:val="006104BB"/>
    <w:rsid w:val="00610AA1"/>
    <w:rsid w:val="00611198"/>
    <w:rsid w:val="006114B6"/>
    <w:rsid w:val="006115AA"/>
    <w:rsid w:val="006118EA"/>
    <w:rsid w:val="006118F0"/>
    <w:rsid w:val="00611B3B"/>
    <w:rsid w:val="00611C9D"/>
    <w:rsid w:val="00611CFB"/>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5931"/>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7D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69"/>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DAC"/>
    <w:rsid w:val="006C2F41"/>
    <w:rsid w:val="006C326C"/>
    <w:rsid w:val="006C34E0"/>
    <w:rsid w:val="006C3608"/>
    <w:rsid w:val="006C3B1C"/>
    <w:rsid w:val="006C3B54"/>
    <w:rsid w:val="006C3D47"/>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1E"/>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434"/>
    <w:rsid w:val="006E49B8"/>
    <w:rsid w:val="006E513C"/>
    <w:rsid w:val="006E5740"/>
    <w:rsid w:val="006E583C"/>
    <w:rsid w:val="006E5B6B"/>
    <w:rsid w:val="006E6409"/>
    <w:rsid w:val="006E64B2"/>
    <w:rsid w:val="006E663D"/>
    <w:rsid w:val="006E689C"/>
    <w:rsid w:val="006E6AA6"/>
    <w:rsid w:val="006E6B2B"/>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A08"/>
    <w:rsid w:val="00714C3F"/>
    <w:rsid w:val="00714F1C"/>
    <w:rsid w:val="0071505D"/>
    <w:rsid w:val="00715172"/>
    <w:rsid w:val="0071519C"/>
    <w:rsid w:val="0071560B"/>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2DCA"/>
    <w:rsid w:val="00723536"/>
    <w:rsid w:val="0072374D"/>
    <w:rsid w:val="00723A1F"/>
    <w:rsid w:val="00723D0F"/>
    <w:rsid w:val="007243EC"/>
    <w:rsid w:val="00724503"/>
    <w:rsid w:val="0072513A"/>
    <w:rsid w:val="007258D5"/>
    <w:rsid w:val="00726351"/>
    <w:rsid w:val="00726B99"/>
    <w:rsid w:val="0072718B"/>
    <w:rsid w:val="007271F8"/>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3D0"/>
    <w:rsid w:val="007E147C"/>
    <w:rsid w:val="007E1535"/>
    <w:rsid w:val="007E1706"/>
    <w:rsid w:val="007E2171"/>
    <w:rsid w:val="007E22ED"/>
    <w:rsid w:val="007E2847"/>
    <w:rsid w:val="007E2C15"/>
    <w:rsid w:val="007E2F1A"/>
    <w:rsid w:val="007E3419"/>
    <w:rsid w:val="007E3591"/>
    <w:rsid w:val="007E3744"/>
    <w:rsid w:val="007E3885"/>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19E0"/>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7D3"/>
    <w:rsid w:val="00850925"/>
    <w:rsid w:val="00850963"/>
    <w:rsid w:val="00850E4D"/>
    <w:rsid w:val="00850F69"/>
    <w:rsid w:val="00851528"/>
    <w:rsid w:val="00851532"/>
    <w:rsid w:val="00851D5E"/>
    <w:rsid w:val="008520E3"/>
    <w:rsid w:val="0085230D"/>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C0E"/>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339"/>
    <w:rsid w:val="0091348F"/>
    <w:rsid w:val="00913900"/>
    <w:rsid w:val="00913C6B"/>
    <w:rsid w:val="00913CD2"/>
    <w:rsid w:val="00914207"/>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5CD"/>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88C"/>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508E"/>
    <w:rsid w:val="0097518F"/>
    <w:rsid w:val="009754B0"/>
    <w:rsid w:val="009754F0"/>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3D78"/>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12D3"/>
    <w:rsid w:val="00991BD1"/>
    <w:rsid w:val="00992431"/>
    <w:rsid w:val="00992672"/>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114"/>
    <w:rsid w:val="009B1185"/>
    <w:rsid w:val="009B1450"/>
    <w:rsid w:val="009B160B"/>
    <w:rsid w:val="009B172F"/>
    <w:rsid w:val="009B1801"/>
    <w:rsid w:val="009B1AEC"/>
    <w:rsid w:val="009B1D72"/>
    <w:rsid w:val="009B2240"/>
    <w:rsid w:val="009B2413"/>
    <w:rsid w:val="009B29B0"/>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537"/>
    <w:rsid w:val="009E38ED"/>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692"/>
    <w:rsid w:val="00A93B3F"/>
    <w:rsid w:val="00A93B93"/>
    <w:rsid w:val="00A93D1C"/>
    <w:rsid w:val="00A94A9D"/>
    <w:rsid w:val="00A94D42"/>
    <w:rsid w:val="00A951CE"/>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97B55"/>
    <w:rsid w:val="00AA0159"/>
    <w:rsid w:val="00AA01B9"/>
    <w:rsid w:val="00AA023F"/>
    <w:rsid w:val="00AA0507"/>
    <w:rsid w:val="00AA0E9F"/>
    <w:rsid w:val="00AA12F3"/>
    <w:rsid w:val="00AA1E04"/>
    <w:rsid w:val="00AA1F74"/>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DC2"/>
    <w:rsid w:val="00AC3DE5"/>
    <w:rsid w:val="00AC4392"/>
    <w:rsid w:val="00AC4963"/>
    <w:rsid w:val="00AC4BC4"/>
    <w:rsid w:val="00AC5035"/>
    <w:rsid w:val="00AC50A0"/>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95D"/>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B00436"/>
    <w:rsid w:val="00B00890"/>
    <w:rsid w:val="00B0097B"/>
    <w:rsid w:val="00B00A84"/>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822"/>
    <w:rsid w:val="00B241C9"/>
    <w:rsid w:val="00B241F0"/>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B31"/>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DD"/>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C4E"/>
    <w:rsid w:val="00BA4E08"/>
    <w:rsid w:val="00BA508E"/>
    <w:rsid w:val="00BA55B8"/>
    <w:rsid w:val="00BA5708"/>
    <w:rsid w:val="00BA574E"/>
    <w:rsid w:val="00BA57B9"/>
    <w:rsid w:val="00BA58E8"/>
    <w:rsid w:val="00BA5D53"/>
    <w:rsid w:val="00BA5EB1"/>
    <w:rsid w:val="00BA5F71"/>
    <w:rsid w:val="00BA6088"/>
    <w:rsid w:val="00BA61F5"/>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1DC8"/>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0F"/>
    <w:rsid w:val="00BD116D"/>
    <w:rsid w:val="00BD18DA"/>
    <w:rsid w:val="00BD1F4D"/>
    <w:rsid w:val="00BD1F79"/>
    <w:rsid w:val="00BD20DB"/>
    <w:rsid w:val="00BD2147"/>
    <w:rsid w:val="00BD22AA"/>
    <w:rsid w:val="00BD26A3"/>
    <w:rsid w:val="00BD299E"/>
    <w:rsid w:val="00BD2D89"/>
    <w:rsid w:val="00BD2FEE"/>
    <w:rsid w:val="00BD36AD"/>
    <w:rsid w:val="00BD39AF"/>
    <w:rsid w:val="00BD3A7C"/>
    <w:rsid w:val="00BD3BFC"/>
    <w:rsid w:val="00BD429E"/>
    <w:rsid w:val="00BD44BD"/>
    <w:rsid w:val="00BD4670"/>
    <w:rsid w:val="00BD4677"/>
    <w:rsid w:val="00BD4691"/>
    <w:rsid w:val="00BD4B25"/>
    <w:rsid w:val="00BD4EB8"/>
    <w:rsid w:val="00BD555A"/>
    <w:rsid w:val="00BD6501"/>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7D"/>
    <w:rsid w:val="00BE76E5"/>
    <w:rsid w:val="00BE7898"/>
    <w:rsid w:val="00BE7BE9"/>
    <w:rsid w:val="00BF00CA"/>
    <w:rsid w:val="00BF016E"/>
    <w:rsid w:val="00BF02CA"/>
    <w:rsid w:val="00BF0329"/>
    <w:rsid w:val="00BF0941"/>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588A"/>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47A"/>
    <w:rsid w:val="00C9293E"/>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848"/>
    <w:rsid w:val="00C96948"/>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CE9"/>
    <w:rsid w:val="00CC2DAD"/>
    <w:rsid w:val="00CC2E12"/>
    <w:rsid w:val="00CC312D"/>
    <w:rsid w:val="00CC3401"/>
    <w:rsid w:val="00CC48AC"/>
    <w:rsid w:val="00CC4C50"/>
    <w:rsid w:val="00CC4DDA"/>
    <w:rsid w:val="00CC4F80"/>
    <w:rsid w:val="00CC5087"/>
    <w:rsid w:val="00CC51FA"/>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900"/>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7C6"/>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856"/>
    <w:rsid w:val="00D61C27"/>
    <w:rsid w:val="00D62FA2"/>
    <w:rsid w:val="00D631C5"/>
    <w:rsid w:val="00D6347C"/>
    <w:rsid w:val="00D6365D"/>
    <w:rsid w:val="00D63881"/>
    <w:rsid w:val="00D6389C"/>
    <w:rsid w:val="00D63C38"/>
    <w:rsid w:val="00D63E8B"/>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73F"/>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CD1"/>
    <w:rsid w:val="00DE1008"/>
    <w:rsid w:val="00DE12FF"/>
    <w:rsid w:val="00DE134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22E"/>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752"/>
    <w:rsid w:val="00DF6767"/>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7064"/>
    <w:rsid w:val="00E170EB"/>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6FE"/>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0EB1"/>
    <w:rsid w:val="00E91023"/>
    <w:rsid w:val="00E9102E"/>
    <w:rsid w:val="00E91142"/>
    <w:rsid w:val="00E91696"/>
    <w:rsid w:val="00E91CA5"/>
    <w:rsid w:val="00E92590"/>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81A"/>
    <w:rsid w:val="00EB7BF4"/>
    <w:rsid w:val="00EB7CAC"/>
    <w:rsid w:val="00EC02DE"/>
    <w:rsid w:val="00EC0681"/>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647"/>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50"/>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87F"/>
    <w:rsid w:val="00F65C3D"/>
    <w:rsid w:val="00F66046"/>
    <w:rsid w:val="00F664DA"/>
    <w:rsid w:val="00F665C9"/>
    <w:rsid w:val="00F67568"/>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1E5"/>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atalogo.zamorano.edu/cgi-bin/koha/opac-detail.pl?biblionumber=92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1239.doc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meraldinsight.com/doi/abs/10.1108/JAAR-12-2011-0102?af=R&am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302.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3EFD9626-E5B0-41D4-8763-8437CFF9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2790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2015-07-04T21:25:00Z</dcterms:created>
  <dcterms:modified xsi:type="dcterms:W3CDTF">2015-07-04T21:25:00Z</dcterms:modified>
</cp:coreProperties>
</file>