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B88" w:rsidRPr="00385B88" w:rsidRDefault="00385B88" w:rsidP="00385B8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385B88">
        <w:rPr>
          <w:position w:val="-9"/>
          <w:sz w:val="123"/>
        </w:rPr>
        <w:t>E</w:t>
      </w:r>
    </w:p>
    <w:p w:rsidR="0095003F" w:rsidRDefault="00385B88" w:rsidP="00014613">
      <w:r>
        <w:t xml:space="preserve">l artículo 11 de la </w:t>
      </w:r>
      <w:hyperlink r:id="rId9" w:history="1">
        <w:r w:rsidRPr="00385B88">
          <w:rPr>
            <w:rStyle w:val="Hyperlink"/>
          </w:rPr>
          <w:t>Ley 1314 de 2009</w:t>
        </w:r>
      </w:hyperlink>
      <w:r>
        <w:t xml:space="preserve"> dispuso que el Consejo Técnico de la Contaduría Pública contará “(…) </w:t>
      </w:r>
      <w:r w:rsidRPr="0095003F">
        <w:rPr>
          <w:i/>
        </w:rPr>
        <w:t>con los recursos necesarios para el ejercicio de sus funciones</w:t>
      </w:r>
      <w:r w:rsidRPr="00385B88">
        <w:t>.</w:t>
      </w:r>
      <w:r>
        <w:t xml:space="preserve"> (…)”. Hasta el momento</w:t>
      </w:r>
      <w:r w:rsidR="00395DDE">
        <w:t>,</w:t>
      </w:r>
      <w:r>
        <w:t xml:space="preserve"> el Ministerio de Comercio, Industria y Turismo no ha </w:t>
      </w:r>
      <w:r w:rsidR="00395DDE">
        <w:t>dado a conocer al público</w:t>
      </w:r>
      <w:r>
        <w:t xml:space="preserve"> el presupuesto asignado para cada vigencia, como tampoco las respectivas ejecuciones. Según entendemos, aunque la situación ha ido mejorando, los recursos </w:t>
      </w:r>
      <w:r w:rsidR="006137CA">
        <w:t>ejecutados han sido escasos.</w:t>
      </w:r>
      <w:r w:rsidR="00FF5B13">
        <w:t xml:space="preserve"> Así las cosas</w:t>
      </w:r>
      <w:r w:rsidR="00C00675">
        <w:t>,</w:t>
      </w:r>
      <w:r w:rsidR="00FF5B13">
        <w:t xml:space="preserve"> no </w:t>
      </w:r>
      <w:r w:rsidR="00BF0DE4">
        <w:t>es</w:t>
      </w:r>
      <w:r w:rsidR="00FF5B13">
        <w:t xml:space="preserve"> claro si el CTCP está en la posibilidad de realizar estudios que permitan establecer el impacto de </w:t>
      </w:r>
      <w:r w:rsidR="004C6396">
        <w:t>posibles normas de contabilidad, información financiera y aseguramiento de información.</w:t>
      </w:r>
    </w:p>
    <w:p w:rsidR="00BF0DE4" w:rsidRDefault="00BF0DE4" w:rsidP="00014613">
      <w:r>
        <w:t xml:space="preserve">Algunos contadores consideran que el CTCP ha </w:t>
      </w:r>
      <w:hyperlink r:id="rId10" w:history="1">
        <w:r w:rsidRPr="00CD46A8">
          <w:rPr>
            <w:rStyle w:val="Hyperlink"/>
          </w:rPr>
          <w:t>violado la ley</w:t>
        </w:r>
      </w:hyperlink>
      <w:r>
        <w:t xml:space="preserve"> por no haber efectuado los aludidos análisis de impacto.</w:t>
      </w:r>
      <w:r w:rsidR="00CD46A8">
        <w:t xml:space="preserve"> Dicho organismo de normalización ha respondido que </w:t>
      </w:r>
      <w:r w:rsidR="00D37D86">
        <w:t xml:space="preserve">él no está obligado a hacerlos y que tal tarea </w:t>
      </w:r>
      <w:hyperlink r:id="rId11" w:history="1">
        <w:r w:rsidR="00D37D86" w:rsidRPr="00092F8B">
          <w:rPr>
            <w:rStyle w:val="Hyperlink"/>
          </w:rPr>
          <w:t>corresponde a otros</w:t>
        </w:r>
      </w:hyperlink>
      <w:r w:rsidR="00D37D86">
        <w:t xml:space="preserve">, como la DIAN y las superintendencias. </w:t>
      </w:r>
      <w:r w:rsidR="009D7268">
        <w:t>Sea lo uno o lo otro</w:t>
      </w:r>
      <w:r w:rsidR="00C00675">
        <w:t>,</w:t>
      </w:r>
      <w:r w:rsidR="009D7268">
        <w:t xml:space="preserve"> lo cierto es que tales estudios no se han hecho con el rigor adecuado.</w:t>
      </w:r>
    </w:p>
    <w:p w:rsidR="009D7268" w:rsidRDefault="00C00675" w:rsidP="006463BC">
      <w:r>
        <w:t xml:space="preserve">En nuestro criterio la necesidad de evaluar el efecto de las posibles normas está implícita en el deber de cuidado que corresponde a todo el que ejerce funciones públicas. </w:t>
      </w:r>
      <w:r w:rsidR="005B2D80">
        <w:t>A la luz del artículo 8 de la Ley 1314, ídem, c</w:t>
      </w:r>
      <w:r>
        <w:t xml:space="preserve">reemos que los estudios en cuestión son necesarios para tener “(…) </w:t>
      </w:r>
      <w:r w:rsidRPr="0068497A">
        <w:rPr>
          <w:i/>
        </w:rPr>
        <w:t>en cuenta, en la medida de lo posible, la comparación entre el beneficio y el casto que producirían sus proyectos en caso de ser convertidos en normas</w:t>
      </w:r>
      <w:r>
        <w:t>. (…)”</w:t>
      </w:r>
      <w:r w:rsidR="0068497A">
        <w:t xml:space="preserve">. El impacto de las posibles normas puede ser tal que los estándares no serían “(…) </w:t>
      </w:r>
      <w:r w:rsidR="0068497A" w:rsidRPr="0068497A">
        <w:rPr>
          <w:i/>
        </w:rPr>
        <w:t xml:space="preserve">apropiados </w:t>
      </w:r>
      <w:r w:rsidR="0068497A" w:rsidRPr="0068497A">
        <w:rPr>
          <w:i/>
        </w:rPr>
        <w:lastRenderedPageBreak/>
        <w:t>para los entes en Colombia</w:t>
      </w:r>
      <w:r w:rsidR="0068497A">
        <w:t xml:space="preserve"> (…)”. Sin los análisis en comento no es posible tener “(…) </w:t>
      </w:r>
      <w:r w:rsidR="0068497A" w:rsidRPr="007E128B">
        <w:rPr>
          <w:i/>
        </w:rPr>
        <w:t xml:space="preserve">en cuenta las diferencias entre los entes económicos, en razón a su </w:t>
      </w:r>
      <w:r w:rsidR="007E128B" w:rsidRPr="007E128B">
        <w:rPr>
          <w:i/>
        </w:rPr>
        <w:t>tamaño, fo</w:t>
      </w:r>
      <w:r w:rsidR="0068497A" w:rsidRPr="007E128B">
        <w:rPr>
          <w:i/>
        </w:rPr>
        <w:t>rma de organización jurídica, el sector a</w:t>
      </w:r>
      <w:r w:rsidR="007E128B" w:rsidRPr="007E128B">
        <w:rPr>
          <w:i/>
        </w:rPr>
        <w:t>l</w:t>
      </w:r>
      <w:r w:rsidR="0068497A" w:rsidRPr="007E128B">
        <w:rPr>
          <w:i/>
        </w:rPr>
        <w:t xml:space="preserve"> que pertenecen, su número de</w:t>
      </w:r>
      <w:r w:rsidR="007E128B" w:rsidRPr="007E128B">
        <w:rPr>
          <w:i/>
        </w:rPr>
        <w:t xml:space="preserve"> </w:t>
      </w:r>
      <w:r w:rsidR="0068497A" w:rsidRPr="007E128B">
        <w:rPr>
          <w:i/>
        </w:rPr>
        <w:t>empleados y el interés público involucrado en su actividad, para que los requisitos y</w:t>
      </w:r>
      <w:r w:rsidR="007E128B" w:rsidRPr="007E128B">
        <w:rPr>
          <w:i/>
        </w:rPr>
        <w:t xml:space="preserve"> </w:t>
      </w:r>
      <w:r w:rsidR="0068497A" w:rsidRPr="007E128B">
        <w:rPr>
          <w:i/>
        </w:rPr>
        <w:t>obligaciones que se establezcan resulten razonables y acordes a tales circunstancias</w:t>
      </w:r>
      <w:r w:rsidR="0068497A">
        <w:t>.</w:t>
      </w:r>
      <w:r w:rsidR="007E128B">
        <w:t xml:space="preserve"> (…)”</w:t>
      </w:r>
      <w:r w:rsidR="00AA390B">
        <w:t>. Faltando dichos exámenes se carecerá de elementos comprobados para considerar el peso que ha de darse a las recomendaciones que se reciban de los distintos participantes en los procesos de exposición pública</w:t>
      </w:r>
      <w:r w:rsidR="000F4BE2">
        <w:t xml:space="preserve"> y no se sabrá si las normas implican “(…) </w:t>
      </w:r>
      <w:r w:rsidR="000F4BE2" w:rsidRPr="00D83634">
        <w:rPr>
          <w:i/>
        </w:rPr>
        <w:t>las menores cargas posibles para sus destinatarios</w:t>
      </w:r>
      <w:r w:rsidR="000F4BE2">
        <w:t>. (…)”.</w:t>
      </w:r>
      <w:r w:rsidR="006463BC">
        <w:t xml:space="preserve"> Adicionalmente el resultado de las indagaciones que se echan de menos sería un elemento importantísimo en la tarea de promover “(…) </w:t>
      </w:r>
      <w:r w:rsidR="006463BC" w:rsidRPr="006463BC">
        <w:rPr>
          <w:i/>
        </w:rPr>
        <w:t>un consenso nacional entorno a sus proyectos</w:t>
      </w:r>
      <w:r w:rsidR="006463BC">
        <w:t>. (…)”</w:t>
      </w:r>
      <w:r w:rsidR="00D83634">
        <w:t>.</w:t>
      </w:r>
    </w:p>
    <w:p w:rsidR="00D83634" w:rsidRDefault="00852331" w:rsidP="006463BC">
      <w:r>
        <w:t>Entre otros, l</w:t>
      </w:r>
      <w:r w:rsidR="00E71640">
        <w:t>os estudios hechos en Estados Unidos de América, la Unión Europea y Japón, son buenos ejemplos del alcance, la metodología y el rigor que debería tener el análisis del impacto probable de ser acogidas la</w:t>
      </w:r>
      <w:r w:rsidR="00670F37">
        <w:t>s</w:t>
      </w:r>
      <w:r w:rsidR="00E71640">
        <w:t xml:space="preserve"> propuestas de normas del CTCP.</w:t>
      </w:r>
      <w:r w:rsidR="00975C4F">
        <w:t xml:space="preserve"> Hasta el momento este organismo ha contado con una muy baja participación del público y con la presunción según la cual el silencio de los no participantes implicaría la ausencia de efectos negativos para las respectivas empresas.</w:t>
      </w:r>
    </w:p>
    <w:p w:rsidR="00DF2C85" w:rsidRDefault="00EB0BD7" w:rsidP="006463BC">
      <w:r>
        <w:t>Ahora bien</w:t>
      </w:r>
      <w:r w:rsidR="007E3147">
        <w:t>, en poco tiempo será evidente el impacto para los preparadores.</w:t>
      </w:r>
    </w:p>
    <w:p w:rsidR="007E3147" w:rsidRPr="007E3147" w:rsidRDefault="007E3147" w:rsidP="007E3147">
      <w:pPr>
        <w:jc w:val="right"/>
        <w:rPr>
          <w:i/>
        </w:rPr>
      </w:pPr>
      <w:r w:rsidRPr="007E3147">
        <w:rPr>
          <w:i/>
        </w:rPr>
        <w:t>Hernando Bermúdez Gómez</w:t>
      </w:r>
    </w:p>
    <w:sectPr w:rsidR="007E3147" w:rsidRPr="007E3147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85" w:rsidRDefault="00746B85" w:rsidP="00EE7812">
      <w:pPr>
        <w:spacing w:after="0" w:line="240" w:lineRule="auto"/>
      </w:pPr>
      <w:r>
        <w:separator/>
      </w:r>
    </w:p>
  </w:endnote>
  <w:endnote w:type="continuationSeparator" w:id="0">
    <w:p w:rsidR="00746B85" w:rsidRDefault="00746B8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85" w:rsidRDefault="00746B85" w:rsidP="00EE7812">
      <w:pPr>
        <w:spacing w:after="0" w:line="240" w:lineRule="auto"/>
      </w:pPr>
      <w:r>
        <w:separator/>
      </w:r>
    </w:p>
  </w:footnote>
  <w:footnote w:type="continuationSeparator" w:id="0">
    <w:p w:rsidR="00746B85" w:rsidRDefault="00746B8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014613">
      <w:t>87</w:t>
    </w:r>
    <w:r>
      <w:t xml:space="preserve">, </w:t>
    </w:r>
    <w:r w:rsidR="00676B33">
      <w:t>julio</w:t>
    </w:r>
    <w:r w:rsidR="000C1253">
      <w:t xml:space="preserve"> </w:t>
    </w:r>
    <w:r w:rsidR="00B515A9">
      <w:t>13</w:t>
    </w:r>
    <w:r w:rsidR="0015507D">
      <w:t xml:space="preserve"> </w:t>
    </w:r>
    <w:r w:rsidR="007D018A">
      <w:t>de 2015</w:t>
    </w:r>
  </w:p>
  <w:p w:rsidR="00D945A4" w:rsidRDefault="00746B8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40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588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9E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3D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561"/>
    <w:rsid w:val="00240BC8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6F1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B88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1E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2AA"/>
    <w:rsid w:val="004B747D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1451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ADA"/>
    <w:rsid w:val="005A3B1D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E8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AC0"/>
    <w:rsid w:val="00671D07"/>
    <w:rsid w:val="00671EEF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DAC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D6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7FF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B85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BD4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4475"/>
    <w:rsid w:val="008E502D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14F"/>
    <w:rsid w:val="008F02F7"/>
    <w:rsid w:val="008F0823"/>
    <w:rsid w:val="008F21D9"/>
    <w:rsid w:val="008F2355"/>
    <w:rsid w:val="008F25A6"/>
    <w:rsid w:val="008F2676"/>
    <w:rsid w:val="008F2B1B"/>
    <w:rsid w:val="008F2DD8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CA6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88C"/>
    <w:rsid w:val="00952B05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945"/>
    <w:rsid w:val="009D7C95"/>
    <w:rsid w:val="009E04D5"/>
    <w:rsid w:val="009E0D69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1DC8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FA5"/>
    <w:rsid w:val="00C9230C"/>
    <w:rsid w:val="00C9247A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900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36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1CA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FF"/>
    <w:rsid w:val="00FA5776"/>
    <w:rsid w:val="00FA5E78"/>
    <w:rsid w:val="00FA61E0"/>
    <w:rsid w:val="00FA66CD"/>
    <w:rsid w:val="00FA6A22"/>
    <w:rsid w:val="00FA6B4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tualicese.com/normatividad/2014/Conceptos/C387-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google.com/viewerng/viewer?url=http://cdn.actualicese.com/herramientas/Derecho-de-peticion-mincomercio-Rafael-Franco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http:/www.javeriana.edu.co/personales/hbermude/leycontable/contadores/2009-ley-131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F71A6FAC-0276-438F-87DD-02389385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2946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2015-07-11T22:36:00Z</dcterms:created>
  <dcterms:modified xsi:type="dcterms:W3CDTF">2015-07-11T22:36:00Z</dcterms:modified>
</cp:coreProperties>
</file>