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89" w:rsidRPr="00123289" w:rsidRDefault="00123289" w:rsidP="0012328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123289">
        <w:rPr>
          <w:position w:val="-9"/>
          <w:sz w:val="123"/>
        </w:rPr>
        <w:t>E</w:t>
      </w:r>
    </w:p>
    <w:p w:rsidR="00E535AD" w:rsidRDefault="00123289" w:rsidP="00921FE6">
      <w:r>
        <w:t>n febrero de 2014 (</w:t>
      </w:r>
      <w:hyperlink r:id="rId9" w:history="1">
        <w:r w:rsidRPr="00123289">
          <w:rPr>
            <w:rStyle w:val="Hyperlink"/>
          </w:rPr>
          <w:t>Contrapartida 849</w:t>
        </w:r>
      </w:hyperlink>
      <w:r>
        <w:t xml:space="preserve">) señalamos que las autoridades de normalización y de regulación ya deberían estar pensando en las revisiones post – implementación de las normas expedidas en desarrollo de la </w:t>
      </w:r>
      <w:hyperlink r:id="rId10" w:history="1">
        <w:r w:rsidRPr="00AF3608">
          <w:rPr>
            <w:rStyle w:val="Hyperlink"/>
          </w:rPr>
          <w:t>Ley 1314 de 2009</w:t>
        </w:r>
      </w:hyperlink>
      <w:r>
        <w:t>. Un año y medio después no tenemos ninguna noticia que indique que las autoridades nombradas se han organizado para adelantar dichas revisiones.</w:t>
      </w:r>
    </w:p>
    <w:p w:rsidR="00A11301" w:rsidRDefault="003F5359" w:rsidP="00921FE6">
      <w:r>
        <w:t xml:space="preserve">El legislador de 2009 determinó que el proceso de convergencia debe realizarse atendiendo a “(…) </w:t>
      </w:r>
      <w:r w:rsidRPr="00D31180">
        <w:rPr>
          <w:i/>
        </w:rPr>
        <w:t>las mejores prácticas</w:t>
      </w:r>
      <w:r>
        <w:t xml:space="preserve"> (…)”. Esto implica muchas cosas, en especial la observancia de un debido proceso. Pues bien: al revisar el </w:t>
      </w:r>
      <w:hyperlink r:id="rId11" w:history="1">
        <w:r w:rsidRPr="003F5359">
          <w:rPr>
            <w:rStyle w:val="Hyperlink"/>
          </w:rPr>
          <w:t>debido proceso de IASB</w:t>
        </w:r>
      </w:hyperlink>
      <w:r>
        <w:t xml:space="preserve">, que en esta materia </w:t>
      </w:r>
      <w:r w:rsidR="00D31180">
        <w:t>representa</w:t>
      </w:r>
      <w:r>
        <w:t xml:space="preserve"> las buenas prácticas, encontramos una sección dedicada a la “</w:t>
      </w:r>
      <w:r w:rsidRPr="003F5359">
        <w:rPr>
          <w:i/>
        </w:rPr>
        <w:t>Post-implementation Review</w:t>
      </w:r>
      <w:r>
        <w:t>”.</w:t>
      </w:r>
    </w:p>
    <w:p w:rsidR="00CB6B65" w:rsidRDefault="00CB6B65" w:rsidP="00921FE6">
      <w:r>
        <w:t xml:space="preserve">El 17 de junio del año en curso se </w:t>
      </w:r>
      <w:hyperlink r:id="rId12" w:history="1">
        <w:r w:rsidRPr="00CB6B65">
          <w:rPr>
            <w:rStyle w:val="Hyperlink"/>
          </w:rPr>
          <w:t>anunció</w:t>
        </w:r>
      </w:hyperlink>
      <w:r>
        <w:t xml:space="preserve"> que “</w:t>
      </w:r>
      <w:r w:rsidRPr="00CB6B65">
        <w:rPr>
          <w:i/>
        </w:rPr>
        <w:t>IASB completes Post-implementation Review of Business Combinations Standard</w:t>
      </w:r>
      <w:r>
        <w:t xml:space="preserve">”. </w:t>
      </w:r>
      <w:hyperlink r:id="rId13" w:history="1">
        <w:r w:rsidRPr="00335664">
          <w:rPr>
            <w:rStyle w:val="Hyperlink"/>
          </w:rPr>
          <w:t>Este documento</w:t>
        </w:r>
      </w:hyperlink>
      <w:r>
        <w:t xml:space="preserve"> </w:t>
      </w:r>
      <w:r w:rsidR="003F50D1">
        <w:t>(</w:t>
      </w:r>
      <w:r w:rsidR="003F50D1" w:rsidRPr="003F50D1">
        <w:t>Post-implementation Review of IFRS 3 Business Combinations</w:t>
      </w:r>
      <w:r w:rsidR="003F50D1">
        <w:t xml:space="preserve">) </w:t>
      </w:r>
      <w:r>
        <w:t>debería ser cuidadosamente analizado por las autoridades, por los académicos y por todos los interesados en el proceso de expedición de normas de contabilidad, información financiera y aseguramiento de información. Ese análisis debe</w:t>
      </w:r>
      <w:r w:rsidR="00335664">
        <w:t>ría</w:t>
      </w:r>
      <w:r>
        <w:t xml:space="preserve"> empezar por la estructura del documento.</w:t>
      </w:r>
    </w:p>
    <w:p w:rsidR="00B62B1A" w:rsidRPr="00C956ED" w:rsidRDefault="00C37F77" w:rsidP="00921FE6">
      <w:r w:rsidRPr="00C37F77">
        <w:rPr>
          <w:lang w:val="en-US"/>
        </w:rPr>
        <w:t>El documento manifiesta: “</w:t>
      </w:r>
      <w:r w:rsidRPr="00C37F77">
        <w:rPr>
          <w:i/>
          <w:lang w:val="en-US"/>
        </w:rPr>
        <w:t xml:space="preserve">There are three strands to the information we gathered in the PIR; the results of the review of academic literature and other reports, the feedback received from investors and other users of financial statements, and the feedback </w:t>
      </w:r>
      <w:r w:rsidRPr="00C37F77">
        <w:rPr>
          <w:i/>
          <w:lang w:val="en-US"/>
        </w:rPr>
        <w:lastRenderedPageBreak/>
        <w:t>received from preparers, auditors and regulators.</w:t>
      </w:r>
      <w:r>
        <w:rPr>
          <w:lang w:val="en-US"/>
        </w:rPr>
        <w:t>”</w:t>
      </w:r>
      <w:r w:rsidR="00C956ED">
        <w:rPr>
          <w:lang w:val="en-US"/>
        </w:rPr>
        <w:t xml:space="preserve">. </w:t>
      </w:r>
      <w:r w:rsidR="00C956ED" w:rsidRPr="00C956ED">
        <w:t>Las tres fuentes que indica IASB son fundamental</w:t>
      </w:r>
      <w:r w:rsidR="00C956ED">
        <w:t>e</w:t>
      </w:r>
      <w:r w:rsidR="00C956ED" w:rsidRPr="00C956ED">
        <w:t>s. Por</w:t>
      </w:r>
      <w:r w:rsidR="00C956ED">
        <w:t xml:space="preserve"> </w:t>
      </w:r>
      <w:r w:rsidR="00C956ED" w:rsidRPr="00C956ED">
        <w:t>eso en Colombia hay que lamentar la muy baja participaci</w:t>
      </w:r>
      <w:r w:rsidR="00C956ED">
        <w:t>ón de la academia en los procesos de exposición pública, la mínima participación de usuarios de la información y el silencio de la mayoría de las autoridades de supervisión y de la autoridad disciplinaria.</w:t>
      </w:r>
      <w:r w:rsidR="00692038">
        <w:t xml:space="preserve"> Adicionalmente, como también los hemos sostenido con anterioridad</w:t>
      </w:r>
      <w:r w:rsidR="003F50D1">
        <w:t xml:space="preserve"> (</w:t>
      </w:r>
      <w:hyperlink r:id="rId14" w:history="1">
        <w:r w:rsidR="003F50D1" w:rsidRPr="003F50D1">
          <w:rPr>
            <w:rStyle w:val="Hyperlink"/>
          </w:rPr>
          <w:t>Contrapartida 1191</w:t>
        </w:r>
      </w:hyperlink>
      <w:r w:rsidR="003F50D1">
        <w:t>)</w:t>
      </w:r>
      <w:r w:rsidR="00692038">
        <w:t>, hay que reprochar la indiferencia con la que las autoridades de regulación y normalización han mirado la exigua participación.</w:t>
      </w:r>
    </w:p>
    <w:p w:rsidR="00D31180" w:rsidRDefault="003F50D1" w:rsidP="00921FE6">
      <w:r>
        <w:t xml:space="preserve">Es muy importante resaltar como la revisión post – implementación de la IFRS 3 </w:t>
      </w:r>
      <w:r w:rsidR="00A262B8">
        <w:t xml:space="preserve">empieza consultando las investigaciones realizadas respecto del estándar y termina decidiendo que varios de los asuntos planteados por los que expresaron sus opiniones durante la </w:t>
      </w:r>
      <w:r w:rsidR="00D766B8">
        <w:t>consulta</w:t>
      </w:r>
      <w:r w:rsidR="00A262B8">
        <w:t xml:space="preserve"> deben ser objeto de investigación.</w:t>
      </w:r>
      <w:r w:rsidR="00E56E63">
        <w:t xml:space="preserve"> Tiempos hubo en los cuales las normas de contabilidad respondían a las prácticas generalmente aceptadas. Aunque éstas siguen siendo consideradas en muchas ocasiones, al recurrir a la investigación se incorpora </w:t>
      </w:r>
      <w:r w:rsidR="00D766B8">
        <w:t xml:space="preserve">en </w:t>
      </w:r>
      <w:r w:rsidR="00E56E63">
        <w:t xml:space="preserve">la reflexión </w:t>
      </w:r>
      <w:r w:rsidR="00D766B8">
        <w:t xml:space="preserve">las </w:t>
      </w:r>
      <w:r w:rsidR="00E56E63">
        <w:t>discusiones científicas y se alude a marcos teóricos, de los cuales se nutre el pensamiento contable.</w:t>
      </w:r>
      <w:r w:rsidR="00D31180">
        <w:t xml:space="preserve"> En estos momentos</w:t>
      </w:r>
      <w:r w:rsidR="00D766B8">
        <w:t>,</w:t>
      </w:r>
      <w:r w:rsidR="00D31180">
        <w:t xml:space="preserve"> en los que se oye a diestra</w:t>
      </w:r>
      <w:r w:rsidR="00D766B8">
        <w:t xml:space="preserve"> y siniestra aludir a IFRS y a ISA</w:t>
      </w:r>
      <w:r w:rsidR="00D31180">
        <w:t>, es muy importante identificar a los que son capaces de exponer los fundamentos en que descansan esas regulaciones, en términos de escuelas y doctrinas, de manera que la contaduría mantenga su estatus de disciplina.</w:t>
      </w:r>
    </w:p>
    <w:p w:rsidR="00D31180" w:rsidRPr="00D31180" w:rsidRDefault="00D31180" w:rsidP="00D31180">
      <w:pPr>
        <w:jc w:val="right"/>
        <w:rPr>
          <w:i/>
        </w:rPr>
      </w:pPr>
      <w:r w:rsidRPr="00D31180">
        <w:rPr>
          <w:i/>
        </w:rPr>
        <w:t>Hernando Bermúdez Gómez</w:t>
      </w:r>
    </w:p>
    <w:sectPr w:rsidR="00D31180" w:rsidRPr="00D31180" w:rsidSect="007F1D21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9A" w:rsidRDefault="00A25F9A" w:rsidP="00EE7812">
      <w:pPr>
        <w:spacing w:after="0" w:line="240" w:lineRule="auto"/>
      </w:pPr>
      <w:r>
        <w:separator/>
      </w:r>
    </w:p>
  </w:endnote>
  <w:endnote w:type="continuationSeparator" w:id="0">
    <w:p w:rsidR="00A25F9A" w:rsidRDefault="00A25F9A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9A" w:rsidRDefault="00A25F9A" w:rsidP="00EE7812">
      <w:pPr>
        <w:spacing w:after="0" w:line="240" w:lineRule="auto"/>
      </w:pPr>
      <w:r>
        <w:separator/>
      </w:r>
    </w:p>
  </w:footnote>
  <w:footnote w:type="continuationSeparator" w:id="0">
    <w:p w:rsidR="00A25F9A" w:rsidRDefault="00A25F9A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0E37EC" w:rsidRDefault="00921FE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1481</w:t>
    </w:r>
    <w:r w:rsidR="00FE0DA0">
      <w:t xml:space="preserve">, agosto </w:t>
    </w:r>
    <w:r w:rsidR="00B6594E">
      <w:t>24</w:t>
    </w:r>
    <w:r w:rsidR="000E37EC">
      <w:t xml:space="preserve"> de 2015</w:t>
    </w:r>
  </w:p>
  <w:p w:rsidR="000E37EC" w:rsidRDefault="00A25F9A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4EF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76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289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3B0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386"/>
    <w:rsid w:val="00137492"/>
    <w:rsid w:val="0013784F"/>
    <w:rsid w:val="00137902"/>
    <w:rsid w:val="00137A0F"/>
    <w:rsid w:val="00137B75"/>
    <w:rsid w:val="00137E85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18D3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87F29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1E0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D8A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763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65"/>
    <w:rsid w:val="002660AD"/>
    <w:rsid w:val="0026623D"/>
    <w:rsid w:val="00266624"/>
    <w:rsid w:val="00266A9E"/>
    <w:rsid w:val="002671D0"/>
    <w:rsid w:val="00267782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664"/>
    <w:rsid w:val="00335BB1"/>
    <w:rsid w:val="00335DA3"/>
    <w:rsid w:val="0033634A"/>
    <w:rsid w:val="00336399"/>
    <w:rsid w:val="00336A1E"/>
    <w:rsid w:val="00336ACA"/>
    <w:rsid w:val="00336B43"/>
    <w:rsid w:val="00337043"/>
    <w:rsid w:val="00337481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1FF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1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42B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27"/>
    <w:rsid w:val="003D5D96"/>
    <w:rsid w:val="003D6090"/>
    <w:rsid w:val="003D63DA"/>
    <w:rsid w:val="003D64F1"/>
    <w:rsid w:val="003D66F5"/>
    <w:rsid w:val="003D67D1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0D1"/>
    <w:rsid w:val="003F516B"/>
    <w:rsid w:val="003F52F2"/>
    <w:rsid w:val="003F5359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742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04A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A11"/>
    <w:rsid w:val="00511D61"/>
    <w:rsid w:val="00511DE3"/>
    <w:rsid w:val="00512A54"/>
    <w:rsid w:val="00512DDE"/>
    <w:rsid w:val="00512DFC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2A6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995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F"/>
    <w:rsid w:val="00622F30"/>
    <w:rsid w:val="00622FE8"/>
    <w:rsid w:val="00623012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3972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1C4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038"/>
    <w:rsid w:val="006922CC"/>
    <w:rsid w:val="006922D2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639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2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16F"/>
    <w:rsid w:val="00762343"/>
    <w:rsid w:val="0076257E"/>
    <w:rsid w:val="007626A1"/>
    <w:rsid w:val="007626E8"/>
    <w:rsid w:val="007626FD"/>
    <w:rsid w:val="00762A73"/>
    <w:rsid w:val="00762B17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D5B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69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5BE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2C1B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35A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3F7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40F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1FE6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45A"/>
    <w:rsid w:val="009B2789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301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5F9A"/>
    <w:rsid w:val="00A261F9"/>
    <w:rsid w:val="00A262B8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1D3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5FE1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3FF1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CDE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608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8EC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7F1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2B1A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9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8F1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37F77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5C3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6ED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65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180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2A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6B8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4973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2C9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5AD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6E63"/>
    <w:rsid w:val="00E57058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CBD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95A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frs.org/Current-Projects/IASB-Projects/PIR/PIR-IFRS-3/Documents/PIR_IFRS%203-Business-Combinations_FBS_WEBSIT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frs.org/Alerts/PressRelease/Pages/IASB-completes-Post-implementation-Review-of-Business-Combinations-Standard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DPOC/Documents/2013/Due_Process_Handbook_Resupply_28_Feb_2013_WEBSITE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javeriana.edu.co/personales/hbermude/leycontable/contadores/2009-ley-1314(do)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849.docx" TargetMode="External"/><Relationship Id="rId14" Type="http://schemas.openxmlformats.org/officeDocument/2006/relationships/hyperlink" Target="http://www.javeriana.edu.co/personales/hbermude/contrapartida/Contrapartida119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ED5A0975-12FE-4444-B33A-1E22A12F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2015-08-23T21:11:00Z</dcterms:created>
  <dcterms:modified xsi:type="dcterms:W3CDTF">2015-08-23T21:11:00Z</dcterms:modified>
</cp:coreProperties>
</file>