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C7" w:rsidRPr="002761C7" w:rsidRDefault="002761C7" w:rsidP="002761C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2761C7">
        <w:rPr>
          <w:position w:val="-8"/>
          <w:sz w:val="122"/>
        </w:rPr>
        <w:t>I</w:t>
      </w:r>
    </w:p>
    <w:p w:rsidR="00256BC2" w:rsidRDefault="002761C7" w:rsidP="00E20337">
      <w:r>
        <w:t>nsistimos en la necesidad de aprovechar las observaciones que se obtienen a través de los procesos disciplinarios que se cursan ante la Junta Central de Contadores. No basta</w:t>
      </w:r>
      <w:r w:rsidR="00331EC8">
        <w:t>n</w:t>
      </w:r>
      <w:r>
        <w:t xml:space="preserve"> los pequeños y a veces insustanciales </w:t>
      </w:r>
      <w:hyperlink r:id="rId9" w:history="1">
        <w:r w:rsidRPr="00331EC8">
          <w:rPr>
            <w:rStyle w:val="Hyperlink"/>
          </w:rPr>
          <w:t>resúmenes</w:t>
        </w:r>
      </w:hyperlink>
      <w:r>
        <w:t xml:space="preserve"> que se publican en los informes sobre contadores sancionados, ni las </w:t>
      </w:r>
      <w:r w:rsidR="00DD1298">
        <w:t xml:space="preserve">esporádicas </w:t>
      </w:r>
      <w:r>
        <w:t>estadísticas cuantitativas de los castigos impuestos por tipo de conducta.</w:t>
      </w:r>
    </w:p>
    <w:p w:rsidR="00DD1298" w:rsidRDefault="00DD1298" w:rsidP="00E20337">
      <w:r>
        <w:t>La publicidad de las sanciones protege a la comunidad en cuanto la pone en guardia respecto de profesionales que no han demostrado debida diligencia. Y sin duda amplifica el efecto de la sanción.</w:t>
      </w:r>
    </w:p>
    <w:p w:rsidR="00DD1298" w:rsidRDefault="00DD1298" w:rsidP="00E20337">
      <w:r>
        <w:t>Más, desde otra perspectiva, creemos que se puede aprender de los procesos disciplinarios y se pueden preparar orientaciones que mejoren el trabajo de la comunidad de contadores en ejercicio.</w:t>
      </w:r>
    </w:p>
    <w:p w:rsidR="00DD1298" w:rsidRDefault="00DD1298" w:rsidP="00E20337">
      <w:r>
        <w:t xml:space="preserve">Es necesario que se lleve a cabo una verdadera inspección de los contadores inscritos, </w:t>
      </w:r>
      <w:r w:rsidR="00137FBB">
        <w:t>ejecutada</w:t>
      </w:r>
      <w:r>
        <w:t xml:space="preserve"> por contadores con igual o mayor preparación y exp</w:t>
      </w:r>
      <w:r w:rsidR="00137FBB">
        <w:t>eriencia que los inspeccionados.</w:t>
      </w:r>
      <w:r w:rsidR="008820BC">
        <w:t xml:space="preserve"> El trámite de las denuncias presentadas y las ocasionales reacciones a hechos de conocimiento público, no permite tener una visión del conjunto de los practicantes.</w:t>
      </w:r>
    </w:p>
    <w:p w:rsidR="008820BC" w:rsidRDefault="008820BC" w:rsidP="00E20337">
      <w:r>
        <w:t xml:space="preserve">Claro está que debe haber un acuerdo sobre lo que se espera de los contadores. Los tiempos de divisiones doctrinales (el CTCP por un lado y las superintendencias por otro como ocurrió en el año 2008) han llegado a su fin con la expedición del </w:t>
      </w:r>
      <w:hyperlink r:id="rId10" w:history="1">
        <w:r w:rsidRPr="008820BC">
          <w:rPr>
            <w:rStyle w:val="Hyperlink"/>
          </w:rPr>
          <w:t>Decreto reglamentario 302 de 2005</w:t>
        </w:r>
      </w:hyperlink>
      <w:r>
        <w:t xml:space="preserve">, pues ahora la </w:t>
      </w:r>
      <w:r>
        <w:lastRenderedPageBreak/>
        <w:t>conducta de los profesionales  puede ser comparada con reglas predeterminadas.</w:t>
      </w:r>
    </w:p>
    <w:p w:rsidR="0038559D" w:rsidRDefault="00B64826" w:rsidP="00E20337">
      <w:r>
        <w:t>Los planes de inspección del PCAOB son un buen ejemplo de lo que podría hacerse en Colombia. Además de las noticias particulares que se dan a conocer en su momento, dicha entidad difunde informes que consolidan el resultado de sus acciones, de manera que es posible reflexionar sobre el conjunto de comportamientos observados.</w:t>
      </w:r>
    </w:p>
    <w:p w:rsidR="00B64826" w:rsidRDefault="00B64826" w:rsidP="00B64826">
      <w:r w:rsidRPr="00105C9B">
        <w:t xml:space="preserve">Véase, a título de ejemplo, el </w:t>
      </w:r>
      <w:hyperlink r:id="rId11" w:history="1">
        <w:r w:rsidR="00105C9B" w:rsidRPr="00105C9B">
          <w:rPr>
            <w:rStyle w:val="Hyperlink"/>
          </w:rPr>
          <w:t>Annual Report On The Interim Inspection Program Related To Audits Of Brokers And Dealers</w:t>
        </w:r>
      </w:hyperlink>
      <w:r w:rsidR="00105C9B" w:rsidRPr="00105C9B">
        <w:t>, fechado el 18 de Agosto de 2015 (PCAOB Release No. 2015-006</w:t>
      </w:r>
      <w:r w:rsidR="00105C9B">
        <w:t>). Son bien preocupantes los hallazgos que se consignan en este informe y sorprende mucho que varios de los auditores se ha</w:t>
      </w:r>
      <w:r w:rsidR="007A2954">
        <w:t>ya</w:t>
      </w:r>
      <w:r w:rsidR="00105C9B">
        <w:t>n involucrado en la preparación de los estados financieros, perdiendo la independencia que es fundamental para realizar una correcta auditoría.</w:t>
      </w:r>
      <w:r w:rsidR="007A2954">
        <w:t xml:space="preserve"> También es muy preocupante que en los contratos de prestación del servicio de auditoría se haya pactado que el cliente indemnizará a los auditores “(…) </w:t>
      </w:r>
      <w:r w:rsidR="007A2954" w:rsidRPr="007A2954">
        <w:rPr>
          <w:i/>
        </w:rPr>
        <w:t>in the event the auditor incurred certain losses or liability in connection with the engagement</w:t>
      </w:r>
      <w:r w:rsidR="007A2954">
        <w:t xml:space="preserve"> (…)”.</w:t>
      </w:r>
    </w:p>
    <w:p w:rsidR="007A2954" w:rsidRDefault="007A2954" w:rsidP="00B64826">
      <w:r>
        <w:t>Es necesario que superemos las pequeñas visiones del ejercicio profesional, para que podamos formular planes ad</w:t>
      </w:r>
      <w:r w:rsidR="00B020C0">
        <w:t xml:space="preserve">ecuados de mejoramiento, que involucren todos los integrantes de la comunidad contable: autoridades, academia, industria y gremios. </w:t>
      </w:r>
      <w:r w:rsidR="00A62BA4">
        <w:t>Con seguridad el trabajo coordinado de todos elevará la calidad de los servicios y el reconocimiento de la sociedad.</w:t>
      </w:r>
    </w:p>
    <w:p w:rsidR="00137FBB" w:rsidRPr="00105C9B" w:rsidRDefault="00A62BA4" w:rsidP="007F6C07">
      <w:pPr>
        <w:jc w:val="right"/>
      </w:pPr>
      <w:r w:rsidRPr="00A62BA4">
        <w:rPr>
          <w:i/>
        </w:rPr>
        <w:t>Hernando Bermúdez Gómez</w:t>
      </w:r>
    </w:p>
    <w:sectPr w:rsidR="00137FBB" w:rsidRPr="00105C9B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6E" w:rsidRDefault="00657B6E" w:rsidP="00EE7812">
      <w:pPr>
        <w:spacing w:after="0" w:line="240" w:lineRule="auto"/>
      </w:pPr>
      <w:r>
        <w:separator/>
      </w:r>
    </w:p>
  </w:endnote>
  <w:endnote w:type="continuationSeparator" w:id="0">
    <w:p w:rsidR="00657B6E" w:rsidRDefault="00657B6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6E" w:rsidRDefault="00657B6E" w:rsidP="00EE7812">
      <w:pPr>
        <w:spacing w:after="0" w:line="240" w:lineRule="auto"/>
      </w:pPr>
      <w:r>
        <w:separator/>
      </w:r>
    </w:p>
  </w:footnote>
  <w:footnote w:type="continuationSeparator" w:id="0">
    <w:p w:rsidR="00657B6E" w:rsidRDefault="00657B6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0E37EC" w:rsidRDefault="00E2033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1484</w:t>
    </w:r>
    <w:r w:rsidR="00FE0DA0">
      <w:t xml:space="preserve">, agosto </w:t>
    </w:r>
    <w:r w:rsidR="00B6594E">
      <w:t>24</w:t>
    </w:r>
    <w:r w:rsidR="000E37EC">
      <w:t xml:space="preserve"> de 2015</w:t>
    </w:r>
  </w:p>
  <w:p w:rsidR="000E37EC" w:rsidRDefault="00657B6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5DF3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1FC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04"/>
    <w:rsid w:val="00260965"/>
    <w:rsid w:val="00260B4E"/>
    <w:rsid w:val="00260E29"/>
    <w:rsid w:val="002613C4"/>
    <w:rsid w:val="002613E6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1C7"/>
    <w:rsid w:val="00276FD3"/>
    <w:rsid w:val="00277053"/>
    <w:rsid w:val="00277189"/>
    <w:rsid w:val="0027742B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27"/>
    <w:rsid w:val="003D5D96"/>
    <w:rsid w:val="003D6090"/>
    <w:rsid w:val="003D63DA"/>
    <w:rsid w:val="003D64F1"/>
    <w:rsid w:val="003D66F5"/>
    <w:rsid w:val="003D67D1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983"/>
    <w:rsid w:val="004A0B18"/>
    <w:rsid w:val="004A10B5"/>
    <w:rsid w:val="004A131B"/>
    <w:rsid w:val="004A1532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6E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3F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90B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CDE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61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9D2"/>
    <w:rsid w:val="00BD0E87"/>
    <w:rsid w:val="00BD0F6F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5C3A"/>
    <w:rsid w:val="00C6604C"/>
    <w:rsid w:val="00C660B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95A"/>
    <w:rsid w:val="00FA2A2D"/>
    <w:rsid w:val="00FA2DC7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1FB5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caobus.org/Inspections/Documents/BD_Interim_Inspection_Program_2015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5-decreto-3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gr.jcc.gov.co:8181/apex/f?p=119:1:0::::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1A41952-4CD5-4F57-B6C1-86C19AB8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2015-08-23T21:17:00Z</dcterms:created>
  <dcterms:modified xsi:type="dcterms:W3CDTF">2015-08-23T21:17:00Z</dcterms:modified>
</cp:coreProperties>
</file>