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EF" w:rsidRPr="00A073EF" w:rsidRDefault="00A073EF" w:rsidP="00A073E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A073EF">
        <w:rPr>
          <w:position w:val="-8"/>
          <w:sz w:val="123"/>
        </w:rPr>
        <w:t>P</w:t>
      </w:r>
    </w:p>
    <w:p w:rsidR="00C55463" w:rsidRDefault="00A073EF" w:rsidP="0052615F">
      <w:r>
        <w:lastRenderedPageBreak/>
        <w:t xml:space="preserve">ocos contadores entienden que los estados financieros pueden ser evaluados según diversos criterios. </w:t>
      </w:r>
    </w:p>
    <w:p w:rsidR="004A16A5" w:rsidRDefault="00A073EF" w:rsidP="00A073EF">
      <w:r w:rsidRPr="00A073EF">
        <w:rPr>
          <w:lang w:val="en-US"/>
        </w:rPr>
        <w:t xml:space="preserve">La </w:t>
      </w:r>
      <w:hyperlink r:id="rId9" w:history="1">
        <w:r w:rsidRPr="00A073EF">
          <w:rPr>
            <w:rStyle w:val="Hyperlink"/>
            <w:lang w:val="en-US"/>
          </w:rPr>
          <w:t>ISA 700</w:t>
        </w:r>
      </w:hyperlink>
      <w:r w:rsidRPr="00A073EF">
        <w:rPr>
          <w:lang w:val="en-US"/>
        </w:rPr>
        <w:t xml:space="preserve"> </w:t>
      </w:r>
      <w:proofErr w:type="spellStart"/>
      <w:r w:rsidRPr="00A073EF">
        <w:rPr>
          <w:lang w:val="en-US"/>
        </w:rPr>
        <w:t>señala</w:t>
      </w:r>
      <w:proofErr w:type="spellEnd"/>
      <w:r w:rsidRPr="00A073EF">
        <w:rPr>
          <w:lang w:val="en-US"/>
        </w:rPr>
        <w:t xml:space="preserve">: </w:t>
      </w:r>
      <w:proofErr w:type="gramStart"/>
      <w:r w:rsidRPr="00A073EF">
        <w:rPr>
          <w:lang w:val="en-US"/>
        </w:rPr>
        <w:t>“</w:t>
      </w:r>
      <w:r>
        <w:rPr>
          <w:lang w:val="en-US"/>
        </w:rPr>
        <w:t xml:space="preserve"> </w:t>
      </w:r>
      <w:r w:rsidRPr="004A16A5">
        <w:rPr>
          <w:i/>
          <w:lang w:val="en-US"/>
        </w:rPr>
        <w:t>35</w:t>
      </w:r>
      <w:proofErr w:type="gramEnd"/>
      <w:r w:rsidRPr="004A16A5">
        <w:rPr>
          <w:i/>
          <w:lang w:val="en-US"/>
        </w:rPr>
        <w:t xml:space="preserve">. When expressing an unmodified opinion on financial statements prepared in accordance with a fair presentation framework, the auditor’s opinion shall, unless otherwise required by law or regulation, use one of the following phrases, which are regarded as being equivalent: ― (a) The financial statements present fairly, in all material respects, … in accordance with [the applicable financial reporting framework]; or ― (b) The financial statements give a true and fair view of … in accordance with [the applicable financial reporting framework]. </w:t>
      </w:r>
      <w:r w:rsidRPr="0075028B">
        <w:rPr>
          <w:i/>
        </w:rPr>
        <w:t>(</w:t>
      </w:r>
      <w:proofErr w:type="spellStart"/>
      <w:r w:rsidRPr="0075028B">
        <w:rPr>
          <w:i/>
        </w:rPr>
        <w:t>Ref</w:t>
      </w:r>
      <w:proofErr w:type="spellEnd"/>
      <w:r w:rsidRPr="0075028B">
        <w:rPr>
          <w:i/>
        </w:rPr>
        <w:t xml:space="preserve">: Para. </w:t>
      </w:r>
      <w:r w:rsidRPr="004A16A5">
        <w:rPr>
          <w:i/>
        </w:rPr>
        <w:t>A27– A33).</w:t>
      </w:r>
      <w:r w:rsidR="004A16A5" w:rsidRPr="004A16A5">
        <w:t xml:space="preserve">” Varios contadores británicos han explicado que en realidad tales expresiones </w:t>
      </w:r>
      <w:r w:rsidR="004A16A5">
        <w:t>no son equivalentes, pues mientras la primera anuncia que los estados son el resultado de un proceso ajustado a las reglas de la razón, la segunda enfatiza que los estados representan debidamente la situación financiera y el desempeño de la empresa respectiva.</w:t>
      </w:r>
      <w:r w:rsidR="00AC702F">
        <w:t xml:space="preserve"> La discusión planteada no se ha resuelto y se espera que dé lugar a muchas más manifestaciones.</w:t>
      </w:r>
    </w:p>
    <w:p w:rsidR="003C0B6F" w:rsidRDefault="003C0B6F" w:rsidP="00A073EF">
      <w:r>
        <w:t>Una cosa es decir que los estados presentan en forma fidedigna, otra que presentan en forma justa, otra que presentan en forma razonable, la situación financiera, etc.</w:t>
      </w:r>
      <w:r w:rsidR="003E68E4">
        <w:t xml:space="preserve"> Una revisión de las normas aplicables en varios países permite constatar que se han empleado varios adjetivos para calificar los estados</w:t>
      </w:r>
      <w:r w:rsidR="0075028B">
        <w:t>.</w:t>
      </w:r>
      <w:bookmarkStart w:id="0" w:name="_GoBack"/>
      <w:bookmarkEnd w:id="0"/>
      <w:r w:rsidR="003E68E4">
        <w:t xml:space="preserve"> Un análisis de ellos demuestra que cada uno tiene un significado propio. </w:t>
      </w:r>
      <w:r w:rsidR="003E68E4">
        <w:lastRenderedPageBreak/>
        <w:t>Simplemente son distintas miradas de un mismo objeto.</w:t>
      </w:r>
    </w:p>
    <w:p w:rsidR="000E2E00" w:rsidRDefault="000E2E00" w:rsidP="000E2E00">
      <w:r>
        <w:t xml:space="preserve">El artículo 7 de la Ley 43 de 1990 estipuló que “(…) </w:t>
      </w:r>
      <w:r w:rsidRPr="000E2E00">
        <w:rPr>
          <w:i/>
        </w:rPr>
        <w:t>Siempre que el nombre de un Contador Público sea asociado con estados financieros, deberá expresar de manera clara e inequívoca la naturaleza de su relación con tales estados. Si practicó un examen de ellos, el Contador Público deberá expresar claramente el carácter de su examen, su alcance y su dictamen profesional sobre lo razonable de la información contenida en dichos estados financieros.</w:t>
      </w:r>
      <w:r>
        <w:t xml:space="preserve"> (…)”. De manera que la legislación cambió el adjetivo predicable de los estados financieros, modificando, entre otras, las reglas previstas en el artículo 207 del Código de Comercio.</w:t>
      </w:r>
    </w:p>
    <w:p w:rsidR="000E2E00" w:rsidRDefault="000E2E00" w:rsidP="000E2E00">
      <w:r>
        <w:t xml:space="preserve">Es muy extraño que los contadores no den efecto completo a las nuevas disposiciones. Muchos siguen aferrados al tenor literal original del </w:t>
      </w:r>
      <w:hyperlink r:id="rId10" w:history="1">
        <w:r w:rsidRPr="00624B80">
          <w:rPr>
            <w:rStyle w:val="Hyperlink"/>
          </w:rPr>
          <w:t>Código de Comercio</w:t>
        </w:r>
      </w:hyperlink>
      <w:r>
        <w:t>, sin darle efecto a varias normas posteriores como</w:t>
      </w:r>
      <w:r w:rsidR="00624B80">
        <w:t>, por ejemplo,</w:t>
      </w:r>
      <w:r>
        <w:t xml:space="preserve"> la </w:t>
      </w:r>
      <w:hyperlink r:id="rId11" w:history="1">
        <w:r w:rsidRPr="00624B80">
          <w:rPr>
            <w:rStyle w:val="Hyperlink"/>
          </w:rPr>
          <w:t>Ley 32 de 1979</w:t>
        </w:r>
      </w:hyperlink>
      <w:r w:rsidR="00624B80">
        <w:t xml:space="preserve">, la </w:t>
      </w:r>
      <w:hyperlink r:id="rId12" w:history="1">
        <w:r w:rsidR="00624B80" w:rsidRPr="00624B80">
          <w:rPr>
            <w:rStyle w:val="Hyperlink"/>
          </w:rPr>
          <w:t>L</w:t>
        </w:r>
        <w:r w:rsidRPr="00624B80">
          <w:rPr>
            <w:rStyle w:val="Hyperlink"/>
          </w:rPr>
          <w:t>ey 79 de 1988</w:t>
        </w:r>
      </w:hyperlink>
      <w:r>
        <w:t xml:space="preserve">, la </w:t>
      </w:r>
      <w:hyperlink r:id="rId13" w:history="1">
        <w:r w:rsidRPr="00624B80">
          <w:rPr>
            <w:rStyle w:val="Hyperlink"/>
          </w:rPr>
          <w:t>Ley 43 de 1990</w:t>
        </w:r>
      </w:hyperlink>
      <w:r w:rsidR="00624B80">
        <w:t xml:space="preserve">, la </w:t>
      </w:r>
      <w:hyperlink r:id="rId14" w:history="1">
        <w:r w:rsidR="00624B80" w:rsidRPr="00624B80">
          <w:rPr>
            <w:rStyle w:val="Hyperlink"/>
          </w:rPr>
          <w:t>L</w:t>
        </w:r>
        <w:r w:rsidRPr="00624B80">
          <w:rPr>
            <w:rStyle w:val="Hyperlink"/>
          </w:rPr>
          <w:t>ey 45 de 1990</w:t>
        </w:r>
      </w:hyperlink>
      <w:r>
        <w:t xml:space="preserve">, la </w:t>
      </w:r>
      <w:hyperlink r:id="rId15" w:history="1">
        <w:r w:rsidRPr="00624B80">
          <w:rPr>
            <w:rStyle w:val="Hyperlink"/>
          </w:rPr>
          <w:t>Ley 6 de 1992</w:t>
        </w:r>
      </w:hyperlink>
      <w:r w:rsidR="00624B80">
        <w:t xml:space="preserve">, la </w:t>
      </w:r>
      <w:hyperlink r:id="rId16" w:history="1">
        <w:r w:rsidR="00624B80" w:rsidRPr="00624B80">
          <w:rPr>
            <w:rStyle w:val="Hyperlink"/>
          </w:rPr>
          <w:t>L</w:t>
        </w:r>
        <w:r w:rsidRPr="00624B80">
          <w:rPr>
            <w:rStyle w:val="Hyperlink"/>
          </w:rPr>
          <w:t>ey 190 de 1995</w:t>
        </w:r>
      </w:hyperlink>
      <w:r w:rsidR="00624B80">
        <w:t xml:space="preserve">, la </w:t>
      </w:r>
      <w:hyperlink r:id="rId17" w:history="1">
        <w:r w:rsidR="00624B80" w:rsidRPr="00624B80">
          <w:rPr>
            <w:rStyle w:val="Hyperlink"/>
          </w:rPr>
          <w:t>L</w:t>
        </w:r>
        <w:r w:rsidRPr="00624B80">
          <w:rPr>
            <w:rStyle w:val="Hyperlink"/>
          </w:rPr>
          <w:t>ey 222 de 1995</w:t>
        </w:r>
      </w:hyperlink>
      <w:r w:rsidR="00624B80">
        <w:t xml:space="preserve">, la </w:t>
      </w:r>
      <w:hyperlink r:id="rId18" w:history="1">
        <w:r w:rsidR="00624B80" w:rsidRPr="00624B80">
          <w:rPr>
            <w:rStyle w:val="Hyperlink"/>
          </w:rPr>
          <w:t>L</w:t>
        </w:r>
        <w:r w:rsidRPr="00624B80">
          <w:rPr>
            <w:rStyle w:val="Hyperlink"/>
          </w:rPr>
          <w:t>ey 675 de 2001</w:t>
        </w:r>
      </w:hyperlink>
      <w:r w:rsidR="00624B80">
        <w:t xml:space="preserve">, la </w:t>
      </w:r>
      <w:hyperlink r:id="rId19" w:history="1">
        <w:r w:rsidR="00624B80" w:rsidRPr="00624B80">
          <w:rPr>
            <w:rStyle w:val="Hyperlink"/>
          </w:rPr>
          <w:t>L</w:t>
        </w:r>
        <w:r w:rsidRPr="00624B80">
          <w:rPr>
            <w:rStyle w:val="Hyperlink"/>
          </w:rPr>
          <w:t xml:space="preserve">ey 1258 de </w:t>
        </w:r>
        <w:r w:rsidR="00624B80" w:rsidRPr="00624B80">
          <w:rPr>
            <w:rStyle w:val="Hyperlink"/>
          </w:rPr>
          <w:t>2008</w:t>
        </w:r>
      </w:hyperlink>
      <w:r w:rsidR="00624B80">
        <w:t xml:space="preserve"> o la </w:t>
      </w:r>
      <w:hyperlink r:id="rId20" w:history="1">
        <w:r w:rsidR="00624B80" w:rsidRPr="00624B80">
          <w:rPr>
            <w:rStyle w:val="Hyperlink"/>
          </w:rPr>
          <w:t>Ley 1314 de 2009</w:t>
        </w:r>
      </w:hyperlink>
      <w:r w:rsidR="00624B80">
        <w:t>.</w:t>
      </w:r>
    </w:p>
    <w:p w:rsidR="00644245" w:rsidRDefault="003F5107" w:rsidP="000E2E00">
      <w:r>
        <w:t>Además, como en varias ocasiones lo hemos resaltado, se aferran a interpretaciones gramaticales, sin estudiar la historia de las leyes, ni considerar los elementos lógico,</w:t>
      </w:r>
      <w:r w:rsidR="00E813D4">
        <w:t xml:space="preserve"> sistemático y teleológico de interpretación.</w:t>
      </w:r>
      <w:r w:rsidR="00A97B8A">
        <w:t xml:space="preserve"> Ciertamente una cosa es la protección de los socios y otra la defensa de la comunidad. Pero la revisoría ha transitado de uno a otro enfoque.</w:t>
      </w:r>
    </w:p>
    <w:p w:rsidR="00A97B8A" w:rsidRPr="00A97B8A" w:rsidRDefault="00A97B8A" w:rsidP="00A97B8A">
      <w:pPr>
        <w:jc w:val="right"/>
        <w:rPr>
          <w:i/>
        </w:rPr>
      </w:pPr>
      <w:r w:rsidRPr="00A97B8A">
        <w:rPr>
          <w:i/>
        </w:rPr>
        <w:t>Hernando Bermúdez Gómez</w:t>
      </w:r>
    </w:p>
    <w:sectPr w:rsidR="00A97B8A" w:rsidRPr="00A97B8A" w:rsidSect="007F1D21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99" w:rsidRDefault="00FA6699" w:rsidP="00EE7812">
      <w:pPr>
        <w:spacing w:after="0" w:line="240" w:lineRule="auto"/>
      </w:pPr>
      <w:r>
        <w:separator/>
      </w:r>
    </w:p>
  </w:endnote>
  <w:endnote w:type="continuationSeparator" w:id="0">
    <w:p w:rsidR="00FA6699" w:rsidRDefault="00FA66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99" w:rsidRDefault="00FA6699" w:rsidP="00EE7812">
      <w:pPr>
        <w:spacing w:after="0" w:line="240" w:lineRule="auto"/>
      </w:pPr>
      <w:r>
        <w:separator/>
      </w:r>
    </w:p>
  </w:footnote>
  <w:footnote w:type="continuationSeparator" w:id="0">
    <w:p w:rsidR="00FA6699" w:rsidRDefault="00FA66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F5107" w:rsidRDefault="003F5107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3F5107" w:rsidRDefault="003F510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1493, agosto 31 de 2015</w:t>
    </w:r>
  </w:p>
  <w:p w:rsidR="003F5107" w:rsidRDefault="00FA669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1FC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04"/>
    <w:rsid w:val="00260965"/>
    <w:rsid w:val="00260B4E"/>
    <w:rsid w:val="00260E29"/>
    <w:rsid w:val="002613C4"/>
    <w:rsid w:val="002613E6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983"/>
    <w:rsid w:val="004A0B18"/>
    <w:rsid w:val="004A10B5"/>
    <w:rsid w:val="004A131B"/>
    <w:rsid w:val="004A1532"/>
    <w:rsid w:val="004A16A5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19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558B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CE3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28B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D88"/>
    <w:rsid w:val="007D5DC8"/>
    <w:rsid w:val="007D5E54"/>
    <w:rsid w:val="007D64CA"/>
    <w:rsid w:val="007D68AC"/>
    <w:rsid w:val="007D6B2D"/>
    <w:rsid w:val="007D7448"/>
    <w:rsid w:val="007D7560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E0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7CC"/>
    <w:rsid w:val="008E2897"/>
    <w:rsid w:val="008E2A05"/>
    <w:rsid w:val="008E2AC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8E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879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99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1FB5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1990-ley-43.pdf" TargetMode="External"/><Relationship Id="rId18" Type="http://schemas.openxmlformats.org/officeDocument/2006/relationships/hyperlink" Target="http://www.javeriana.edu.co/personales/hbermude/leycontable/contadores/2001-ley-675.do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88-ley-79.mht" TargetMode="External"/><Relationship Id="rId17" Type="http://schemas.openxmlformats.org/officeDocument/2006/relationships/hyperlink" Target="http://www.javeriana.edu.co/personales/hbermude/leycontable/contadores/1995-ley-22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leycontable/contadores/1995-ley-190.doc" TargetMode="External"/><Relationship Id="rId20" Type="http://schemas.openxmlformats.org/officeDocument/2006/relationships/hyperlink" Target="http://www.javeriana.edu.co/personales/hbermude/leycontable/contadores/2009-ley-1314(do)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79-ley-32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1992-ley-6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1971-decreto-410.htm" TargetMode="External"/><Relationship Id="rId19" Type="http://schemas.openxmlformats.org/officeDocument/2006/relationships/hyperlink" Target="http://www.javeriana.edu.co/personales/hbermude/leycontable/contadores/2008-ley-125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system/files/publications/files/2014-IAASB-HANDBOOK-VOLUME-1_0.pdf" TargetMode="External"/><Relationship Id="rId14" Type="http://schemas.openxmlformats.org/officeDocument/2006/relationships/hyperlink" Target="http://www.javeriana.edu.co/personales/hbermude/leycontable/contadores/1990-ley-45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AEF0CED-E407-4222-B912-8F23C5E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2015-08-28T22:32:00Z</dcterms:created>
  <dcterms:modified xsi:type="dcterms:W3CDTF">2015-08-28T22:33:00Z</dcterms:modified>
</cp:coreProperties>
</file>