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36" w:rsidRPr="003F1A36" w:rsidRDefault="003F1A36" w:rsidP="003F1A3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3F1A36">
        <w:rPr>
          <w:position w:val="-9"/>
          <w:sz w:val="123"/>
        </w:rPr>
        <w:t>L</w:t>
      </w:r>
    </w:p>
    <w:p w:rsidR="00A576B2" w:rsidRDefault="003F1A36" w:rsidP="004C6E2B">
      <w:r>
        <w:t>a conservación de documentos, ya sea en papel o en medios electrónicos, es una cuestión vital tanto para hacer eficaces las pruebas que se soliciten en los procesos administrativos o judiciales, como para mantener registro de la historia.</w:t>
      </w:r>
      <w:r w:rsidR="00A576B2">
        <w:t xml:space="preserve"> Muchos contadores barruntan el</w:t>
      </w:r>
      <w:r w:rsidR="00CD4819">
        <w:t xml:space="preserve"> problema de las pruebas, pero muy pocos advierten el valor de patrimonio cultural de la contabilidad.</w:t>
      </w:r>
      <w:r w:rsidR="00A576B2">
        <w:t xml:space="preserve"> Son muchas las investigaciones basadas en la contabilidad. Al efecto basta revisar los trabajos de la </w:t>
      </w:r>
      <w:hyperlink r:id="rId9" w:history="1">
        <w:r w:rsidR="00A576B2" w:rsidRPr="00A576B2">
          <w:rPr>
            <w:rStyle w:val="Hyperlink"/>
          </w:rPr>
          <w:t>Academy of Accounting Historians</w:t>
        </w:r>
      </w:hyperlink>
      <w:r w:rsidR="00A576B2">
        <w:t xml:space="preserve"> o de </w:t>
      </w:r>
      <w:r w:rsidR="00A0240B">
        <w:t xml:space="preserve">la </w:t>
      </w:r>
      <w:r w:rsidR="00A0240B" w:rsidRPr="00A0240B">
        <w:t>Asociación Española de Contabilidad y Administración de Empresas</w:t>
      </w:r>
      <w:r w:rsidR="00A0240B">
        <w:t xml:space="preserve"> (AECA) publicados en </w:t>
      </w:r>
      <w:hyperlink r:id="rId10" w:history="1">
        <w:r w:rsidR="00A0240B" w:rsidRPr="00A0240B">
          <w:rPr>
            <w:rStyle w:val="Hyperlink"/>
          </w:rPr>
          <w:t>De Computis. Revista Española de Historia de la Contabilidad</w:t>
        </w:r>
      </w:hyperlink>
      <w:r w:rsidR="00A0240B">
        <w:t>. Por cierto que el estudio de estas dos fuentes permite desentrañar muchas verdades de los renombrados sistema latino y anglosajón, que tanto se aducen en los planteamientos teó</w:t>
      </w:r>
      <w:r w:rsidR="00BE174A">
        <w:t>ricos sobre la revisoría fiscal, que son más parecidos de lo que se sostiene.</w:t>
      </w:r>
    </w:p>
    <w:p w:rsidR="00FC7120" w:rsidRDefault="006A7252" w:rsidP="00B64532">
      <w:r>
        <w:t>Es necesario, no solo conveniente, que los aspirantes a ser contadores estudien las normas sobre conservación, tanto del sector privado como del sector gubernamental. Al hacerlo advertirán que los dos sistemas se funden cuando se trata de patrimonio histórico.</w:t>
      </w:r>
      <w:r w:rsidR="00506EDB">
        <w:t xml:space="preserve"> También es muy importante que conozcan las normas sobre la reserva de los libros y papeles. Bien podrían empezar por leer la </w:t>
      </w:r>
      <w:hyperlink r:id="rId11" w:history="1">
        <w:r w:rsidR="00506EDB" w:rsidRPr="00506EDB">
          <w:rPr>
            <w:rStyle w:val="Hyperlink"/>
          </w:rPr>
          <w:t>Ley 594 de 2000</w:t>
        </w:r>
      </w:hyperlink>
      <w:r w:rsidR="00506EDB">
        <w:t>, “</w:t>
      </w:r>
      <w:r w:rsidR="00506EDB" w:rsidRPr="00506EDB">
        <w:t>Por medio de la cual se dicta la Ley General de Archivos y se dictan otras disposiciones</w:t>
      </w:r>
      <w:r w:rsidR="00EA24DE">
        <w:t>”</w:t>
      </w:r>
      <w:r w:rsidR="00506EDB">
        <w:t xml:space="preserve"> y la </w:t>
      </w:r>
      <w:hyperlink r:id="rId12" w:history="1">
        <w:r w:rsidR="00506EDB" w:rsidRPr="00EA24DE">
          <w:rPr>
            <w:rStyle w:val="Hyperlink"/>
          </w:rPr>
          <w:t>Ley 1712 de 2014</w:t>
        </w:r>
      </w:hyperlink>
      <w:r w:rsidR="00506EDB">
        <w:t>, “Por medio de la cual se crea la Ley de Transparencia y del Derecho de Acceso a la Información P</w:t>
      </w:r>
      <w:r w:rsidR="00506EDB" w:rsidRPr="00506EDB">
        <w:t>úb</w:t>
      </w:r>
      <w:r w:rsidR="00506EDB">
        <w:t>lica N</w:t>
      </w:r>
      <w:r w:rsidR="00506EDB" w:rsidRPr="00506EDB">
        <w:t>acional y se dictan otras disposiciones</w:t>
      </w:r>
      <w:r w:rsidR="00506EDB">
        <w:t>”.</w:t>
      </w:r>
      <w:r w:rsidR="00EA24DE">
        <w:t xml:space="preserve"> Según la primera “</w:t>
      </w:r>
      <w:r w:rsidR="00EA24DE" w:rsidRPr="00EA24DE">
        <w:rPr>
          <w:i/>
        </w:rPr>
        <w:t xml:space="preserve">Los </w:t>
      </w:r>
      <w:r w:rsidR="00EA24DE" w:rsidRPr="00EA24DE">
        <w:rPr>
          <w:i/>
        </w:rPr>
        <w:lastRenderedPageBreak/>
        <w:t>documentos originales que posean valores históricos no podrán ser destruidos, aun cuando hayan sido reproducidos y/o almacenados mediante cualquier medio</w:t>
      </w:r>
      <w:r w:rsidR="00EA24DE">
        <w:t>”. Más de una contabilidad tiene valor histórico, pero los contadores no se han dado cuenta de ello.</w:t>
      </w:r>
      <w:r w:rsidR="00B64532">
        <w:t xml:space="preserve"> Ahora bien: “</w:t>
      </w:r>
      <w:r w:rsidR="00B64532" w:rsidRPr="00342253">
        <w:rPr>
          <w:i/>
        </w:rPr>
        <w:t>Declaración de interés cultural de documentos privados. La Junta Directiva del Archivo General de la Nación, sin perjuicio del derecho de propiedad y siguiendo el procedimiento que se establezca para el efecto, podrá declarar de interés cultural los documentos privados de carácter histórico. Estos formará</w:t>
      </w:r>
      <w:r w:rsidR="00342253" w:rsidRPr="00342253">
        <w:rPr>
          <w:i/>
        </w:rPr>
        <w:t>n</w:t>
      </w:r>
      <w:r w:rsidR="00B64532" w:rsidRPr="00342253">
        <w:rPr>
          <w:i/>
        </w:rPr>
        <w:t xml:space="preserve"> parte del patrimonio documental colombiano y en consecuencia serán de libre acceso</w:t>
      </w:r>
      <w:r w:rsidR="00342253">
        <w:t>”</w:t>
      </w:r>
    </w:p>
    <w:p w:rsidR="001D129D" w:rsidRDefault="001D129D" w:rsidP="00B64532">
      <w:r>
        <w:t>En cuanto relato económico de la historia de las empresas, la contabilidad tiene la capacidad de hacer comprensible muchos comportamientos sociales.</w:t>
      </w:r>
      <w:r w:rsidR="00FA6057">
        <w:t xml:space="preserve"> Hay capítulos fascinantes, como el estudio de las grandes inversiones en infraestructura o de las quiebras de repercusión pública.</w:t>
      </w:r>
      <w:r w:rsidR="000A6614">
        <w:t xml:space="preserve"> Se dice que el que no conoce su historia está condenado a repetirla.</w:t>
      </w:r>
    </w:p>
    <w:p w:rsidR="009E0044" w:rsidRDefault="00821721" w:rsidP="00B64532">
      <w:r>
        <w:t xml:space="preserve">Obviamente de la historia contable también hacen parte los documentos generados por las autoridades sobre esta materia. Bien grande podría ser </w:t>
      </w:r>
      <w:r w:rsidR="00960B0E">
        <w:t>un</w:t>
      </w:r>
      <w:r>
        <w:t xml:space="preserve"> fondo conformado por los documentos de los ministerios, las superintendencias, el CTCP y la JCC. Por eso nos resulta triste la confesión que el CTCP consignó en el </w:t>
      </w:r>
      <w:hyperlink r:id="rId13" w:history="1">
        <w:r w:rsidRPr="005D487C">
          <w:rPr>
            <w:rStyle w:val="Hyperlink"/>
          </w:rPr>
          <w:t>oficio 2015-674</w:t>
        </w:r>
      </w:hyperlink>
      <w:r>
        <w:t xml:space="preserve"> del 19 de agosto de 2015.</w:t>
      </w:r>
      <w:r w:rsidR="00960B0E">
        <w:t xml:space="preserve"> La academia está en mora de escarbar este recursoesclarecedor.</w:t>
      </w:r>
    </w:p>
    <w:p w:rsidR="00960B0E" w:rsidRPr="00960B0E" w:rsidRDefault="00960B0E" w:rsidP="00960B0E">
      <w:pPr>
        <w:jc w:val="right"/>
        <w:rPr>
          <w:i/>
        </w:rPr>
      </w:pPr>
      <w:r w:rsidRPr="00960B0E">
        <w:rPr>
          <w:i/>
        </w:rPr>
        <w:t>Hernando Bermúdez Gómez</w:t>
      </w:r>
    </w:p>
    <w:sectPr w:rsidR="00960B0E" w:rsidRPr="00960B0E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41C" w:rsidRDefault="005E341C" w:rsidP="00EE7812">
      <w:pPr>
        <w:spacing w:after="0" w:line="240" w:lineRule="auto"/>
      </w:pPr>
      <w:r>
        <w:separator/>
      </w:r>
    </w:p>
  </w:endnote>
  <w:endnote w:type="continuationSeparator" w:id="0">
    <w:p w:rsidR="005E341C" w:rsidRDefault="005E341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07" w:rsidRDefault="003F5107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41C" w:rsidRDefault="005E341C" w:rsidP="00EE7812">
      <w:pPr>
        <w:spacing w:after="0" w:line="240" w:lineRule="auto"/>
      </w:pPr>
      <w:r>
        <w:separator/>
      </w:r>
    </w:p>
  </w:footnote>
  <w:footnote w:type="continuationSeparator" w:id="0">
    <w:p w:rsidR="005E341C" w:rsidRDefault="005E341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07" w:rsidRDefault="003F5107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3F5107" w:rsidRDefault="003F5107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3F5107" w:rsidRDefault="004C6E2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1502</w:t>
    </w:r>
    <w:r w:rsidR="003F5107">
      <w:t>, agosto 31 de 2015</w:t>
    </w:r>
  </w:p>
  <w:p w:rsidR="003F5107" w:rsidRDefault="005E341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30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3"/>
  </w:num>
  <w:num w:numId="25">
    <w:abstractNumId w:val="1"/>
  </w:num>
  <w:num w:numId="26">
    <w:abstractNumId w:val="14"/>
  </w:num>
  <w:num w:numId="27">
    <w:abstractNumId w:val="26"/>
  </w:num>
  <w:num w:numId="28">
    <w:abstractNumId w:val="28"/>
  </w:num>
  <w:num w:numId="29">
    <w:abstractNumId w:val="25"/>
  </w:num>
  <w:num w:numId="30">
    <w:abstractNumId w:val="29"/>
  </w:num>
  <w:num w:numId="31">
    <w:abstractNumId w:val="4"/>
  </w:num>
  <w:num w:numId="32">
    <w:abstractNumId w:val="35"/>
  </w:num>
  <w:num w:numId="33">
    <w:abstractNumId w:val="10"/>
  </w:num>
  <w:num w:numId="34">
    <w:abstractNumId w:val="37"/>
  </w:num>
  <w:num w:numId="35">
    <w:abstractNumId w:val="27"/>
  </w:num>
  <w:num w:numId="36">
    <w:abstractNumId w:val="15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4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A0E"/>
    <w:rsid w:val="00012B60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9BE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5C7D"/>
    <w:rsid w:val="00026035"/>
    <w:rsid w:val="00026352"/>
    <w:rsid w:val="00026414"/>
    <w:rsid w:val="0002683F"/>
    <w:rsid w:val="00026A00"/>
    <w:rsid w:val="00026B0C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40EB"/>
    <w:rsid w:val="0004423D"/>
    <w:rsid w:val="00044246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534"/>
    <w:rsid w:val="00051FAD"/>
    <w:rsid w:val="000520C6"/>
    <w:rsid w:val="000522F8"/>
    <w:rsid w:val="0005271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D42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10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96E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CD1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614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3D7"/>
    <w:rsid w:val="000B16BE"/>
    <w:rsid w:val="000B19A5"/>
    <w:rsid w:val="000B19AB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562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0F8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3B0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386"/>
    <w:rsid w:val="00137492"/>
    <w:rsid w:val="0013784F"/>
    <w:rsid w:val="00137902"/>
    <w:rsid w:val="00137A0F"/>
    <w:rsid w:val="00137B75"/>
    <w:rsid w:val="00137E85"/>
    <w:rsid w:val="00137FBB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272"/>
    <w:rsid w:val="00145567"/>
    <w:rsid w:val="00145650"/>
    <w:rsid w:val="001458FF"/>
    <w:rsid w:val="00145A09"/>
    <w:rsid w:val="00145B03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42D"/>
    <w:rsid w:val="00157627"/>
    <w:rsid w:val="00157AEA"/>
    <w:rsid w:val="00157CE9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18D3"/>
    <w:rsid w:val="0016207A"/>
    <w:rsid w:val="001621F4"/>
    <w:rsid w:val="00162301"/>
    <w:rsid w:val="001623DA"/>
    <w:rsid w:val="00162B4F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BD"/>
    <w:rsid w:val="001661FC"/>
    <w:rsid w:val="001664E7"/>
    <w:rsid w:val="00166835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6A"/>
    <w:rsid w:val="001753A6"/>
    <w:rsid w:val="0017547D"/>
    <w:rsid w:val="0017556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80E"/>
    <w:rsid w:val="00187F05"/>
    <w:rsid w:val="00187F29"/>
    <w:rsid w:val="00190644"/>
    <w:rsid w:val="0019066F"/>
    <w:rsid w:val="00190F12"/>
    <w:rsid w:val="001914E9"/>
    <w:rsid w:val="001918EE"/>
    <w:rsid w:val="001918F1"/>
    <w:rsid w:val="00191B53"/>
    <w:rsid w:val="00191E17"/>
    <w:rsid w:val="00191F5A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29D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614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A4"/>
    <w:rsid w:val="001F0C90"/>
    <w:rsid w:val="001F252C"/>
    <w:rsid w:val="001F2568"/>
    <w:rsid w:val="001F2630"/>
    <w:rsid w:val="001F26F8"/>
    <w:rsid w:val="001F2AA9"/>
    <w:rsid w:val="001F2B3D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627"/>
    <w:rsid w:val="00210E5D"/>
    <w:rsid w:val="00211026"/>
    <w:rsid w:val="00211104"/>
    <w:rsid w:val="0021141A"/>
    <w:rsid w:val="0021175B"/>
    <w:rsid w:val="002119DD"/>
    <w:rsid w:val="00211B2B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CE"/>
    <w:rsid w:val="00222A37"/>
    <w:rsid w:val="00222B50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5DF8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624"/>
    <w:rsid w:val="00266A9E"/>
    <w:rsid w:val="002671D0"/>
    <w:rsid w:val="00267782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1C7"/>
    <w:rsid w:val="00276FD3"/>
    <w:rsid w:val="00277053"/>
    <w:rsid w:val="00277189"/>
    <w:rsid w:val="0027742B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8F1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739"/>
    <w:rsid w:val="00290C50"/>
    <w:rsid w:val="00290E68"/>
    <w:rsid w:val="00290F9C"/>
    <w:rsid w:val="002911B4"/>
    <w:rsid w:val="0029152D"/>
    <w:rsid w:val="0029155F"/>
    <w:rsid w:val="002916CB"/>
    <w:rsid w:val="00291F43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82F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6F83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E7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3B9"/>
    <w:rsid w:val="003104D5"/>
    <w:rsid w:val="0031059B"/>
    <w:rsid w:val="0031078C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F50"/>
    <w:rsid w:val="0032518F"/>
    <w:rsid w:val="00325700"/>
    <w:rsid w:val="00325702"/>
    <w:rsid w:val="00325A6B"/>
    <w:rsid w:val="00325FB4"/>
    <w:rsid w:val="00326169"/>
    <w:rsid w:val="00326334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1979"/>
    <w:rsid w:val="00331EC8"/>
    <w:rsid w:val="00332232"/>
    <w:rsid w:val="003322D1"/>
    <w:rsid w:val="0033286F"/>
    <w:rsid w:val="00332D52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A49"/>
    <w:rsid w:val="0034223E"/>
    <w:rsid w:val="00342253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E6D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57C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3BA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27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6F5"/>
    <w:rsid w:val="003D67D1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B1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1A36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CB9"/>
    <w:rsid w:val="003F5107"/>
    <w:rsid w:val="003F516B"/>
    <w:rsid w:val="003F52F2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135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1C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9A"/>
    <w:rsid w:val="004466EF"/>
    <w:rsid w:val="004472E4"/>
    <w:rsid w:val="00447408"/>
    <w:rsid w:val="00447547"/>
    <w:rsid w:val="00447810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0B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537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983"/>
    <w:rsid w:val="004A0B18"/>
    <w:rsid w:val="004A10B5"/>
    <w:rsid w:val="004A131B"/>
    <w:rsid w:val="004A1532"/>
    <w:rsid w:val="004A16A5"/>
    <w:rsid w:val="004A1A6F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2B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197"/>
    <w:rsid w:val="004D42F3"/>
    <w:rsid w:val="004D470A"/>
    <w:rsid w:val="004D4941"/>
    <w:rsid w:val="004D4A4D"/>
    <w:rsid w:val="004D4C44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60"/>
    <w:rsid w:val="005002E8"/>
    <w:rsid w:val="00500391"/>
    <w:rsid w:val="005007AE"/>
    <w:rsid w:val="005008F6"/>
    <w:rsid w:val="00500CC3"/>
    <w:rsid w:val="00501119"/>
    <w:rsid w:val="0050126D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6EDB"/>
    <w:rsid w:val="005072BF"/>
    <w:rsid w:val="00507338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A11"/>
    <w:rsid w:val="00511D61"/>
    <w:rsid w:val="00511DE3"/>
    <w:rsid w:val="00512A54"/>
    <w:rsid w:val="00512DDE"/>
    <w:rsid w:val="00512DFC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15F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43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52E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686"/>
    <w:rsid w:val="005747F2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3FA"/>
    <w:rsid w:val="00590432"/>
    <w:rsid w:val="0059047E"/>
    <w:rsid w:val="00590500"/>
    <w:rsid w:val="0059080E"/>
    <w:rsid w:val="0059082B"/>
    <w:rsid w:val="00590B52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2D8"/>
    <w:rsid w:val="005B63FB"/>
    <w:rsid w:val="005B68F0"/>
    <w:rsid w:val="005B6C32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DD5"/>
    <w:rsid w:val="005D225C"/>
    <w:rsid w:val="005D228E"/>
    <w:rsid w:val="005D22A6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33A"/>
    <w:rsid w:val="005D487C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815"/>
    <w:rsid w:val="005E1BC9"/>
    <w:rsid w:val="005E1FCB"/>
    <w:rsid w:val="005E2070"/>
    <w:rsid w:val="005E2539"/>
    <w:rsid w:val="005E2A22"/>
    <w:rsid w:val="005E341C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01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245"/>
    <w:rsid w:val="006443AF"/>
    <w:rsid w:val="0064447C"/>
    <w:rsid w:val="00644721"/>
    <w:rsid w:val="00644D10"/>
    <w:rsid w:val="00644F02"/>
    <w:rsid w:val="006451E1"/>
    <w:rsid w:val="0064551A"/>
    <w:rsid w:val="00645547"/>
    <w:rsid w:val="006456E1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B6C"/>
    <w:rsid w:val="00652C7F"/>
    <w:rsid w:val="00652DC3"/>
    <w:rsid w:val="006531FC"/>
    <w:rsid w:val="006538FA"/>
    <w:rsid w:val="00653972"/>
    <w:rsid w:val="00654131"/>
    <w:rsid w:val="00654ABF"/>
    <w:rsid w:val="00654E23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6CC0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1C4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252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D006E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33F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163"/>
    <w:rsid w:val="00737244"/>
    <w:rsid w:val="00737252"/>
    <w:rsid w:val="00737576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CC7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A73"/>
    <w:rsid w:val="00762B17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71C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2"/>
    <w:rsid w:val="007A6DDA"/>
    <w:rsid w:val="007A6F80"/>
    <w:rsid w:val="007A6FB1"/>
    <w:rsid w:val="007A7694"/>
    <w:rsid w:val="007A7703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5C0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AC1"/>
    <w:rsid w:val="007D5D88"/>
    <w:rsid w:val="007D5DC8"/>
    <w:rsid w:val="007D5E54"/>
    <w:rsid w:val="007D64CA"/>
    <w:rsid w:val="007D68AC"/>
    <w:rsid w:val="007D6B2D"/>
    <w:rsid w:val="007D7448"/>
    <w:rsid w:val="007D7560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E19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6C07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5BE"/>
    <w:rsid w:val="0080087D"/>
    <w:rsid w:val="00800A93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1D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6106"/>
    <w:rsid w:val="008161EE"/>
    <w:rsid w:val="0081624C"/>
    <w:rsid w:val="008163C7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21"/>
    <w:rsid w:val="0082176D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90532"/>
    <w:rsid w:val="00890808"/>
    <w:rsid w:val="00890914"/>
    <w:rsid w:val="00890B1A"/>
    <w:rsid w:val="00890FD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1D"/>
    <w:rsid w:val="008A615E"/>
    <w:rsid w:val="008A67AA"/>
    <w:rsid w:val="008A713E"/>
    <w:rsid w:val="008A7214"/>
    <w:rsid w:val="008A7A65"/>
    <w:rsid w:val="008A7EBB"/>
    <w:rsid w:val="008B0094"/>
    <w:rsid w:val="008B09FC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35A"/>
    <w:rsid w:val="008C0B2D"/>
    <w:rsid w:val="008C0DCB"/>
    <w:rsid w:val="008C0E22"/>
    <w:rsid w:val="008C11F6"/>
    <w:rsid w:val="008C12BB"/>
    <w:rsid w:val="008C1905"/>
    <w:rsid w:val="008C1D0F"/>
    <w:rsid w:val="008C1FAA"/>
    <w:rsid w:val="008C25FE"/>
    <w:rsid w:val="008C269F"/>
    <w:rsid w:val="008C29BD"/>
    <w:rsid w:val="008C2CC5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375"/>
    <w:rsid w:val="008C5425"/>
    <w:rsid w:val="008C5607"/>
    <w:rsid w:val="008C597C"/>
    <w:rsid w:val="008C6689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E7C"/>
    <w:rsid w:val="008E2304"/>
    <w:rsid w:val="008E2558"/>
    <w:rsid w:val="008E27CC"/>
    <w:rsid w:val="008E2897"/>
    <w:rsid w:val="008E2A05"/>
    <w:rsid w:val="008E2AC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834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1351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8D"/>
    <w:rsid w:val="009123BA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CD"/>
    <w:rsid w:val="009313FE"/>
    <w:rsid w:val="0093154C"/>
    <w:rsid w:val="00931555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5D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2DB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0E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BD5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22B7"/>
    <w:rsid w:val="009C2A74"/>
    <w:rsid w:val="009C2A81"/>
    <w:rsid w:val="009C2CA8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044"/>
    <w:rsid w:val="009E04D5"/>
    <w:rsid w:val="009E07D8"/>
    <w:rsid w:val="009E0AA9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0B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446"/>
    <w:rsid w:val="00A058B0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87F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6B2"/>
    <w:rsid w:val="00A57C14"/>
    <w:rsid w:val="00A60074"/>
    <w:rsid w:val="00A6029E"/>
    <w:rsid w:val="00A60306"/>
    <w:rsid w:val="00A603F6"/>
    <w:rsid w:val="00A60611"/>
    <w:rsid w:val="00A60624"/>
    <w:rsid w:val="00A60903"/>
    <w:rsid w:val="00A60935"/>
    <w:rsid w:val="00A60C9A"/>
    <w:rsid w:val="00A60EFC"/>
    <w:rsid w:val="00A613F8"/>
    <w:rsid w:val="00A61513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5335"/>
    <w:rsid w:val="00A854DD"/>
    <w:rsid w:val="00A85595"/>
    <w:rsid w:val="00A85E6E"/>
    <w:rsid w:val="00A85FE1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E04"/>
    <w:rsid w:val="00AA1F74"/>
    <w:rsid w:val="00AA390B"/>
    <w:rsid w:val="00AA3AC6"/>
    <w:rsid w:val="00AA3FF1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DC6"/>
    <w:rsid w:val="00AB6F7D"/>
    <w:rsid w:val="00AB732B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D1"/>
    <w:rsid w:val="00AC16BE"/>
    <w:rsid w:val="00AC17D5"/>
    <w:rsid w:val="00AC1988"/>
    <w:rsid w:val="00AC1A7A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02F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CDE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8F4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934"/>
    <w:rsid w:val="00B21C59"/>
    <w:rsid w:val="00B21C7A"/>
    <w:rsid w:val="00B21EFB"/>
    <w:rsid w:val="00B22251"/>
    <w:rsid w:val="00B2276D"/>
    <w:rsid w:val="00B2280F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926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7F1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B04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2F11"/>
    <w:rsid w:val="00B5302B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532"/>
    <w:rsid w:val="00B646E7"/>
    <w:rsid w:val="00B64826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4E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4B"/>
    <w:rsid w:val="00B73DF3"/>
    <w:rsid w:val="00B74105"/>
    <w:rsid w:val="00B741FC"/>
    <w:rsid w:val="00B7443A"/>
    <w:rsid w:val="00B74446"/>
    <w:rsid w:val="00B745BE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AC5"/>
    <w:rsid w:val="00B82B3B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355"/>
    <w:rsid w:val="00BB64ED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8DA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983"/>
    <w:rsid w:val="00BD7C37"/>
    <w:rsid w:val="00BD7CA4"/>
    <w:rsid w:val="00BE08A9"/>
    <w:rsid w:val="00BE0D84"/>
    <w:rsid w:val="00BE0EE0"/>
    <w:rsid w:val="00BE0FF6"/>
    <w:rsid w:val="00BE1095"/>
    <w:rsid w:val="00BE174A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4C8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04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B17"/>
    <w:rsid w:val="00C42CE8"/>
    <w:rsid w:val="00C43051"/>
    <w:rsid w:val="00C4331B"/>
    <w:rsid w:val="00C4341E"/>
    <w:rsid w:val="00C43441"/>
    <w:rsid w:val="00C434A4"/>
    <w:rsid w:val="00C434A9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D9D"/>
    <w:rsid w:val="00C50408"/>
    <w:rsid w:val="00C508BE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463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5C3A"/>
    <w:rsid w:val="00C6604C"/>
    <w:rsid w:val="00C660B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BFC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529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879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819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216B"/>
    <w:rsid w:val="00CE227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7F0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2FC7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2F31"/>
    <w:rsid w:val="00D62FA2"/>
    <w:rsid w:val="00D631C5"/>
    <w:rsid w:val="00D631FB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1A1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5C47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8FB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02"/>
    <w:rsid w:val="00DC4CD1"/>
    <w:rsid w:val="00DC4D93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46D"/>
    <w:rsid w:val="00DF3A5C"/>
    <w:rsid w:val="00DF3D95"/>
    <w:rsid w:val="00DF3F81"/>
    <w:rsid w:val="00DF471D"/>
    <w:rsid w:val="00DF4912"/>
    <w:rsid w:val="00DF4973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2FC5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337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D0C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5AD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65D"/>
    <w:rsid w:val="00E72786"/>
    <w:rsid w:val="00E7292D"/>
    <w:rsid w:val="00E729D5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3D4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DE"/>
    <w:rsid w:val="00EA24EF"/>
    <w:rsid w:val="00EA27DC"/>
    <w:rsid w:val="00EA28E4"/>
    <w:rsid w:val="00EA2D4D"/>
    <w:rsid w:val="00EA3134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BF3"/>
    <w:rsid w:val="00EC4C03"/>
    <w:rsid w:val="00EC4F06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5DB8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0D5"/>
    <w:rsid w:val="00F131C7"/>
    <w:rsid w:val="00F13507"/>
    <w:rsid w:val="00F1368E"/>
    <w:rsid w:val="00F13790"/>
    <w:rsid w:val="00F13862"/>
    <w:rsid w:val="00F13877"/>
    <w:rsid w:val="00F13B9D"/>
    <w:rsid w:val="00F143FB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848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3ED"/>
    <w:rsid w:val="00F97E77"/>
    <w:rsid w:val="00FA00EE"/>
    <w:rsid w:val="00FA0305"/>
    <w:rsid w:val="00FA04E8"/>
    <w:rsid w:val="00FA053B"/>
    <w:rsid w:val="00FA07D5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95A"/>
    <w:rsid w:val="00FA2A2D"/>
    <w:rsid w:val="00FA2DC7"/>
    <w:rsid w:val="00FA3296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998"/>
    <w:rsid w:val="00FA5E78"/>
    <w:rsid w:val="00FA6057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120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1FB5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2FF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362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4EF"/>
    <w:rsid w:val="00FF65D1"/>
    <w:rsid w:val="00FF6627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tcp.gov.co/conceptos.php?concept_id=201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chivogeneral.gov.co/sites/all/themes/nevia/PDF/Transparencia/LEY_1712_DE_2014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chivogeneral.gov.co/sites/all/themes/nevia/PDF/Transparencia/LEY_594_DE_2000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ecomputis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ahhq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DBFDD0B1-EB62-44FA-8D88-5AEACC72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2015-08-28T22:51:00Z</dcterms:created>
  <dcterms:modified xsi:type="dcterms:W3CDTF">2015-08-28T22:51:00Z</dcterms:modified>
</cp:coreProperties>
</file>