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F90" w:rsidRPr="00BC5F90" w:rsidRDefault="00BC5F90" w:rsidP="00BC5F90">
      <w:pPr>
        <w:keepNext/>
        <w:framePr w:dropCap="drop" w:lines="3" w:wrap="around" w:vAnchor="text" w:hAnchor="text"/>
        <w:spacing w:after="0" w:line="926" w:lineRule="exact"/>
        <w:textAlignment w:val="baseline"/>
        <w:rPr>
          <w:position w:val="-8"/>
          <w:sz w:val="120"/>
        </w:rPr>
      </w:pPr>
      <w:bookmarkStart w:id="0" w:name="_GoBack"/>
      <w:bookmarkEnd w:id="0"/>
      <w:r w:rsidRPr="00BC5F90">
        <w:rPr>
          <w:position w:val="-8"/>
          <w:sz w:val="120"/>
        </w:rPr>
        <w:t>C</w:t>
      </w:r>
    </w:p>
    <w:p w:rsidR="00CC5FBD" w:rsidRPr="00946433" w:rsidRDefault="00BC5F90" w:rsidP="00A5065A">
      <w:r>
        <w:t>ada día es más evidente el carácter sistemático de las IFRS. Ya son varias las ocasiones en las cuales se ha observado que la aplicación de una norma debe diferirse mientras otras están listas a entrar en vigencia.</w:t>
      </w:r>
      <w:r w:rsidR="00946433">
        <w:t xml:space="preserve"> Ese es, por ejemplo, el parecer de las </w:t>
      </w:r>
      <w:hyperlink r:id="rId9" w:history="1">
        <w:r w:rsidR="00946433" w:rsidRPr="00946433">
          <w:rPr>
            <w:rStyle w:val="Hyperlink"/>
          </w:rPr>
          <w:t>aseguradoras europeas</w:t>
        </w:r>
      </w:hyperlink>
      <w:r w:rsidR="00946433">
        <w:t xml:space="preserve">: “(…) </w:t>
      </w:r>
      <w:r w:rsidR="00946433" w:rsidRPr="00946433">
        <w:rPr>
          <w:i/>
          <w:lang w:val="en-US"/>
        </w:rPr>
        <w:t>All four participants from the insurance industry called for a deferral of IFRS 9 for the insurance industry or a voluntary application</w:t>
      </w:r>
      <w:r w:rsidR="00946433" w:rsidRPr="00946433">
        <w:rPr>
          <w:lang w:val="en-US"/>
        </w:rPr>
        <w:t>.</w:t>
      </w:r>
      <w:r w:rsidR="00946433">
        <w:rPr>
          <w:lang w:val="en-US"/>
        </w:rPr>
        <w:t xml:space="preserve"> (…)” “(…) </w:t>
      </w:r>
      <w:r w:rsidR="00946433" w:rsidRPr="00946433">
        <w:rPr>
          <w:i/>
          <w:lang w:val="en-US"/>
        </w:rPr>
        <w:t>Three participants from the insurance industry provided quantitative data on the possible accounting mismatches to be identified. Those participants indicated the importance of the reclassification of financial assets from available for sale under IAS 39 to fair value through profit or loss under IFRS 9 and related accounting mismatches and provided an indication of the resulting volatility in profit or loss.</w:t>
      </w:r>
      <w:r w:rsidR="00946433">
        <w:rPr>
          <w:lang w:val="en-US"/>
        </w:rPr>
        <w:t xml:space="preserve"> </w:t>
      </w:r>
      <w:r w:rsidR="00946433" w:rsidRPr="00946433">
        <w:t>(…)”</w:t>
      </w:r>
    </w:p>
    <w:p w:rsidR="00BC5F90" w:rsidRDefault="00946433" w:rsidP="00946433">
      <w:pPr>
        <w:rPr>
          <w:lang w:val="en-US"/>
        </w:rPr>
      </w:pPr>
      <w:r w:rsidRPr="00946433">
        <w:t>Como se sabe, IASB viene introduciendo pequeñas modificaciones en proyectos de finales de cada año.</w:t>
      </w:r>
      <w:r>
        <w:t xml:space="preserve"> Pues, ellos mismos están sosteniendo que </w:t>
      </w:r>
      <w:hyperlink r:id="rId10" w:history="1">
        <w:r w:rsidRPr="009A4A90">
          <w:rPr>
            <w:rStyle w:val="Hyperlink"/>
          </w:rPr>
          <w:t>esas pequeñas mejoras deben esperar</w:t>
        </w:r>
      </w:hyperlink>
      <w:r>
        <w:t xml:space="preserve"> hasta que se hagan revisiones de fondo de una norma</w:t>
      </w:r>
      <w:r w:rsidR="00F63BAE">
        <w:t xml:space="preserve">. </w:t>
      </w:r>
      <w:r w:rsidR="00F63BAE" w:rsidRPr="00361941">
        <w:rPr>
          <w:lang w:val="es-ES"/>
        </w:rPr>
        <w:t>Por ejemplo</w:t>
      </w:r>
      <w:r w:rsidRPr="00F63BAE">
        <w:rPr>
          <w:lang w:val="en-US"/>
        </w:rPr>
        <w:t xml:space="preserve">: “(…) </w:t>
      </w:r>
      <w:r w:rsidRPr="004069CC">
        <w:rPr>
          <w:i/>
          <w:lang w:val="en-US"/>
        </w:rPr>
        <w:t>The proposed postponement would apply to changes introduced by the IASB in 2014 through narrow-scope amendments to IFRS 10 Consolidated Financial Statements and IAS 28 Investments in Associates and Joint Ventures. Those changes affect how an entity should determine any gain or loss it recognises when assets are sold or contributed between the entity and an associate or joint venture in which it invests. The changes do not affect other aspects of how entities account for their investments in associates and joint ventures.</w:t>
      </w:r>
      <w:r w:rsidR="004069CC">
        <w:rPr>
          <w:i/>
          <w:lang w:val="en-US"/>
        </w:rPr>
        <w:t xml:space="preserve"> </w:t>
      </w:r>
      <w:r w:rsidR="004069CC" w:rsidRPr="004069CC">
        <w:rPr>
          <w:i/>
          <w:lang w:val="en-US"/>
        </w:rPr>
        <w:t xml:space="preserve">― </w:t>
      </w:r>
      <w:r w:rsidRPr="004069CC">
        <w:rPr>
          <w:i/>
          <w:lang w:val="en-US"/>
        </w:rPr>
        <w:t xml:space="preserve">The </w:t>
      </w:r>
      <w:r w:rsidRPr="004069CC">
        <w:rPr>
          <w:i/>
          <w:lang w:val="en-US"/>
        </w:rPr>
        <w:lastRenderedPageBreak/>
        <w:t>proposed postponement would remove the current requirement to make these particular changes by 2016. Instead, entities could wait until after the IASB has carried out a planned broader review that may result in the simplification of accounting for such transactions and of other aspects of accounting for associates and joint ventures.</w:t>
      </w:r>
      <w:r w:rsidR="004069CC">
        <w:rPr>
          <w:lang w:val="en-US"/>
        </w:rPr>
        <w:t xml:space="preserve"> (…)”</w:t>
      </w:r>
    </w:p>
    <w:p w:rsidR="004069CC" w:rsidRDefault="004F09AD" w:rsidP="00946433">
      <w:r w:rsidRPr="004F09AD">
        <w:t xml:space="preserve">El carácter sistemático de las IFRS implica que a la hora de interpretarlas para aplicarlas deben tomarse </w:t>
      </w:r>
      <w:r>
        <w:t>como un conjunto y no como dispo</w:t>
      </w:r>
      <w:r w:rsidRPr="004F09AD">
        <w:t xml:space="preserve">siciones aisladas. </w:t>
      </w:r>
      <w:r>
        <w:t>Muchos de los curso</w:t>
      </w:r>
      <w:r w:rsidR="00CA6129">
        <w:t>s</w:t>
      </w:r>
      <w:r>
        <w:t xml:space="preserve"> que se han impartido en el último año segmentan las IFRS por temas. Esto puede generar que los participantes no adviertan que cada norma debe aplicarse en armonía con las demás.</w:t>
      </w:r>
    </w:p>
    <w:p w:rsidR="00F63BAE" w:rsidRDefault="003023AF" w:rsidP="00946433">
      <w:r>
        <w:t xml:space="preserve">Aun cuando no se predique exigibilidad del marco conceptual, es evidente que las diferentes normas deben interpretarse en armonía con el marco. </w:t>
      </w:r>
    </w:p>
    <w:p w:rsidR="003023AF" w:rsidRDefault="00F67443" w:rsidP="005314D0">
      <w:pPr>
        <w:rPr>
          <w:lang w:val="en-US"/>
        </w:rPr>
      </w:pPr>
      <w:r>
        <w:t xml:space="preserve">Así las cosas, resulta muy importante </w:t>
      </w:r>
      <w:r w:rsidR="0087439F">
        <w:t xml:space="preserve">la publicación conocida como </w:t>
      </w:r>
      <w:hyperlink r:id="rId11" w:history="1">
        <w:r w:rsidR="0087439F" w:rsidRPr="0087439F">
          <w:rPr>
            <w:rStyle w:val="Hyperlink"/>
          </w:rPr>
          <w:t>Green Book</w:t>
        </w:r>
      </w:hyperlink>
      <w:r w:rsidR="0087439F">
        <w:t>, que tiene ref</w:t>
      </w:r>
      <w:r w:rsidR="005314D0">
        <w:t xml:space="preserve">erencias y concordancias: “(…) </w:t>
      </w:r>
      <w:r w:rsidR="005314D0" w:rsidRPr="005314D0">
        <w:rPr>
          <w:i/>
          <w:lang w:val="en-US"/>
        </w:rPr>
        <w:t>This book is particularly useful to those applying, teaching or studying IFRS.  Cross-references guide readers through IFRS and facilitate their understanding by providing the connection between: - related IFRSs; - IFRSs and their accompanying Illustrative Examples and Implementation Guidance; and - IFRSs and the IASB's main considerations in reaching its conclusions (ie the Bases for Conclusions)</w:t>
      </w:r>
      <w:r w:rsidR="005314D0">
        <w:rPr>
          <w:lang w:val="en-US"/>
        </w:rPr>
        <w:t xml:space="preserve"> (…)”.</w:t>
      </w:r>
    </w:p>
    <w:p w:rsidR="00361941" w:rsidRPr="00361941" w:rsidRDefault="00361941" w:rsidP="00361941">
      <w:pPr>
        <w:jc w:val="right"/>
        <w:rPr>
          <w:i/>
          <w:lang w:val="en-US"/>
        </w:rPr>
      </w:pPr>
      <w:r w:rsidRPr="00361941">
        <w:rPr>
          <w:i/>
          <w:lang w:val="en-US"/>
        </w:rPr>
        <w:t>Hernando Bermúdez Gómez</w:t>
      </w:r>
    </w:p>
    <w:sectPr w:rsidR="00361941" w:rsidRPr="00361941"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93A" w:rsidRDefault="000C093A" w:rsidP="00EE7812">
      <w:pPr>
        <w:spacing w:after="0" w:line="240" w:lineRule="auto"/>
      </w:pPr>
      <w:r>
        <w:separator/>
      </w:r>
    </w:p>
  </w:endnote>
  <w:endnote w:type="continuationSeparator" w:id="0">
    <w:p w:rsidR="000C093A" w:rsidRDefault="000C093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93A" w:rsidRDefault="000C093A" w:rsidP="00EE7812">
      <w:pPr>
        <w:spacing w:after="0" w:line="240" w:lineRule="auto"/>
      </w:pPr>
      <w:r>
        <w:separator/>
      </w:r>
    </w:p>
  </w:footnote>
  <w:footnote w:type="continuationSeparator" w:id="0">
    <w:p w:rsidR="000C093A" w:rsidRDefault="000C093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A5065A" w:rsidP="00613BC8">
    <w:pPr>
      <w:pStyle w:val="Header"/>
      <w:tabs>
        <w:tab w:val="left" w:pos="2580"/>
        <w:tab w:val="left" w:pos="2985"/>
      </w:tabs>
      <w:spacing w:line="276" w:lineRule="auto"/>
      <w:jc w:val="right"/>
    </w:pPr>
    <w:r>
      <w:t>Número 1511</w:t>
    </w:r>
    <w:r w:rsidR="00CC5FBD">
      <w:t>, septiembre 7 de 2015</w:t>
    </w:r>
  </w:p>
  <w:p w:rsidR="00CC5FBD" w:rsidRDefault="000C093A"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93A"/>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B4F"/>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6A"/>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600"/>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2E45"/>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627"/>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6732"/>
    <w:rsid w:val="00286BEF"/>
    <w:rsid w:val="00287180"/>
    <w:rsid w:val="002879BA"/>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3AF"/>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E1B"/>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41"/>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8C5"/>
    <w:rsid w:val="003D2B28"/>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7AB"/>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9CC"/>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7E8"/>
    <w:rsid w:val="00443A0F"/>
    <w:rsid w:val="00443B35"/>
    <w:rsid w:val="00444156"/>
    <w:rsid w:val="0044442D"/>
    <w:rsid w:val="004444CD"/>
    <w:rsid w:val="0044488C"/>
    <w:rsid w:val="004448C3"/>
    <w:rsid w:val="0044493E"/>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983"/>
    <w:rsid w:val="004A0B18"/>
    <w:rsid w:val="004A10B5"/>
    <w:rsid w:val="004A131B"/>
    <w:rsid w:val="004A1532"/>
    <w:rsid w:val="004A16A5"/>
    <w:rsid w:val="004A1A45"/>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A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A11"/>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65"/>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4D0"/>
    <w:rsid w:val="0053155D"/>
    <w:rsid w:val="0053155F"/>
    <w:rsid w:val="00531C0A"/>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1C4"/>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D88"/>
    <w:rsid w:val="007D5DC8"/>
    <w:rsid w:val="007D5E54"/>
    <w:rsid w:val="007D64CA"/>
    <w:rsid w:val="007D68AC"/>
    <w:rsid w:val="007D6B2D"/>
    <w:rsid w:val="007D7448"/>
    <w:rsid w:val="007D7560"/>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39F"/>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712"/>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905"/>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7CC"/>
    <w:rsid w:val="008E2897"/>
    <w:rsid w:val="008E2A05"/>
    <w:rsid w:val="008E2AC5"/>
    <w:rsid w:val="008E2C46"/>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433"/>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4A90"/>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4F2"/>
    <w:rsid w:val="00B21934"/>
    <w:rsid w:val="00B21C59"/>
    <w:rsid w:val="00B21C7A"/>
    <w:rsid w:val="00B21EFB"/>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4B"/>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698"/>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90"/>
    <w:rsid w:val="00BC5FDF"/>
    <w:rsid w:val="00BC65E0"/>
    <w:rsid w:val="00BC67CA"/>
    <w:rsid w:val="00BC6C89"/>
    <w:rsid w:val="00BC768D"/>
    <w:rsid w:val="00BC7AEA"/>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4F5"/>
    <w:rsid w:val="00C6467A"/>
    <w:rsid w:val="00C648BE"/>
    <w:rsid w:val="00C64961"/>
    <w:rsid w:val="00C649A2"/>
    <w:rsid w:val="00C64A30"/>
    <w:rsid w:val="00C64D4E"/>
    <w:rsid w:val="00C65385"/>
    <w:rsid w:val="00C65507"/>
    <w:rsid w:val="00C6588A"/>
    <w:rsid w:val="00C65C3A"/>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BFC"/>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129"/>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879"/>
    <w:rsid w:val="00CC5924"/>
    <w:rsid w:val="00CC5D55"/>
    <w:rsid w:val="00CC5FB1"/>
    <w:rsid w:val="00CC5FBD"/>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3134"/>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BAE"/>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443"/>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C9B"/>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627"/>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ifrs.org/ProductCatalog/ShowResults.aspx?name=gre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frs.org/Alerts/PressRelease/Pages/IASB-proposes-to-postpone-accounting-changes-for-associates-and-joint-ventures-until-completion-of-broader-review.aspx" TargetMode="External"/><Relationship Id="rId4" Type="http://schemas.microsoft.com/office/2007/relationships/stylesWithEffects" Target="stylesWithEffects.xml"/><Relationship Id="rId9" Type="http://schemas.openxmlformats.org/officeDocument/2006/relationships/hyperlink" Target="http://www.efrag.org/files/IFRS%209%20endorsement/IFRS_9_Pre-endorsement_questionnaire_-_feedback_report_-_August_2015_-_fina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0F4AA06B-C250-4BC5-9D6F-076819E18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2906</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2015-09-06T20:31:00Z</dcterms:created>
  <dcterms:modified xsi:type="dcterms:W3CDTF">2015-09-06T20:31:00Z</dcterms:modified>
</cp:coreProperties>
</file>