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06C" w:rsidRPr="00C2306C" w:rsidRDefault="00C2306C" w:rsidP="00C2306C">
      <w:pPr>
        <w:keepNext/>
        <w:framePr w:dropCap="drop" w:lines="3" w:wrap="around" w:vAnchor="text" w:hAnchor="text"/>
        <w:spacing w:after="0" w:line="926" w:lineRule="exact"/>
        <w:textAlignment w:val="baseline"/>
        <w:rPr>
          <w:position w:val="-8"/>
          <w:sz w:val="122"/>
        </w:rPr>
      </w:pPr>
      <w:bookmarkStart w:id="0" w:name="_GoBack"/>
      <w:bookmarkEnd w:id="0"/>
      <w:r w:rsidRPr="00C2306C">
        <w:rPr>
          <w:position w:val="-8"/>
          <w:sz w:val="122"/>
        </w:rPr>
        <w:t>A</w:t>
      </w:r>
    </w:p>
    <w:p w:rsidR="0047391F" w:rsidRDefault="00C2306C" w:rsidP="00134200">
      <w:r>
        <w:t xml:space="preserve"> lo largo de los ensayos publicados bajo el nombre de </w:t>
      </w:r>
      <w:hyperlink r:id="rId9" w:history="1">
        <w:r w:rsidRPr="00C2306C">
          <w:rPr>
            <w:rStyle w:val="Hyperlink"/>
          </w:rPr>
          <w:t>Contrapartida</w:t>
        </w:r>
      </w:hyperlink>
      <w:r w:rsidR="00DE6C3B">
        <w:t>,</w:t>
      </w:r>
      <w:r>
        <w:t xml:space="preserve"> hemos mantenido la visión según la cual al conocimiento científico le sigue la técnica, es decir, su aplicación. Ciencia y técnica se amalgaman en las tecnologías. Además hemos afirmado que la ciencia no excluye </w:t>
      </w:r>
      <w:r w:rsidR="00E951A7">
        <w:t xml:space="preserve">al </w:t>
      </w:r>
      <w:r>
        <w:t>arte, de manera</w:t>
      </w:r>
      <w:r w:rsidR="00973CD2">
        <w:t xml:space="preserve"> que una</w:t>
      </w:r>
      <w:r>
        <w:t xml:space="preserve"> y otro pueden concurrir armoniosamente.</w:t>
      </w:r>
    </w:p>
    <w:p w:rsidR="00C2306C" w:rsidRDefault="005F4EBF" w:rsidP="00134200">
      <w:r>
        <w:t>La nota distintiva de los contadores profesionales debe ser su capacidad de explicar y justificar las técnicas en la ciencia. Creemos que las ciencias contables son económicas y, por tanto, ciencias sociales.</w:t>
      </w:r>
    </w:p>
    <w:p w:rsidR="00DE6C3B" w:rsidRDefault="007F3896" w:rsidP="00134200">
      <w:r>
        <w:t>El esfuerzo de IASB, orientado a expedir un conjunto de normas de alta calidad aplicables a la información financiera, implica transitar por los caminos de las ciencias y las técnicas contables.</w:t>
      </w:r>
      <w:r w:rsidR="007835BE">
        <w:t xml:space="preserve"> Sus estándares se han ido transformando con el paso del tiempo, ante las exigencias de los interesados en sus pronunciamientos (constituyentes, </w:t>
      </w:r>
      <w:r w:rsidR="007835BE" w:rsidRPr="007835BE">
        <w:rPr>
          <w:i/>
        </w:rPr>
        <w:t>stakeholders</w:t>
      </w:r>
      <w:r w:rsidR="007835BE">
        <w:t>).</w:t>
      </w:r>
    </w:p>
    <w:p w:rsidR="00D20947" w:rsidRDefault="00973CD2" w:rsidP="00134200">
      <w:r>
        <w:t xml:space="preserve">En la actualidad nos encontramos ante normas que establecen y desarrollan principios, que se acompañan de explicaciones sobre los argumentos que llevaron a su promulgación (fundamentos de las conclusiones), que en varios casos llevan anexas algunos apéndices, en los </w:t>
      </w:r>
      <w:r w:rsidR="00242FA4">
        <w:t xml:space="preserve">que </w:t>
      </w:r>
      <w:r>
        <w:t>pueden aparecer ejemplos ilustrativos y guías de aplicación.</w:t>
      </w:r>
      <w:r w:rsidR="00B82918">
        <w:t xml:space="preserve"> Normas que </w:t>
      </w:r>
      <w:r w:rsidR="00242FA4">
        <w:t>pueden ser</w:t>
      </w:r>
      <w:r w:rsidR="00B82918">
        <w:t xml:space="preserve"> objeto de interpretaciones con autoridad.</w:t>
      </w:r>
      <w:r w:rsidR="00D20947">
        <w:t xml:space="preserve"> Tal evolución de las expresiones normativas de IASB corresponde a la naturaleza de su materia o tema, ciertamente propio de ciencias aplicadas, como la contabilidad.</w:t>
      </w:r>
    </w:p>
    <w:p w:rsidR="00996BE3" w:rsidRDefault="00E951A7" w:rsidP="00996BE3">
      <w:r>
        <w:lastRenderedPageBreak/>
        <w:t>De esta manera</w:t>
      </w:r>
      <w:r w:rsidR="00996BE3">
        <w:t xml:space="preserve"> se explica</w:t>
      </w:r>
      <w:r>
        <w:t>n</w:t>
      </w:r>
      <w:r w:rsidR="00996BE3">
        <w:t xml:space="preserve"> las diferencias surgidas entre IASB y FASB respecto de las posibles modificaciones de la IFRS 15, Ingresos de actividades ordinarias procedentes de contratos con clientes, </w:t>
      </w:r>
      <w:r w:rsidR="009803F7">
        <w:t>con relación a</w:t>
      </w:r>
      <w:r w:rsidR="00996BE3">
        <w:t xml:space="preserve"> las cuales </w:t>
      </w:r>
      <w:hyperlink r:id="rId10" w:history="1">
        <w:r w:rsidR="00996BE3" w:rsidRPr="00996BE3">
          <w:rPr>
            <w:rStyle w:val="Hyperlink"/>
          </w:rPr>
          <w:t>EFRAG opinó</w:t>
        </w:r>
      </w:hyperlink>
      <w:r w:rsidR="00996BE3">
        <w:t xml:space="preserve">: “(…) </w:t>
      </w:r>
      <w:r w:rsidR="00996BE3" w:rsidRPr="00996BE3">
        <w:rPr>
          <w:i/>
        </w:rPr>
        <w:t>We believe the converged revenue Standard is a step forward in financial reporting that will provide benefits to both preparers and users internationally. While we support the convergence of IFRS 15 with Topic 606 Revenue from Contracts with Customers, we agree with the IASB’s decision not to clarify certain issues where the FASB has decided to provide further guidance in the Standard. EFRAG believes that, at this stage, before the implementation of IFRS 15, the IASB should only clarify those issues that are strictly necessary for a proper understanding of IFRS 15</w:t>
      </w:r>
      <w:r w:rsidR="00996BE3" w:rsidRPr="00996BE3">
        <w:t>.</w:t>
      </w:r>
      <w:r w:rsidR="00996BE3">
        <w:t xml:space="preserve"> (…)”</w:t>
      </w:r>
      <w:r w:rsidR="00673FF3">
        <w:t>.</w:t>
      </w:r>
    </w:p>
    <w:p w:rsidR="00567436" w:rsidRDefault="00567436" w:rsidP="00996BE3">
      <w:r>
        <w:t>El contexto cultural determina los procesos de comprensión y puesta en práctica de las reglas técnicas, en forma tal que lo que para una jurisdicción puede ser claro y suficiente, para otra puede resultar ambiguo y deficiente. Por eso ya se han producido varios ensayos, fruto de investigación científica, que documentan los procesos reales de aplicación de los IFRS.</w:t>
      </w:r>
      <w:r w:rsidR="00F1253E">
        <w:t xml:space="preserve"> En Colombia los comentaristas de las propuestas del CTCP le han planteado varios asuntos</w:t>
      </w:r>
      <w:r w:rsidR="00E951A7">
        <w:t>,</w:t>
      </w:r>
      <w:r w:rsidR="00F1253E">
        <w:t xml:space="preserve"> respecto de los cuales opinaron que merecían más ejemplos y guías de aplicación, resultado que el organismo de normalización invariablemente ha considerado que los IFRS son adecuados y no requieren de pronunciamientos adicionales.</w:t>
      </w:r>
      <w:r w:rsidR="00E941E6">
        <w:t xml:space="preserve"> </w:t>
      </w:r>
    </w:p>
    <w:p w:rsidR="00E941E6" w:rsidRPr="00E941E6" w:rsidRDefault="00E941E6" w:rsidP="00E941E6">
      <w:pPr>
        <w:jc w:val="right"/>
        <w:rPr>
          <w:i/>
        </w:rPr>
      </w:pPr>
      <w:r w:rsidRPr="00E941E6">
        <w:rPr>
          <w:i/>
        </w:rPr>
        <w:t>Hernando Bermúdez Gómez</w:t>
      </w:r>
    </w:p>
    <w:sectPr w:rsidR="00E941E6" w:rsidRPr="00E941E6"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CFE" w:rsidRDefault="00982CFE" w:rsidP="00EE7812">
      <w:pPr>
        <w:spacing w:after="0" w:line="240" w:lineRule="auto"/>
      </w:pPr>
      <w:r>
        <w:separator/>
      </w:r>
    </w:p>
  </w:endnote>
  <w:endnote w:type="continuationSeparator" w:id="0">
    <w:p w:rsidR="00982CFE" w:rsidRDefault="00982CF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CFE" w:rsidRDefault="00982CFE" w:rsidP="00EE7812">
      <w:pPr>
        <w:spacing w:after="0" w:line="240" w:lineRule="auto"/>
      </w:pPr>
      <w:r>
        <w:separator/>
      </w:r>
    </w:p>
  </w:footnote>
  <w:footnote w:type="continuationSeparator" w:id="0">
    <w:p w:rsidR="00982CFE" w:rsidRDefault="00982CF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De Computationis Jure Opiniones</w:t>
    </w:r>
  </w:p>
  <w:p w:rsidR="00CC5FBD" w:rsidRDefault="00134200" w:rsidP="00613BC8">
    <w:pPr>
      <w:pStyle w:val="Header"/>
      <w:tabs>
        <w:tab w:val="left" w:pos="2580"/>
        <w:tab w:val="left" w:pos="2985"/>
      </w:tabs>
      <w:spacing w:line="276" w:lineRule="auto"/>
      <w:jc w:val="right"/>
    </w:pPr>
    <w:r>
      <w:t>Número 1519</w:t>
    </w:r>
    <w:r w:rsidR="00CC5FBD">
      <w:t>, septiembre 7 de 2015</w:t>
    </w:r>
  </w:p>
  <w:p w:rsidR="00CC5FBD" w:rsidRDefault="00982CFE"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100B"/>
    <w:rsid w:val="0001252F"/>
    <w:rsid w:val="000127D5"/>
    <w:rsid w:val="00012A0E"/>
    <w:rsid w:val="00012B60"/>
    <w:rsid w:val="00012D72"/>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9BE"/>
    <w:rsid w:val="00022A3C"/>
    <w:rsid w:val="00022C55"/>
    <w:rsid w:val="000231C1"/>
    <w:rsid w:val="00023576"/>
    <w:rsid w:val="00023A9F"/>
    <w:rsid w:val="00023B4D"/>
    <w:rsid w:val="0002402F"/>
    <w:rsid w:val="00024267"/>
    <w:rsid w:val="00024329"/>
    <w:rsid w:val="000246E8"/>
    <w:rsid w:val="000246FA"/>
    <w:rsid w:val="00024861"/>
    <w:rsid w:val="00024B4D"/>
    <w:rsid w:val="00024C9A"/>
    <w:rsid w:val="000252AB"/>
    <w:rsid w:val="0002567C"/>
    <w:rsid w:val="00025798"/>
    <w:rsid w:val="00025817"/>
    <w:rsid w:val="0002582E"/>
    <w:rsid w:val="000259F6"/>
    <w:rsid w:val="00025B71"/>
    <w:rsid w:val="00025C7D"/>
    <w:rsid w:val="00026035"/>
    <w:rsid w:val="00026352"/>
    <w:rsid w:val="00026414"/>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246"/>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FAD"/>
    <w:rsid w:val="000520C6"/>
    <w:rsid w:val="000522F8"/>
    <w:rsid w:val="00052711"/>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5FE9"/>
    <w:rsid w:val="00056339"/>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B51"/>
    <w:rsid w:val="000A0C6E"/>
    <w:rsid w:val="000A0D2A"/>
    <w:rsid w:val="000A1131"/>
    <w:rsid w:val="000A1170"/>
    <w:rsid w:val="000A13CA"/>
    <w:rsid w:val="000A141D"/>
    <w:rsid w:val="000A1525"/>
    <w:rsid w:val="000A160B"/>
    <w:rsid w:val="000A16E9"/>
    <w:rsid w:val="000A1874"/>
    <w:rsid w:val="000A1B3C"/>
    <w:rsid w:val="000A1BD5"/>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3D7"/>
    <w:rsid w:val="000B16BE"/>
    <w:rsid w:val="000B19A5"/>
    <w:rsid w:val="000B19AB"/>
    <w:rsid w:val="000B232B"/>
    <w:rsid w:val="000B256F"/>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2E00"/>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8FD"/>
    <w:rsid w:val="000F390D"/>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7"/>
    <w:rsid w:val="0012515B"/>
    <w:rsid w:val="00125202"/>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200"/>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7DA"/>
    <w:rsid w:val="00156CAD"/>
    <w:rsid w:val="00156DB7"/>
    <w:rsid w:val="001571F1"/>
    <w:rsid w:val="0015742D"/>
    <w:rsid w:val="00157627"/>
    <w:rsid w:val="00157AEA"/>
    <w:rsid w:val="00157CE9"/>
    <w:rsid w:val="00157D6E"/>
    <w:rsid w:val="00160571"/>
    <w:rsid w:val="0016073C"/>
    <w:rsid w:val="001608C4"/>
    <w:rsid w:val="00160A0A"/>
    <w:rsid w:val="00160AAC"/>
    <w:rsid w:val="00160F16"/>
    <w:rsid w:val="0016142B"/>
    <w:rsid w:val="00161527"/>
    <w:rsid w:val="00161551"/>
    <w:rsid w:val="00161690"/>
    <w:rsid w:val="00161827"/>
    <w:rsid w:val="001618D3"/>
    <w:rsid w:val="0016207A"/>
    <w:rsid w:val="001621F4"/>
    <w:rsid w:val="00162301"/>
    <w:rsid w:val="001623DA"/>
    <w:rsid w:val="001624D7"/>
    <w:rsid w:val="00162B4F"/>
    <w:rsid w:val="00162EEC"/>
    <w:rsid w:val="00163104"/>
    <w:rsid w:val="0016325B"/>
    <w:rsid w:val="00163346"/>
    <w:rsid w:val="00163348"/>
    <w:rsid w:val="00163397"/>
    <w:rsid w:val="001635A4"/>
    <w:rsid w:val="001638A1"/>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6A"/>
    <w:rsid w:val="001753A6"/>
    <w:rsid w:val="0017547D"/>
    <w:rsid w:val="0017556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586"/>
    <w:rsid w:val="0018780E"/>
    <w:rsid w:val="00187F05"/>
    <w:rsid w:val="00187F29"/>
    <w:rsid w:val="00190644"/>
    <w:rsid w:val="0019066F"/>
    <w:rsid w:val="00190F12"/>
    <w:rsid w:val="001914E9"/>
    <w:rsid w:val="001918EE"/>
    <w:rsid w:val="001918F1"/>
    <w:rsid w:val="00191B53"/>
    <w:rsid w:val="00191E17"/>
    <w:rsid w:val="00191F5A"/>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59F"/>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91D"/>
    <w:rsid w:val="001E5CFD"/>
    <w:rsid w:val="001E5DAC"/>
    <w:rsid w:val="001E5EFD"/>
    <w:rsid w:val="001E61B1"/>
    <w:rsid w:val="001E6600"/>
    <w:rsid w:val="001E67DC"/>
    <w:rsid w:val="001E690D"/>
    <w:rsid w:val="001E6B0D"/>
    <w:rsid w:val="001E6C65"/>
    <w:rsid w:val="001E6CC1"/>
    <w:rsid w:val="001E6D79"/>
    <w:rsid w:val="001E6E04"/>
    <w:rsid w:val="001E6E51"/>
    <w:rsid w:val="001E6E90"/>
    <w:rsid w:val="001E7254"/>
    <w:rsid w:val="001E746C"/>
    <w:rsid w:val="001E7771"/>
    <w:rsid w:val="001E7E50"/>
    <w:rsid w:val="001F0077"/>
    <w:rsid w:val="001F0202"/>
    <w:rsid w:val="001F0742"/>
    <w:rsid w:val="001F0A57"/>
    <w:rsid w:val="001F0AA4"/>
    <w:rsid w:val="001F0C90"/>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627"/>
    <w:rsid w:val="00210E5D"/>
    <w:rsid w:val="00211026"/>
    <w:rsid w:val="00211104"/>
    <w:rsid w:val="0021141A"/>
    <w:rsid w:val="0021175B"/>
    <w:rsid w:val="002119DD"/>
    <w:rsid w:val="00211B2B"/>
    <w:rsid w:val="00211C9F"/>
    <w:rsid w:val="00211F33"/>
    <w:rsid w:val="00211F95"/>
    <w:rsid w:val="00211F99"/>
    <w:rsid w:val="002122FF"/>
    <w:rsid w:val="00212436"/>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CE"/>
    <w:rsid w:val="00222A37"/>
    <w:rsid w:val="00222B50"/>
    <w:rsid w:val="00222BE4"/>
    <w:rsid w:val="00222C70"/>
    <w:rsid w:val="00222D74"/>
    <w:rsid w:val="00223042"/>
    <w:rsid w:val="002235AD"/>
    <w:rsid w:val="0022376E"/>
    <w:rsid w:val="002237BE"/>
    <w:rsid w:val="00223AF8"/>
    <w:rsid w:val="00223D05"/>
    <w:rsid w:val="00223F84"/>
    <w:rsid w:val="002245C2"/>
    <w:rsid w:val="002249AB"/>
    <w:rsid w:val="002249D8"/>
    <w:rsid w:val="002249F0"/>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84E"/>
    <w:rsid w:val="00234F5C"/>
    <w:rsid w:val="002351EF"/>
    <w:rsid w:val="002355E7"/>
    <w:rsid w:val="0023573C"/>
    <w:rsid w:val="00235CEF"/>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A9E"/>
    <w:rsid w:val="002671D0"/>
    <w:rsid w:val="00267782"/>
    <w:rsid w:val="002678B4"/>
    <w:rsid w:val="00267997"/>
    <w:rsid w:val="00267B82"/>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1C7"/>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5070"/>
    <w:rsid w:val="00285589"/>
    <w:rsid w:val="00285726"/>
    <w:rsid w:val="00285783"/>
    <w:rsid w:val="00285A4D"/>
    <w:rsid w:val="00285CA4"/>
    <w:rsid w:val="00286732"/>
    <w:rsid w:val="00286BEF"/>
    <w:rsid w:val="00287180"/>
    <w:rsid w:val="002879BA"/>
    <w:rsid w:val="0029034C"/>
    <w:rsid w:val="00290739"/>
    <w:rsid w:val="00290C50"/>
    <w:rsid w:val="00290E68"/>
    <w:rsid w:val="00290F9C"/>
    <w:rsid w:val="002911B4"/>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1EBF"/>
    <w:rsid w:val="002C2006"/>
    <w:rsid w:val="002C20E3"/>
    <w:rsid w:val="002C2133"/>
    <w:rsid w:val="002C228A"/>
    <w:rsid w:val="002C234D"/>
    <w:rsid w:val="002C2784"/>
    <w:rsid w:val="002C27B4"/>
    <w:rsid w:val="002C2A2A"/>
    <w:rsid w:val="002C2B45"/>
    <w:rsid w:val="002C2EC2"/>
    <w:rsid w:val="002C325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A55"/>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472"/>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6C9"/>
    <w:rsid w:val="00326C10"/>
    <w:rsid w:val="00326D6E"/>
    <w:rsid w:val="00326D75"/>
    <w:rsid w:val="003273B4"/>
    <w:rsid w:val="003275FA"/>
    <w:rsid w:val="00327753"/>
    <w:rsid w:val="00327CB1"/>
    <w:rsid w:val="00327EA9"/>
    <w:rsid w:val="00330340"/>
    <w:rsid w:val="00330540"/>
    <w:rsid w:val="003305DF"/>
    <w:rsid w:val="00330983"/>
    <w:rsid w:val="00330C4D"/>
    <w:rsid w:val="0033136C"/>
    <w:rsid w:val="00331423"/>
    <w:rsid w:val="00331424"/>
    <w:rsid w:val="00331496"/>
    <w:rsid w:val="00331864"/>
    <w:rsid w:val="00331936"/>
    <w:rsid w:val="00331979"/>
    <w:rsid w:val="00331EC8"/>
    <w:rsid w:val="00332232"/>
    <w:rsid w:val="003322D1"/>
    <w:rsid w:val="0033286F"/>
    <w:rsid w:val="00332D52"/>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16D"/>
    <w:rsid w:val="0034366D"/>
    <w:rsid w:val="0034378A"/>
    <w:rsid w:val="00343C2A"/>
    <w:rsid w:val="00343C4E"/>
    <w:rsid w:val="00343E6D"/>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A5"/>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32B"/>
    <w:rsid w:val="00394ABE"/>
    <w:rsid w:val="0039511E"/>
    <w:rsid w:val="00395158"/>
    <w:rsid w:val="003955BF"/>
    <w:rsid w:val="00395887"/>
    <w:rsid w:val="00395897"/>
    <w:rsid w:val="00395DDE"/>
    <w:rsid w:val="00395E90"/>
    <w:rsid w:val="00395F90"/>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3BA"/>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8C5"/>
    <w:rsid w:val="003D2B28"/>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6F5"/>
    <w:rsid w:val="003D67D1"/>
    <w:rsid w:val="003D6852"/>
    <w:rsid w:val="003D6868"/>
    <w:rsid w:val="003D68E1"/>
    <w:rsid w:val="003D6974"/>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357"/>
    <w:rsid w:val="0044356E"/>
    <w:rsid w:val="004437E8"/>
    <w:rsid w:val="00443A0F"/>
    <w:rsid w:val="00443B35"/>
    <w:rsid w:val="00444156"/>
    <w:rsid w:val="0044442D"/>
    <w:rsid w:val="004444CD"/>
    <w:rsid w:val="0044488C"/>
    <w:rsid w:val="004448C3"/>
    <w:rsid w:val="0044493E"/>
    <w:rsid w:val="00444A1D"/>
    <w:rsid w:val="00444B04"/>
    <w:rsid w:val="00444C5E"/>
    <w:rsid w:val="00444D97"/>
    <w:rsid w:val="0044506C"/>
    <w:rsid w:val="00445C41"/>
    <w:rsid w:val="00446234"/>
    <w:rsid w:val="0044644F"/>
    <w:rsid w:val="00446561"/>
    <w:rsid w:val="0044669A"/>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CBD"/>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2F65"/>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45"/>
    <w:rsid w:val="00466F3F"/>
    <w:rsid w:val="00467486"/>
    <w:rsid w:val="00467E39"/>
    <w:rsid w:val="00467E95"/>
    <w:rsid w:val="00470338"/>
    <w:rsid w:val="004703A2"/>
    <w:rsid w:val="00470B80"/>
    <w:rsid w:val="00470B88"/>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197"/>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3FBF"/>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B9A"/>
    <w:rsid w:val="005000FE"/>
    <w:rsid w:val="0050015E"/>
    <w:rsid w:val="00500260"/>
    <w:rsid w:val="005002E8"/>
    <w:rsid w:val="00500391"/>
    <w:rsid w:val="005007AE"/>
    <w:rsid w:val="005008F6"/>
    <w:rsid w:val="00500CC3"/>
    <w:rsid w:val="00501119"/>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2BF"/>
    <w:rsid w:val="00507338"/>
    <w:rsid w:val="0050754E"/>
    <w:rsid w:val="005076E6"/>
    <w:rsid w:val="0050772A"/>
    <w:rsid w:val="0050785B"/>
    <w:rsid w:val="005102F0"/>
    <w:rsid w:val="00510612"/>
    <w:rsid w:val="00510811"/>
    <w:rsid w:val="00510BE2"/>
    <w:rsid w:val="00510C7F"/>
    <w:rsid w:val="005111DF"/>
    <w:rsid w:val="0051168F"/>
    <w:rsid w:val="005116B6"/>
    <w:rsid w:val="00511A11"/>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1E51"/>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436"/>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D3"/>
    <w:rsid w:val="0059122A"/>
    <w:rsid w:val="005913E4"/>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83"/>
    <w:rsid w:val="005B4880"/>
    <w:rsid w:val="005B4913"/>
    <w:rsid w:val="005B523F"/>
    <w:rsid w:val="005B5601"/>
    <w:rsid w:val="005B56E5"/>
    <w:rsid w:val="005B57B4"/>
    <w:rsid w:val="005B57FB"/>
    <w:rsid w:val="005B5DE5"/>
    <w:rsid w:val="005B620C"/>
    <w:rsid w:val="005B62D8"/>
    <w:rsid w:val="005B63FB"/>
    <w:rsid w:val="005B68F0"/>
    <w:rsid w:val="005B6C32"/>
    <w:rsid w:val="005B7045"/>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2A6"/>
    <w:rsid w:val="005D28EA"/>
    <w:rsid w:val="005D2C67"/>
    <w:rsid w:val="005D2F21"/>
    <w:rsid w:val="005D308F"/>
    <w:rsid w:val="005D323F"/>
    <w:rsid w:val="005D3240"/>
    <w:rsid w:val="005D35E4"/>
    <w:rsid w:val="005D3619"/>
    <w:rsid w:val="005D3AB8"/>
    <w:rsid w:val="005D3F85"/>
    <w:rsid w:val="005D3FC2"/>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480"/>
    <w:rsid w:val="005E1815"/>
    <w:rsid w:val="005E1BC9"/>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012"/>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245"/>
    <w:rsid w:val="006443AF"/>
    <w:rsid w:val="0064447C"/>
    <w:rsid w:val="00644721"/>
    <w:rsid w:val="00644D10"/>
    <w:rsid w:val="00644F02"/>
    <w:rsid w:val="006451E1"/>
    <w:rsid w:val="0064551A"/>
    <w:rsid w:val="00645547"/>
    <w:rsid w:val="006456E1"/>
    <w:rsid w:val="006458DE"/>
    <w:rsid w:val="00645F60"/>
    <w:rsid w:val="00645FFB"/>
    <w:rsid w:val="006463BC"/>
    <w:rsid w:val="006467C4"/>
    <w:rsid w:val="006467D4"/>
    <w:rsid w:val="0064681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53"/>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1F86"/>
    <w:rsid w:val="00672342"/>
    <w:rsid w:val="00672C18"/>
    <w:rsid w:val="00673003"/>
    <w:rsid w:val="00673133"/>
    <w:rsid w:val="00673723"/>
    <w:rsid w:val="00673907"/>
    <w:rsid w:val="00673CCC"/>
    <w:rsid w:val="00673FF3"/>
    <w:rsid w:val="00674365"/>
    <w:rsid w:val="006749FE"/>
    <w:rsid w:val="00674D91"/>
    <w:rsid w:val="006751C4"/>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D006E"/>
    <w:rsid w:val="006D0161"/>
    <w:rsid w:val="006D055E"/>
    <w:rsid w:val="006D0816"/>
    <w:rsid w:val="006D0B00"/>
    <w:rsid w:val="006D0B41"/>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AB0"/>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F6E"/>
    <w:rsid w:val="006F0FA2"/>
    <w:rsid w:val="006F0FC4"/>
    <w:rsid w:val="006F105D"/>
    <w:rsid w:val="006F125C"/>
    <w:rsid w:val="006F1517"/>
    <w:rsid w:val="006F158D"/>
    <w:rsid w:val="006F1765"/>
    <w:rsid w:val="006F1927"/>
    <w:rsid w:val="006F1D47"/>
    <w:rsid w:val="006F1DB1"/>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935"/>
    <w:rsid w:val="00735CE0"/>
    <w:rsid w:val="007361E3"/>
    <w:rsid w:val="00737163"/>
    <w:rsid w:val="00737244"/>
    <w:rsid w:val="00737252"/>
    <w:rsid w:val="00737576"/>
    <w:rsid w:val="0073769A"/>
    <w:rsid w:val="007377FB"/>
    <w:rsid w:val="00737AB4"/>
    <w:rsid w:val="00737B21"/>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CC7"/>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09EF"/>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2"/>
    <w:rsid w:val="007A6DDA"/>
    <w:rsid w:val="007A6F80"/>
    <w:rsid w:val="007A6FB1"/>
    <w:rsid w:val="007A7694"/>
    <w:rsid w:val="007A7703"/>
    <w:rsid w:val="007B001C"/>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370"/>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D88"/>
    <w:rsid w:val="007D5DC8"/>
    <w:rsid w:val="007D5E54"/>
    <w:rsid w:val="007D64CA"/>
    <w:rsid w:val="007D68AC"/>
    <w:rsid w:val="007D6B2D"/>
    <w:rsid w:val="007D7448"/>
    <w:rsid w:val="007D7560"/>
    <w:rsid w:val="007D78F1"/>
    <w:rsid w:val="007D7AEF"/>
    <w:rsid w:val="007E00CA"/>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E7EAC"/>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6387"/>
    <w:rsid w:val="007F6848"/>
    <w:rsid w:val="007F6C07"/>
    <w:rsid w:val="007F70F5"/>
    <w:rsid w:val="007F71FE"/>
    <w:rsid w:val="007F7423"/>
    <w:rsid w:val="007F755C"/>
    <w:rsid w:val="007F7B2A"/>
    <w:rsid w:val="007F7C87"/>
    <w:rsid w:val="007F7DC2"/>
    <w:rsid w:val="007F7FAA"/>
    <w:rsid w:val="008003D0"/>
    <w:rsid w:val="00800489"/>
    <w:rsid w:val="008005BE"/>
    <w:rsid w:val="0080087D"/>
    <w:rsid w:val="00800A93"/>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59"/>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DEF"/>
    <w:rsid w:val="00810E60"/>
    <w:rsid w:val="00810E6A"/>
    <w:rsid w:val="00811171"/>
    <w:rsid w:val="00811337"/>
    <w:rsid w:val="008119E0"/>
    <w:rsid w:val="00811D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BDD"/>
    <w:rsid w:val="00814EA8"/>
    <w:rsid w:val="00814FEF"/>
    <w:rsid w:val="00815263"/>
    <w:rsid w:val="00815C82"/>
    <w:rsid w:val="00816106"/>
    <w:rsid w:val="008161EE"/>
    <w:rsid w:val="0081624C"/>
    <w:rsid w:val="008163C7"/>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3EA"/>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6038"/>
    <w:rsid w:val="0083656F"/>
    <w:rsid w:val="008365EB"/>
    <w:rsid w:val="00836A90"/>
    <w:rsid w:val="00836AA8"/>
    <w:rsid w:val="00836C06"/>
    <w:rsid w:val="00837119"/>
    <w:rsid w:val="0083723F"/>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309D"/>
    <w:rsid w:val="008530A5"/>
    <w:rsid w:val="0085374F"/>
    <w:rsid w:val="00853781"/>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F85"/>
    <w:rsid w:val="00880126"/>
    <w:rsid w:val="00880330"/>
    <w:rsid w:val="0088069C"/>
    <w:rsid w:val="00880B61"/>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A65"/>
    <w:rsid w:val="008A7EBB"/>
    <w:rsid w:val="008B0094"/>
    <w:rsid w:val="008B09FC"/>
    <w:rsid w:val="008B0DF9"/>
    <w:rsid w:val="008B0F97"/>
    <w:rsid w:val="008B0FEE"/>
    <w:rsid w:val="008B1349"/>
    <w:rsid w:val="008B163E"/>
    <w:rsid w:val="008B17CA"/>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E93"/>
    <w:rsid w:val="008B5FE6"/>
    <w:rsid w:val="008B631B"/>
    <w:rsid w:val="008B633E"/>
    <w:rsid w:val="008B65C1"/>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3D0"/>
    <w:rsid w:val="008C1905"/>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6F9D"/>
    <w:rsid w:val="008D71F4"/>
    <w:rsid w:val="008D730B"/>
    <w:rsid w:val="008D772E"/>
    <w:rsid w:val="008D77C8"/>
    <w:rsid w:val="008D784D"/>
    <w:rsid w:val="008D78F7"/>
    <w:rsid w:val="008D7931"/>
    <w:rsid w:val="008D7D4E"/>
    <w:rsid w:val="008D7FA9"/>
    <w:rsid w:val="008E00E5"/>
    <w:rsid w:val="008E07D8"/>
    <w:rsid w:val="008E0807"/>
    <w:rsid w:val="008E1154"/>
    <w:rsid w:val="008E1E7C"/>
    <w:rsid w:val="008E2304"/>
    <w:rsid w:val="008E2558"/>
    <w:rsid w:val="008E27CC"/>
    <w:rsid w:val="008E2897"/>
    <w:rsid w:val="008E2A05"/>
    <w:rsid w:val="008E2AC5"/>
    <w:rsid w:val="008E2C46"/>
    <w:rsid w:val="008E2C6C"/>
    <w:rsid w:val="008E3056"/>
    <w:rsid w:val="008E39C1"/>
    <w:rsid w:val="008E3CEF"/>
    <w:rsid w:val="008E3E00"/>
    <w:rsid w:val="008E3E7A"/>
    <w:rsid w:val="008E3F4D"/>
    <w:rsid w:val="008E4475"/>
    <w:rsid w:val="008E502D"/>
    <w:rsid w:val="008E507E"/>
    <w:rsid w:val="008E5200"/>
    <w:rsid w:val="008E5313"/>
    <w:rsid w:val="008E536B"/>
    <w:rsid w:val="008E54A4"/>
    <w:rsid w:val="008E5834"/>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88"/>
    <w:rsid w:val="00900899"/>
    <w:rsid w:val="00900932"/>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5D"/>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D2A"/>
    <w:rsid w:val="00972F00"/>
    <w:rsid w:val="00973318"/>
    <w:rsid w:val="009738BC"/>
    <w:rsid w:val="00973C93"/>
    <w:rsid w:val="00973CD2"/>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CFE"/>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073EF"/>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AD1"/>
    <w:rsid w:val="00A32AF2"/>
    <w:rsid w:val="00A32D33"/>
    <w:rsid w:val="00A32E07"/>
    <w:rsid w:val="00A32E37"/>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620"/>
    <w:rsid w:val="00A52686"/>
    <w:rsid w:val="00A5269B"/>
    <w:rsid w:val="00A52EF2"/>
    <w:rsid w:val="00A534D3"/>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935"/>
    <w:rsid w:val="00A60C9A"/>
    <w:rsid w:val="00A60EFC"/>
    <w:rsid w:val="00A613F8"/>
    <w:rsid w:val="00A61513"/>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B1"/>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5335"/>
    <w:rsid w:val="00A854DD"/>
    <w:rsid w:val="00A85595"/>
    <w:rsid w:val="00A85E6E"/>
    <w:rsid w:val="00A85FE1"/>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633"/>
    <w:rsid w:val="00AA390B"/>
    <w:rsid w:val="00AA3AC6"/>
    <w:rsid w:val="00AA3FF1"/>
    <w:rsid w:val="00AA4083"/>
    <w:rsid w:val="00AA4512"/>
    <w:rsid w:val="00AA451C"/>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400"/>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DC6"/>
    <w:rsid w:val="00AB6F7D"/>
    <w:rsid w:val="00AB732B"/>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8F4"/>
    <w:rsid w:val="00AD6A46"/>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4F2"/>
    <w:rsid w:val="00B21934"/>
    <w:rsid w:val="00B21C59"/>
    <w:rsid w:val="00B21C7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926"/>
    <w:rsid w:val="00B359C3"/>
    <w:rsid w:val="00B35BB6"/>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2F11"/>
    <w:rsid w:val="00B5302B"/>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5D0"/>
    <w:rsid w:val="00B65736"/>
    <w:rsid w:val="00B658B6"/>
    <w:rsid w:val="00B6594E"/>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4B"/>
    <w:rsid w:val="00B73DF3"/>
    <w:rsid w:val="00B74105"/>
    <w:rsid w:val="00B741FC"/>
    <w:rsid w:val="00B7443A"/>
    <w:rsid w:val="00B74446"/>
    <w:rsid w:val="00B745BE"/>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5A0"/>
    <w:rsid w:val="00B81A12"/>
    <w:rsid w:val="00B81B6E"/>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53D4"/>
    <w:rsid w:val="00B95479"/>
    <w:rsid w:val="00B95698"/>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9D2"/>
    <w:rsid w:val="00BD0E87"/>
    <w:rsid w:val="00BD0F6F"/>
    <w:rsid w:val="00BD0FC1"/>
    <w:rsid w:val="00BD110F"/>
    <w:rsid w:val="00BD116D"/>
    <w:rsid w:val="00BD1556"/>
    <w:rsid w:val="00BD18DA"/>
    <w:rsid w:val="00BD1BDD"/>
    <w:rsid w:val="00BD1D66"/>
    <w:rsid w:val="00BD1F4D"/>
    <w:rsid w:val="00BD1F79"/>
    <w:rsid w:val="00BD20DB"/>
    <w:rsid w:val="00BD2147"/>
    <w:rsid w:val="00BD22AA"/>
    <w:rsid w:val="00BD26A3"/>
    <w:rsid w:val="00BD299E"/>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AC5"/>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06C"/>
    <w:rsid w:val="00C23103"/>
    <w:rsid w:val="00C23515"/>
    <w:rsid w:val="00C23579"/>
    <w:rsid w:val="00C238A3"/>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B17"/>
    <w:rsid w:val="00C42CE8"/>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6C94"/>
    <w:rsid w:val="00C4708B"/>
    <w:rsid w:val="00C47524"/>
    <w:rsid w:val="00C4799B"/>
    <w:rsid w:val="00C479B5"/>
    <w:rsid w:val="00C479DF"/>
    <w:rsid w:val="00C47D9D"/>
    <w:rsid w:val="00C50408"/>
    <w:rsid w:val="00C508BE"/>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3"/>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4F5"/>
    <w:rsid w:val="00C6467A"/>
    <w:rsid w:val="00C648BE"/>
    <w:rsid w:val="00C64961"/>
    <w:rsid w:val="00C649A2"/>
    <w:rsid w:val="00C64A30"/>
    <w:rsid w:val="00C64D4E"/>
    <w:rsid w:val="00C651CB"/>
    <w:rsid w:val="00C65385"/>
    <w:rsid w:val="00C65507"/>
    <w:rsid w:val="00C6588A"/>
    <w:rsid w:val="00C65C3A"/>
    <w:rsid w:val="00C6604C"/>
    <w:rsid w:val="00C660BC"/>
    <w:rsid w:val="00C667D1"/>
    <w:rsid w:val="00C66C3E"/>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480"/>
    <w:rsid w:val="00C978E8"/>
    <w:rsid w:val="00C97CDA"/>
    <w:rsid w:val="00C97F02"/>
    <w:rsid w:val="00CA03BB"/>
    <w:rsid w:val="00CA0413"/>
    <w:rsid w:val="00CA0631"/>
    <w:rsid w:val="00CA0844"/>
    <w:rsid w:val="00CA0BFC"/>
    <w:rsid w:val="00CA0DA8"/>
    <w:rsid w:val="00CA1B17"/>
    <w:rsid w:val="00CA1BAC"/>
    <w:rsid w:val="00CA1E86"/>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ACF"/>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879"/>
    <w:rsid w:val="00CC5924"/>
    <w:rsid w:val="00CC5D55"/>
    <w:rsid w:val="00CC5FB1"/>
    <w:rsid w:val="00CC5FBD"/>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95A"/>
    <w:rsid w:val="00CD1B88"/>
    <w:rsid w:val="00CD1D7F"/>
    <w:rsid w:val="00CD1E1A"/>
    <w:rsid w:val="00CD1F5C"/>
    <w:rsid w:val="00CD25A7"/>
    <w:rsid w:val="00CD2A23"/>
    <w:rsid w:val="00CD2AF7"/>
    <w:rsid w:val="00CD305E"/>
    <w:rsid w:val="00CD3369"/>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592"/>
    <w:rsid w:val="00D1064E"/>
    <w:rsid w:val="00D106F8"/>
    <w:rsid w:val="00D10D90"/>
    <w:rsid w:val="00D10D99"/>
    <w:rsid w:val="00D110C5"/>
    <w:rsid w:val="00D11A3D"/>
    <w:rsid w:val="00D11A43"/>
    <w:rsid w:val="00D11C35"/>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951"/>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2FC7"/>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8FB"/>
    <w:rsid w:val="00D97ECE"/>
    <w:rsid w:val="00DA04C2"/>
    <w:rsid w:val="00DA0C2D"/>
    <w:rsid w:val="00DA0C42"/>
    <w:rsid w:val="00DA107D"/>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46D"/>
    <w:rsid w:val="00DF3A5C"/>
    <w:rsid w:val="00DF3D95"/>
    <w:rsid w:val="00DF3F81"/>
    <w:rsid w:val="00DF471D"/>
    <w:rsid w:val="00DF4912"/>
    <w:rsid w:val="00DF4973"/>
    <w:rsid w:val="00DF50E6"/>
    <w:rsid w:val="00DF5567"/>
    <w:rsid w:val="00DF564E"/>
    <w:rsid w:val="00DF56E4"/>
    <w:rsid w:val="00DF5803"/>
    <w:rsid w:val="00DF5B74"/>
    <w:rsid w:val="00DF6141"/>
    <w:rsid w:val="00DF63EB"/>
    <w:rsid w:val="00DF6427"/>
    <w:rsid w:val="00DF6752"/>
    <w:rsid w:val="00DF6767"/>
    <w:rsid w:val="00DF6CC2"/>
    <w:rsid w:val="00DF6EEE"/>
    <w:rsid w:val="00DF718D"/>
    <w:rsid w:val="00DF73E6"/>
    <w:rsid w:val="00DF7F59"/>
    <w:rsid w:val="00E00176"/>
    <w:rsid w:val="00E00213"/>
    <w:rsid w:val="00E00319"/>
    <w:rsid w:val="00E00370"/>
    <w:rsid w:val="00E0057E"/>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337"/>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E4"/>
    <w:rsid w:val="00EA2D4D"/>
    <w:rsid w:val="00EA2F6D"/>
    <w:rsid w:val="00EA3134"/>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140"/>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F2"/>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9E0"/>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5DB8"/>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B97"/>
    <w:rsid w:val="00F11DF4"/>
    <w:rsid w:val="00F11F11"/>
    <w:rsid w:val="00F11F82"/>
    <w:rsid w:val="00F1253E"/>
    <w:rsid w:val="00F12561"/>
    <w:rsid w:val="00F12A5C"/>
    <w:rsid w:val="00F12B99"/>
    <w:rsid w:val="00F130D5"/>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3F2"/>
    <w:rsid w:val="00FA150C"/>
    <w:rsid w:val="00FA187E"/>
    <w:rsid w:val="00FA190A"/>
    <w:rsid w:val="00FA19C7"/>
    <w:rsid w:val="00FA1A9B"/>
    <w:rsid w:val="00FA1D82"/>
    <w:rsid w:val="00FA2258"/>
    <w:rsid w:val="00FA2557"/>
    <w:rsid w:val="00FA27C2"/>
    <w:rsid w:val="00FA295A"/>
    <w:rsid w:val="00FA2A2D"/>
    <w:rsid w:val="00FA2DC7"/>
    <w:rsid w:val="00FA3296"/>
    <w:rsid w:val="00FA337D"/>
    <w:rsid w:val="00FA3AC3"/>
    <w:rsid w:val="00FA3DDA"/>
    <w:rsid w:val="00FA42AF"/>
    <w:rsid w:val="00FA4951"/>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C9B"/>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10E"/>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5F8B"/>
    <w:rsid w:val="00FD62FF"/>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57"/>
    <w:rsid w:val="00FE2134"/>
    <w:rsid w:val="00FE2362"/>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4EF"/>
    <w:rsid w:val="00FF65D1"/>
    <w:rsid w:val="00FF6627"/>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efrag.org/files/EFRAG%20public%20letters/Clarifications%20to%20IFRS%2015/Clarifications_to_IFRS_15_-_Draft_Comment_Letter.pdf" TargetMode="External"/><Relationship Id="rId4" Type="http://schemas.microsoft.com/office/2007/relationships/stylesWithEffects" Target="stylesWithEffects.xml"/><Relationship Id="rId9" Type="http://schemas.openxmlformats.org/officeDocument/2006/relationships/hyperlink" Target="http://www.javeriana.edu.co/personales/hbermude/contrapartida/inde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A78FF98D-2383-4E84-9E50-28F780E73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2748</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2015-09-06T20:47:00Z</dcterms:created>
  <dcterms:modified xsi:type="dcterms:W3CDTF">2015-09-06T20:47:00Z</dcterms:modified>
</cp:coreProperties>
</file>