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48" w:rsidRPr="00BC7F48" w:rsidRDefault="00BC7F48" w:rsidP="00BC7F48">
      <w:pPr>
        <w:pStyle w:val="NoSpacing"/>
        <w:keepNext/>
        <w:framePr w:dropCap="drop" w:lines="3" w:wrap="around" w:vAnchor="text" w:hAnchor="text"/>
        <w:spacing w:line="805" w:lineRule="exact"/>
        <w:textAlignment w:val="baseline"/>
        <w:rPr>
          <w:position w:val="-10"/>
          <w:sz w:val="110"/>
        </w:rPr>
      </w:pPr>
      <w:bookmarkStart w:id="0" w:name="_GoBack"/>
      <w:bookmarkEnd w:id="0"/>
      <w:r w:rsidRPr="00BC7F48">
        <w:rPr>
          <w:position w:val="-10"/>
          <w:sz w:val="110"/>
        </w:rPr>
        <w:t>E</w:t>
      </w:r>
    </w:p>
    <w:p w:rsidR="00A27948" w:rsidRDefault="00BC7F48" w:rsidP="00BC7F48">
      <w:pPr>
        <w:pStyle w:val="NoSpacing"/>
      </w:pPr>
      <w:r>
        <w:t>l martes 18 de a</w:t>
      </w:r>
      <w:r w:rsidRPr="00BC7F48">
        <w:t>gosto del presente año, el dólar rompió la “barrera psicológica” de los 3.000 pesos por primera vez en su historia, lo que ha llevado al peso a convertirse en la segunda moneda más devaluada del mundo en los últimos 12 meses (superada únicamente por el rublo ruso). Lo anterior tiene a exportadores y colombianos con inversiones en el exterior festejando, mientras que los importadores y quienes tienen obligaciones en dólares, se han visto fuertemente afectados. Pero, ¿</w:t>
      </w:r>
      <w:r w:rsidR="00B42320">
        <w:t>Qué</w:t>
      </w:r>
      <w:r w:rsidRPr="00BC7F48">
        <w:t xml:space="preserve"> ha llevado a la </w:t>
      </w:r>
      <w:r w:rsidR="00B42320">
        <w:t>fuerte depreciación del peso? ¿S</w:t>
      </w:r>
      <w:r w:rsidRPr="00BC7F48">
        <w:t>erán estas buenas o malas noticias para el país? Y, ¿</w:t>
      </w:r>
      <w:r w:rsidR="00B42320">
        <w:t>Q</w:t>
      </w:r>
      <w:r w:rsidRPr="00BC7F48">
        <w:t xml:space="preserve">ué pasará con el dólar en el futuro inmediato? </w:t>
      </w:r>
    </w:p>
    <w:p w:rsidR="00A27948" w:rsidRDefault="00A27948" w:rsidP="00BC7F48">
      <w:pPr>
        <w:pStyle w:val="NoSpacing"/>
      </w:pPr>
    </w:p>
    <w:p w:rsidR="00BC7F48" w:rsidRPr="00BC7F48" w:rsidRDefault="00BC7F48" w:rsidP="00BC7F48">
      <w:pPr>
        <w:pStyle w:val="NoSpacing"/>
      </w:pPr>
      <w:r w:rsidRPr="00BC7F48">
        <w:t xml:space="preserve">El primer factor causante de la devaluación del peso ha sido el precio del petróleo (WTI). En los últimos 12 meses el peso se ha devaluado un 61%, mientras que el precio del petróleo ha caído un 59%. La correlación inversa entre el precio del WTI y la TRM, se puede observar en la siguiente gráfica: </w:t>
      </w:r>
    </w:p>
    <w:p w:rsidR="00BC7F48" w:rsidRPr="00BC7F48" w:rsidRDefault="00BC7F48" w:rsidP="00BC7F48">
      <w:pPr>
        <w:pStyle w:val="NoSpacing"/>
      </w:pPr>
      <w:r w:rsidRPr="00BC7F48">
        <w:rPr>
          <w:noProof/>
          <w:lang w:eastAsia="es-CO"/>
        </w:rPr>
        <w:drawing>
          <wp:inline distT="0" distB="0" distL="0" distR="0" wp14:anchorId="3315452F" wp14:editId="520BDB2A">
            <wp:extent cx="2507891" cy="15906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61" cy="15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F48" w:rsidRDefault="00BC7F48" w:rsidP="00BC7F48">
      <w:pPr>
        <w:pStyle w:val="NoSpacing"/>
        <w:rPr>
          <w:sz w:val="16"/>
          <w:szCs w:val="16"/>
        </w:rPr>
      </w:pPr>
      <w:r w:rsidRPr="00BC7F48">
        <w:rPr>
          <w:sz w:val="16"/>
          <w:szCs w:val="16"/>
        </w:rPr>
        <w:t xml:space="preserve">Fuente: Precios tomados de </w:t>
      </w:r>
      <w:hyperlink r:id="rId10" w:history="1">
        <w:proofErr w:type="spellStart"/>
        <w:r w:rsidRPr="00BC7F48">
          <w:rPr>
            <w:rStyle w:val="Hyperlink"/>
            <w:sz w:val="16"/>
            <w:szCs w:val="16"/>
          </w:rPr>
          <w:t>Banrep</w:t>
        </w:r>
        <w:proofErr w:type="spellEnd"/>
      </w:hyperlink>
      <w:r w:rsidRPr="00BC7F48">
        <w:rPr>
          <w:sz w:val="16"/>
          <w:szCs w:val="16"/>
        </w:rPr>
        <w:t xml:space="preserve"> y </w:t>
      </w:r>
      <w:hyperlink r:id="rId11" w:history="1">
        <w:r w:rsidRPr="00BC7F48">
          <w:rPr>
            <w:rStyle w:val="Hyperlink"/>
            <w:sz w:val="16"/>
            <w:szCs w:val="16"/>
          </w:rPr>
          <w:t>EIA</w:t>
        </w:r>
      </w:hyperlink>
      <w:r w:rsidRPr="00BC7F48">
        <w:rPr>
          <w:sz w:val="16"/>
          <w:szCs w:val="16"/>
        </w:rPr>
        <w:t xml:space="preserve"> </w:t>
      </w:r>
    </w:p>
    <w:p w:rsidR="00B42320" w:rsidRPr="00B42320" w:rsidRDefault="00B42320" w:rsidP="00BC7F48">
      <w:pPr>
        <w:pStyle w:val="NoSpacing"/>
      </w:pPr>
    </w:p>
    <w:p w:rsidR="00B42320" w:rsidRDefault="00BC7F48" w:rsidP="00BC7F48">
      <w:pPr>
        <w:pStyle w:val="NoSpacing"/>
      </w:pPr>
      <w:r w:rsidRPr="00BC7F48">
        <w:t xml:space="preserve">Entre las curvas de las dos series existe una correlación de -0.87, lo </w:t>
      </w:r>
      <w:r w:rsidR="00B42320" w:rsidRPr="00BC7F48">
        <w:t>cual</w:t>
      </w:r>
      <w:r w:rsidRPr="00BC7F48">
        <w:t xml:space="preserve"> significa que existe una muy alta relación inversa entre ambas funciones. A medida que el precio del petróleo </w:t>
      </w:r>
      <w:r w:rsidR="00B42320" w:rsidRPr="00BC7F48">
        <w:t>cae</w:t>
      </w:r>
      <w:r w:rsidRPr="00BC7F48">
        <w:t xml:space="preserve">, la tasa de cambio sube </w:t>
      </w:r>
      <w:r w:rsidR="00B42320" w:rsidRPr="00BC7F48">
        <w:t>casi</w:t>
      </w:r>
      <w:r w:rsidRPr="00BC7F48">
        <w:t xml:space="preserve"> que en igual proporción. Esto es un reflejo de la alta </w:t>
      </w:r>
      <w:r w:rsidR="00B42320">
        <w:t>dependencia de la economía c</w:t>
      </w:r>
      <w:r w:rsidRPr="00BC7F48">
        <w:t xml:space="preserve">olombiana en la exportación de petróleo, que a 2013 representaba el </w:t>
      </w:r>
      <w:r w:rsidR="00B42320">
        <w:t>55% de todas las exportaciones c</w:t>
      </w:r>
      <w:r w:rsidRPr="00BC7F48">
        <w:t xml:space="preserve">olombianas. </w:t>
      </w:r>
    </w:p>
    <w:p w:rsidR="00BC7F48" w:rsidRDefault="00BC7F48" w:rsidP="00BC7F48">
      <w:pPr>
        <w:pStyle w:val="NoSpacing"/>
      </w:pPr>
      <w:r w:rsidRPr="00BC7F48">
        <w:lastRenderedPageBreak/>
        <w:t xml:space="preserve">El segundo factor consiste en la desconfianza inversionista y el </w:t>
      </w:r>
      <w:proofErr w:type="spellStart"/>
      <w:r w:rsidRPr="00BC7F48">
        <w:t>d</w:t>
      </w:r>
      <w:r w:rsidR="00B42320">
        <w:t>esaceleramiento</w:t>
      </w:r>
      <w:proofErr w:type="spellEnd"/>
      <w:r w:rsidR="00B42320">
        <w:t xml:space="preserve"> de la economía c</w:t>
      </w:r>
      <w:r w:rsidRPr="00BC7F48">
        <w:t xml:space="preserve">olombiana e internacional. Desde el año 2013, las exportaciones </w:t>
      </w:r>
      <w:r w:rsidR="00B42320">
        <w:t>c</w:t>
      </w:r>
      <w:r w:rsidRPr="00BC7F48">
        <w:t xml:space="preserve">olombianas han caído un 7% en 2014 y un 31% en lo corrido del 2015. Si bien </w:t>
      </w:r>
      <w:r w:rsidR="00B42320">
        <w:t>el</w:t>
      </w:r>
      <w:r w:rsidRPr="00BC7F48">
        <w:t xml:space="preserve"> principal causante para esta caída ha sido el precio del petróleo, </w:t>
      </w:r>
      <w:r w:rsidR="00B42320">
        <w:t>el</w:t>
      </w:r>
      <w:r w:rsidRPr="00BC7F48">
        <w:t xml:space="preserve"> alza en la tasa de cambio en principio debería impulsar otras exportaciones, sin embargo las exportaciones de bienes y servicios diferentes al petróleo también han caído (11% en lo corrido del 2015) e incluyen al sector agropecuario, minero e industrial. Pero las exportaciones no son lo único que ha caído, la inversión extranjera directa también cayó un 24% en el último trimestre.</w:t>
      </w:r>
    </w:p>
    <w:p w:rsidR="00B42320" w:rsidRPr="00BC7F48" w:rsidRDefault="00B42320" w:rsidP="00BC7F48">
      <w:pPr>
        <w:pStyle w:val="NoSpacing"/>
      </w:pPr>
    </w:p>
    <w:p w:rsidR="00BC7F48" w:rsidRPr="00BC7F48" w:rsidRDefault="00BC7F48" w:rsidP="00BC7F48">
      <w:pPr>
        <w:pStyle w:val="NoSpacing"/>
      </w:pPr>
      <w:r w:rsidRPr="00BC7F48">
        <w:rPr>
          <w:noProof/>
          <w:lang w:eastAsia="es-CO"/>
        </w:rPr>
        <w:drawing>
          <wp:inline distT="0" distB="0" distL="0" distR="0" wp14:anchorId="2BE3B1DA" wp14:editId="592AB8A2">
            <wp:extent cx="2466975" cy="14382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84" cy="144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320" w:rsidRDefault="00B42320" w:rsidP="00BC7F48">
      <w:pPr>
        <w:pStyle w:val="NoSpacing"/>
      </w:pPr>
    </w:p>
    <w:p w:rsidR="00BC7F48" w:rsidRDefault="00BC7F48" w:rsidP="00BC7F48">
      <w:pPr>
        <w:pStyle w:val="NoSpacing"/>
      </w:pPr>
      <w:r w:rsidRPr="00BC7F48">
        <w:t>En el corto plazo la tasa de cambio podría bajar, especialmente si suben los precios del petróleo y se estabiliza la economía de China. Sin embargo, adicional a lo poco probable de que se materialicen estas situaciones, se encuentra un pr</w:t>
      </w:r>
      <w:r w:rsidR="00B42320">
        <w:t>oblema de fondo en la economía c</w:t>
      </w:r>
      <w:r w:rsidRPr="00BC7F48">
        <w:t>olombiana que desde hace varios años se ha vuelto petróleo dependiente, perdiendo a su vez ventajas competitivas en otros sectores. Para subsanar esto, el país debe realizar una reforma estratégica orientada a impulsar ventajas competitivas. Mientras tanto, debemos ir acostumbrándonos a una tasa</w:t>
      </w:r>
      <w:r>
        <w:t xml:space="preserve"> de cambio por encima de 3.000.</w:t>
      </w:r>
    </w:p>
    <w:p w:rsidR="00B42320" w:rsidRPr="00BC7F48" w:rsidRDefault="00B42320" w:rsidP="00BC7F48">
      <w:pPr>
        <w:pStyle w:val="NoSpacing"/>
      </w:pPr>
    </w:p>
    <w:p w:rsidR="00B65C7E" w:rsidRPr="00811E49" w:rsidRDefault="00BC7F48" w:rsidP="00B42320">
      <w:pPr>
        <w:pStyle w:val="NoSpacing"/>
        <w:jc w:val="right"/>
      </w:pPr>
      <w:r w:rsidRPr="00BC7F48">
        <w:rPr>
          <w:i/>
          <w:iCs/>
        </w:rPr>
        <w:t>Jaime Vargas Vives</w:t>
      </w:r>
    </w:p>
    <w:sectPr w:rsidR="00B65C7E" w:rsidRPr="00811E49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89" w:rsidRDefault="005B1B89" w:rsidP="00EE7812">
      <w:pPr>
        <w:spacing w:after="0" w:line="240" w:lineRule="auto"/>
      </w:pPr>
      <w:r>
        <w:separator/>
      </w:r>
    </w:p>
  </w:endnote>
  <w:endnote w:type="continuationSeparator" w:id="0">
    <w:p w:rsidR="005B1B89" w:rsidRDefault="005B1B8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89" w:rsidRDefault="005B1B89" w:rsidP="00EE7812">
      <w:pPr>
        <w:spacing w:after="0" w:line="240" w:lineRule="auto"/>
      </w:pPr>
      <w:r>
        <w:separator/>
      </w:r>
    </w:p>
  </w:footnote>
  <w:footnote w:type="continuationSeparator" w:id="0">
    <w:p w:rsidR="005B1B89" w:rsidRDefault="005B1B8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5FBD" w:rsidRDefault="00811E4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1524</w:t>
    </w:r>
    <w:r w:rsidR="00CC5FBD">
      <w:t>, septiembre 7 de 2015</w:t>
    </w:r>
  </w:p>
  <w:p w:rsidR="00CC5FBD" w:rsidRDefault="005B1B8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4D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8C7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7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4D7"/>
    <w:rsid w:val="00162B4F"/>
    <w:rsid w:val="00162EEC"/>
    <w:rsid w:val="00163104"/>
    <w:rsid w:val="0016325B"/>
    <w:rsid w:val="00163346"/>
    <w:rsid w:val="00163348"/>
    <w:rsid w:val="00163397"/>
    <w:rsid w:val="001635A4"/>
    <w:rsid w:val="001638A1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6A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59F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627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D05"/>
    <w:rsid w:val="00223F84"/>
    <w:rsid w:val="002245C2"/>
    <w:rsid w:val="002249AB"/>
    <w:rsid w:val="002249D8"/>
    <w:rsid w:val="002249F0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1C7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BB1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A55"/>
    <w:rsid w:val="002C5EE6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FB4"/>
    <w:rsid w:val="00326169"/>
    <w:rsid w:val="003262E3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00D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D0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8C5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A73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124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93E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2F65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047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366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B9A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436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2F9C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B89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83"/>
    <w:rsid w:val="005B4880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480"/>
    <w:rsid w:val="005E1702"/>
    <w:rsid w:val="005E1815"/>
    <w:rsid w:val="005E1BC9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19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1F86"/>
    <w:rsid w:val="00672342"/>
    <w:rsid w:val="00672C18"/>
    <w:rsid w:val="00673003"/>
    <w:rsid w:val="00673133"/>
    <w:rsid w:val="00673723"/>
    <w:rsid w:val="00673907"/>
    <w:rsid w:val="00673CCC"/>
    <w:rsid w:val="00673FF3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31A"/>
    <w:rsid w:val="00693498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D006E"/>
    <w:rsid w:val="006D0161"/>
    <w:rsid w:val="006D055E"/>
    <w:rsid w:val="006D0816"/>
    <w:rsid w:val="006D0B00"/>
    <w:rsid w:val="006D0B41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CC7"/>
    <w:rsid w:val="00741D3E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248"/>
    <w:rsid w:val="007A7694"/>
    <w:rsid w:val="007A7703"/>
    <w:rsid w:val="007B001C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E00CA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1FE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1E49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3EA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35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0E4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F85"/>
    <w:rsid w:val="00880126"/>
    <w:rsid w:val="00880330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CF7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E93"/>
    <w:rsid w:val="008B5FE6"/>
    <w:rsid w:val="008B631B"/>
    <w:rsid w:val="008B633E"/>
    <w:rsid w:val="008B65C1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3D0"/>
    <w:rsid w:val="008C1905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6F9D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7CC"/>
    <w:rsid w:val="008E2897"/>
    <w:rsid w:val="008E2A05"/>
    <w:rsid w:val="008E2AC5"/>
    <w:rsid w:val="008E2C46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062"/>
    <w:rsid w:val="00A534D3"/>
    <w:rsid w:val="00A536B7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B1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633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400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DC6"/>
    <w:rsid w:val="00AB6F7D"/>
    <w:rsid w:val="00AB732B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BB6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C80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AE9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5A0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6B4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1CB"/>
    <w:rsid w:val="00C65385"/>
    <w:rsid w:val="00C65507"/>
    <w:rsid w:val="00C6588A"/>
    <w:rsid w:val="00C65C3A"/>
    <w:rsid w:val="00C6604C"/>
    <w:rsid w:val="00C660BC"/>
    <w:rsid w:val="00C667D1"/>
    <w:rsid w:val="00C66C3E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480"/>
    <w:rsid w:val="00C978E8"/>
    <w:rsid w:val="00C97CDA"/>
    <w:rsid w:val="00C97F02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ACF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FB1"/>
    <w:rsid w:val="00CC5FBD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369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62E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592"/>
    <w:rsid w:val="00D1064E"/>
    <w:rsid w:val="00D106F8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6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951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B2A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606"/>
    <w:rsid w:val="00EF29E0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53E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627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ia.gov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nrep.gov.co/en/node/294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FD7FCA5-CB4B-446A-848F-2E11CD18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2015-09-06T20:55:00Z</dcterms:created>
  <dcterms:modified xsi:type="dcterms:W3CDTF">2015-09-06T20:55:00Z</dcterms:modified>
</cp:coreProperties>
</file>