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A9" w:rsidRPr="004138A9" w:rsidRDefault="004138A9" w:rsidP="004138A9">
      <w:pPr>
        <w:keepNext/>
        <w:framePr w:dropCap="drop" w:lines="3" w:wrap="around" w:vAnchor="text" w:hAnchor="text"/>
        <w:spacing w:after="0" w:line="926" w:lineRule="exact"/>
        <w:textAlignment w:val="baseline"/>
        <w:rPr>
          <w:position w:val="-8"/>
          <w:sz w:val="120"/>
        </w:rPr>
      </w:pPr>
      <w:bookmarkStart w:id="0" w:name="_GoBack"/>
      <w:bookmarkEnd w:id="0"/>
      <w:r w:rsidRPr="004138A9">
        <w:rPr>
          <w:position w:val="-8"/>
          <w:sz w:val="120"/>
        </w:rPr>
        <w:t>C</w:t>
      </w:r>
    </w:p>
    <w:p w:rsidR="00FC26E5" w:rsidRDefault="001B7D4C" w:rsidP="001B7D4C">
      <w:r>
        <w:t>omo se recordará, el Consejo Técnico de la Contaduría Pública estuvo de acuerdo con que el Gobierno promoviera un trato especial para el entonces fut</w:t>
      </w:r>
      <w:r w:rsidR="00B879E2">
        <w:t>uro impuesto a la riqueza (</w:t>
      </w:r>
      <w:hyperlink r:id="rId9" w:history="1">
        <w:r w:rsidR="00B879E2" w:rsidRPr="00B879E2">
          <w:rPr>
            <w:rStyle w:val="Hyperlink"/>
          </w:rPr>
          <w:t>Contrapartida 1117</w:t>
        </w:r>
      </w:hyperlink>
      <w:r w:rsidR="00B879E2">
        <w:t xml:space="preserve">). Posteriormente este organismo ha sostenido que la contabilización del aludido impuesto debe hacerse según las normas internacionales, no obstante lo previsto en la </w:t>
      </w:r>
      <w:hyperlink r:id="rId10" w:history="1">
        <w:r w:rsidR="00B879E2" w:rsidRPr="00751FB2">
          <w:rPr>
            <w:rStyle w:val="Hyperlink"/>
          </w:rPr>
          <w:t>Ley 1739 de 2014</w:t>
        </w:r>
      </w:hyperlink>
      <w:r w:rsidR="00B879E2">
        <w:t>.</w:t>
      </w:r>
      <w:r w:rsidR="00751FB2">
        <w:t xml:space="preserve"> Véase el </w:t>
      </w:r>
      <w:hyperlink r:id="rId11" w:history="1">
        <w:r w:rsidR="00751FB2" w:rsidRPr="00F94A61">
          <w:rPr>
            <w:rStyle w:val="Hyperlink"/>
          </w:rPr>
          <w:t xml:space="preserve">concepto </w:t>
        </w:r>
        <w:r w:rsidR="00F94A61" w:rsidRPr="00F94A61">
          <w:rPr>
            <w:rStyle w:val="Hyperlink"/>
          </w:rPr>
          <w:t>658 del 1 de septiembre de 2015</w:t>
        </w:r>
      </w:hyperlink>
      <w:r w:rsidR="00F94A61">
        <w:t>, en el cual, además, manifiesta que “(…)</w:t>
      </w:r>
      <w:r w:rsidR="00FC26E5">
        <w:t xml:space="preserve"> </w:t>
      </w:r>
      <w:r w:rsidR="00FC26E5" w:rsidRPr="00FC26E5">
        <w:rPr>
          <w:i/>
        </w:rPr>
        <w:t>En cuanto al</w:t>
      </w:r>
      <w:r w:rsidR="00F94A61" w:rsidRPr="00FC26E5">
        <w:rPr>
          <w:i/>
        </w:rPr>
        <w:t xml:space="preserve"> caso </w:t>
      </w:r>
      <w:r w:rsidR="00FC26E5" w:rsidRPr="00FC26E5">
        <w:rPr>
          <w:i/>
        </w:rPr>
        <w:t>específico</w:t>
      </w:r>
      <w:r w:rsidR="00F94A61" w:rsidRPr="00FC26E5">
        <w:rPr>
          <w:i/>
        </w:rPr>
        <w:t xml:space="preserve"> sobre las consecuencias disciplinarias o de cu</w:t>
      </w:r>
      <w:r w:rsidR="00FC26E5" w:rsidRPr="00FC26E5">
        <w:rPr>
          <w:i/>
        </w:rPr>
        <w:t>alquier otro tipo, aunque este e</w:t>
      </w:r>
      <w:r w:rsidR="00F94A61" w:rsidRPr="00FC26E5">
        <w:rPr>
          <w:i/>
        </w:rPr>
        <w:t xml:space="preserve">s un asunto que se escapa de las funciones de este Consejo, que solamente se pronuncia sobre aspectos puramente </w:t>
      </w:r>
      <w:r w:rsidR="00FC26E5" w:rsidRPr="00FC26E5">
        <w:rPr>
          <w:i/>
        </w:rPr>
        <w:t>técnicos</w:t>
      </w:r>
      <w:r w:rsidR="00F94A61" w:rsidRPr="00FC26E5">
        <w:rPr>
          <w:i/>
        </w:rPr>
        <w:t xml:space="preserve"> y no tiene la facultad de pronunciarse sobre sanciones, </w:t>
      </w:r>
      <w:r w:rsidR="00FC26E5" w:rsidRPr="00FC26E5">
        <w:rPr>
          <w:i/>
        </w:rPr>
        <w:t>sería</w:t>
      </w:r>
      <w:r w:rsidR="00F94A61" w:rsidRPr="00FC26E5">
        <w:rPr>
          <w:i/>
        </w:rPr>
        <w:t xml:space="preserve"> de esperar que no se genere ninguna consecuencia legal por seguir el criterio de este Consejo, </w:t>
      </w:r>
      <w:r w:rsidR="00FC26E5" w:rsidRPr="00FC26E5">
        <w:rPr>
          <w:i/>
        </w:rPr>
        <w:t>máxime</w:t>
      </w:r>
      <w:r w:rsidR="00F94A61" w:rsidRPr="00FC26E5">
        <w:rPr>
          <w:i/>
        </w:rPr>
        <w:t xml:space="preserve"> cuando esta </w:t>
      </w:r>
      <w:r w:rsidR="00FC26E5" w:rsidRPr="00FC26E5">
        <w:rPr>
          <w:i/>
        </w:rPr>
        <w:t>posición</w:t>
      </w:r>
      <w:r w:rsidR="00F94A61" w:rsidRPr="00FC26E5">
        <w:rPr>
          <w:i/>
        </w:rPr>
        <w:t xml:space="preserve"> no afecta el monto del impuesto ni el recaudo</w:t>
      </w:r>
      <w:r w:rsidR="00F94A61" w:rsidRPr="00F94A61">
        <w:t>.</w:t>
      </w:r>
      <w:r w:rsidR="00FC26E5">
        <w:t xml:space="preserve"> (…)”.</w:t>
      </w:r>
      <w:r w:rsidR="00826034">
        <w:t xml:space="preserve"> </w:t>
      </w:r>
      <w:r w:rsidR="00FE1F42">
        <w:t xml:space="preserve">Mientras la Ley propende por la causación </w:t>
      </w:r>
      <w:r w:rsidR="00835F3F">
        <w:t xml:space="preserve">del impuesto </w:t>
      </w:r>
      <w:r w:rsidR="00FE1F42">
        <w:t xml:space="preserve">en </w:t>
      </w:r>
      <w:r w:rsidR="002C5F8B">
        <w:t xml:space="preserve">tres o </w:t>
      </w:r>
      <w:r w:rsidR="00FE1F42">
        <w:t>cuatro años</w:t>
      </w:r>
      <w:r w:rsidR="002C5F8B">
        <w:t xml:space="preserve"> según el caso</w:t>
      </w:r>
      <w:r w:rsidR="00FE1F42">
        <w:t>, el CTCP piensa que debe registrarse en su totalidad en el año 2015.</w:t>
      </w:r>
    </w:p>
    <w:p w:rsidR="00375326" w:rsidRDefault="005659E4" w:rsidP="001B7D4C">
      <w:r>
        <w:t xml:space="preserve">Es evidente que, así no hubiere efectos tributarios, el practicar una u otra posición puede tener efectos significativos en los estados financieros. La ley 1739 no establece una facultad para el contribuyente sino que ordena cómo ha de causarse el impuesto en comento. Si bien la </w:t>
      </w:r>
      <w:hyperlink r:id="rId12" w:history="1">
        <w:r w:rsidRPr="00835F3F">
          <w:rPr>
            <w:rStyle w:val="Hyperlink"/>
          </w:rPr>
          <w:t>Ley 1314 de 2009</w:t>
        </w:r>
      </w:hyperlink>
      <w:r>
        <w:t xml:space="preserve"> consagra la prevalencia de la realidad económica y la independencia entre las normas contables y las tributarias, la Ley 1739, además de tener el mismo nivel jerárquico de la Ley 1314, es una norma </w:t>
      </w:r>
      <w:r>
        <w:lastRenderedPageBreak/>
        <w:t>posterior y especial.</w:t>
      </w:r>
      <w:r w:rsidR="00835F3F">
        <w:t xml:space="preserve"> </w:t>
      </w:r>
      <w:r w:rsidR="002C5F8B">
        <w:t>No sabemos si las autoridades de supervisión se preocuparán del asunto. Podrían empezar por ordenar ajustar la contabilización a lo señalado en la Ley 1739. También podrían iniciar un proceso administrativo sancionatorio por violación de esta norm</w:t>
      </w:r>
      <w:r w:rsidR="000C5B7E">
        <w:t>a. Viene entonces la pregunta ¿S</w:t>
      </w:r>
      <w:r w:rsidR="002C5F8B">
        <w:t>erá suficiente excusa alegar lo indicado en las normas internacionales y en los conceptos del CTCP?</w:t>
      </w:r>
      <w:r w:rsidR="000C5B7E">
        <w:t xml:space="preserve"> Creemos que no.</w:t>
      </w:r>
      <w:r w:rsidR="002644F7">
        <w:t xml:space="preserve"> </w:t>
      </w:r>
      <w:r w:rsidR="00375326">
        <w:t>Por otra parte</w:t>
      </w:r>
      <w:r w:rsidR="00DE3AF1">
        <w:t>,</w:t>
      </w:r>
      <w:r w:rsidR="00375326">
        <w:t xml:space="preserve"> nos parece que debe analizarse con cuidado que la Ley 1739 distingue entre hecho generador y causación y que la base gravable del impuesto así como la tarifa a pagar se determina año a año. Parece ser que en el año 2015 </w:t>
      </w:r>
      <w:r w:rsidR="00B44616">
        <w:t xml:space="preserve">no existe una obligación presente por la totalidad, debido a </w:t>
      </w:r>
      <w:r w:rsidR="000A7509">
        <w:t xml:space="preserve">que </w:t>
      </w:r>
      <w:r w:rsidR="00B44616">
        <w:t>su cuantía se determina año a año.</w:t>
      </w:r>
    </w:p>
    <w:p w:rsidR="00F106DC" w:rsidRDefault="00F106DC" w:rsidP="001B7D4C">
      <w:r>
        <w:t>Lo clave aquí es que el CTCP ha sostenido que se debe obrar conforme a normas reglamentarias y no según la Ley.</w:t>
      </w:r>
      <w:r w:rsidR="00450896">
        <w:t xml:space="preserve"> Esta posición debe ser analizada por el Gobierno en pleno por sus insospechadas consecuencias. Ciertamente IASB es un organismo serio. Pero la contabilidad no es una creación, ni una propiedad, de ese organismo. De manera que las posiciones en contrario a lo dispuesto por las leyes debe</w:t>
      </w:r>
      <w:r w:rsidR="00D44037">
        <w:t>n</w:t>
      </w:r>
      <w:r w:rsidR="00450896">
        <w:t xml:space="preserve"> basarse en razonamientos científicos y no meramente en las declaraciones internacionales.</w:t>
      </w:r>
      <w:r w:rsidR="00CD00BA">
        <w:t xml:space="preserve"> </w:t>
      </w:r>
      <w:r w:rsidR="007E582D">
        <w:t>En una cuestión de esta naturaleza no cabe el principio de autoridad, que por cierto inclinaría la balanza a favor de la Ley. Es necesario demostrar cuál es el tratamiento que</w:t>
      </w:r>
      <w:r w:rsidR="002644F7">
        <w:t>, en términos de realidad,</w:t>
      </w:r>
      <w:r w:rsidR="007E582D">
        <w:t xml:space="preserve"> corres</w:t>
      </w:r>
      <w:r w:rsidR="002644F7">
        <w:t>ponde al impuesto</w:t>
      </w:r>
      <w:r w:rsidR="002478B2">
        <w:t>,</w:t>
      </w:r>
      <w:r w:rsidR="002644F7">
        <w:t xml:space="preserve"> </w:t>
      </w:r>
      <w:r w:rsidR="002478B2">
        <w:t xml:space="preserve">tal </w:t>
      </w:r>
      <w:r w:rsidR="002644F7">
        <w:t>como este ha sido creado.</w:t>
      </w:r>
    </w:p>
    <w:p w:rsidR="002644F7" w:rsidRPr="002644F7" w:rsidRDefault="002644F7" w:rsidP="002644F7">
      <w:pPr>
        <w:jc w:val="right"/>
        <w:rPr>
          <w:i/>
        </w:rPr>
      </w:pPr>
      <w:r w:rsidRPr="002644F7">
        <w:rPr>
          <w:i/>
        </w:rPr>
        <w:t>Hernando Bermúdez Gómez</w:t>
      </w:r>
    </w:p>
    <w:sectPr w:rsidR="002644F7" w:rsidRPr="002644F7"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85" w:rsidRDefault="00805F85" w:rsidP="00EE7812">
      <w:pPr>
        <w:spacing w:after="0" w:line="240" w:lineRule="auto"/>
      </w:pPr>
      <w:r>
        <w:separator/>
      </w:r>
    </w:p>
  </w:endnote>
  <w:endnote w:type="continuationSeparator" w:id="0">
    <w:p w:rsidR="00805F85" w:rsidRDefault="00805F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85" w:rsidRDefault="00805F85" w:rsidP="00EE7812">
      <w:pPr>
        <w:spacing w:after="0" w:line="240" w:lineRule="auto"/>
      </w:pPr>
      <w:r>
        <w:separator/>
      </w:r>
    </w:p>
  </w:footnote>
  <w:footnote w:type="continuationSeparator" w:id="0">
    <w:p w:rsidR="00805F85" w:rsidRDefault="00805F8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1B7D4C" w:rsidP="00613BC8">
    <w:pPr>
      <w:pStyle w:val="Header"/>
      <w:tabs>
        <w:tab w:val="left" w:pos="2580"/>
        <w:tab w:val="left" w:pos="2985"/>
      </w:tabs>
      <w:spacing w:line="276" w:lineRule="auto"/>
      <w:jc w:val="right"/>
    </w:pPr>
    <w:r>
      <w:t>Número 1535</w:t>
    </w:r>
    <w:r w:rsidR="00CC5FBD">
      <w:t xml:space="preserve">, septiembre </w:t>
    </w:r>
    <w:r w:rsidR="00AA7A92">
      <w:t>14</w:t>
    </w:r>
    <w:r w:rsidR="00CC5FBD">
      <w:t xml:space="preserve"> de 2015</w:t>
    </w:r>
  </w:p>
  <w:p w:rsidR="00CC5FBD" w:rsidRDefault="00805F8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557D"/>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EB8"/>
    <w:rsid w:val="002063CD"/>
    <w:rsid w:val="00206420"/>
    <w:rsid w:val="00206681"/>
    <w:rsid w:val="00206965"/>
    <w:rsid w:val="00206BA1"/>
    <w:rsid w:val="00206D3E"/>
    <w:rsid w:val="00207080"/>
    <w:rsid w:val="00207368"/>
    <w:rsid w:val="00207494"/>
    <w:rsid w:val="00207874"/>
    <w:rsid w:val="002078E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5F85"/>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CF0"/>
    <w:rsid w:val="00AB2D67"/>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conceptos.php?concept_id=201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cretariasenado.gov.co/senado/basedoc/ley_1739_2014.html"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1117.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6ECB76C-BDF7-449F-AA57-E488AE49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2932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2015-09-13T22:08:00Z</dcterms:created>
  <dcterms:modified xsi:type="dcterms:W3CDTF">2015-09-13T22:08:00Z</dcterms:modified>
</cp:coreProperties>
</file>