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22B" w:rsidRPr="00A1422B" w:rsidRDefault="00A1422B" w:rsidP="00A1422B">
      <w:pPr>
        <w:keepNext/>
        <w:framePr w:dropCap="drop" w:lines="3" w:wrap="around" w:vAnchor="text" w:hAnchor="text"/>
        <w:spacing w:after="0" w:line="926" w:lineRule="exact"/>
        <w:textAlignment w:val="baseline"/>
        <w:rPr>
          <w:position w:val="-9"/>
          <w:sz w:val="123"/>
          <w:lang w:val="en-US"/>
        </w:rPr>
      </w:pPr>
      <w:bookmarkStart w:id="0" w:name="_GoBack"/>
      <w:bookmarkEnd w:id="0"/>
      <w:r w:rsidRPr="00A1422B">
        <w:rPr>
          <w:position w:val="-9"/>
          <w:sz w:val="123"/>
          <w:lang w:val="en-US"/>
        </w:rPr>
        <w:t>E</w:t>
      </w:r>
    </w:p>
    <w:p w:rsidR="00D2177B" w:rsidRDefault="00BF7E29" w:rsidP="001620A6">
      <w:r w:rsidRPr="003A569F">
        <w:rPr>
          <w:lang w:val="en-US"/>
        </w:rPr>
        <w:t>l 1</w:t>
      </w:r>
      <w:r w:rsidR="00175D52">
        <w:rPr>
          <w:lang w:val="en-US"/>
        </w:rPr>
        <w:t>°</w:t>
      </w:r>
      <w:r w:rsidRPr="003A569F">
        <w:rPr>
          <w:lang w:val="en-US"/>
        </w:rPr>
        <w:t xml:space="preserve"> de octubre próximo se realizará la sesión correspondiente del </w:t>
      </w:r>
      <w:hyperlink r:id="rId9" w:history="1">
        <w:r w:rsidRPr="003A569F">
          <w:rPr>
            <w:rStyle w:val="Hyperlink"/>
            <w:lang w:val="en-US"/>
          </w:rPr>
          <w:t>Accounting Standards Advisory Forum</w:t>
        </w:r>
      </w:hyperlink>
      <w:r w:rsidR="003A569F" w:rsidRPr="003A569F">
        <w:rPr>
          <w:lang w:val="en-US"/>
        </w:rPr>
        <w:t xml:space="preserve"> (ASAF), el cual fue instituido, entre otras cosas, para “(…)</w:t>
      </w:r>
      <w:r w:rsidR="003A569F">
        <w:rPr>
          <w:lang w:val="en-US"/>
        </w:rPr>
        <w:t xml:space="preserve"> </w:t>
      </w:r>
      <w:r w:rsidR="003A569F" w:rsidRPr="003A569F">
        <w:rPr>
          <w:i/>
          <w:lang w:val="en-US"/>
        </w:rPr>
        <w:t>formalise and streamline the IASB’s collective engagement with the global community of national standard-setters and regional bodies in its standard setting process to ensure that a broad range of national and regional input on major technical issues related to the IASB’s standard setting activities are discussed and considered</w:t>
      </w:r>
      <w:r w:rsidR="003A569F">
        <w:rPr>
          <w:lang w:val="en-US"/>
        </w:rPr>
        <w:t xml:space="preserve"> (…)”. </w:t>
      </w:r>
      <w:r w:rsidR="003A569F" w:rsidRPr="003A569F">
        <w:t xml:space="preserve">De este cuerpo </w:t>
      </w:r>
      <w:hyperlink r:id="rId10" w:history="1">
        <w:r w:rsidR="003A569F" w:rsidRPr="00A1422B">
          <w:rPr>
            <w:rStyle w:val="Hyperlink"/>
          </w:rPr>
          <w:t>forma parte</w:t>
        </w:r>
      </w:hyperlink>
      <w:r w:rsidR="003A569F" w:rsidRPr="003A569F">
        <w:t xml:space="preserve"> el GLENIF (Group of Latin American Accounting Standard Setters (GLASS)), </w:t>
      </w:r>
      <w:r w:rsidR="00A1422B">
        <w:t>al</w:t>
      </w:r>
      <w:r w:rsidR="003A569F" w:rsidRPr="003A569F">
        <w:t xml:space="preserve"> que, a su turno, pertenece el Consejo T</w:t>
      </w:r>
      <w:r w:rsidR="003A569F">
        <w:t>écnico de la Contaduría Pública.</w:t>
      </w:r>
      <w:r w:rsidR="00A1422B">
        <w:t xml:space="preserve"> La agenda prevista es por demás sustanciosa. Los documentos que discutirán </w:t>
      </w:r>
      <w:hyperlink r:id="rId11" w:history="1">
        <w:r w:rsidR="00A1422B" w:rsidRPr="00A1422B">
          <w:rPr>
            <w:rStyle w:val="Hyperlink"/>
          </w:rPr>
          <w:t>ya están disponibles</w:t>
        </w:r>
      </w:hyperlink>
      <w:r w:rsidR="00A1422B">
        <w:t xml:space="preserve"> para el público. Entre estos se encuentra uno titulado </w:t>
      </w:r>
      <w:hyperlink r:id="rId12" w:history="1">
        <w:r w:rsidR="00A1422B" w:rsidRPr="00A1422B">
          <w:rPr>
            <w:rStyle w:val="Hyperlink"/>
          </w:rPr>
          <w:t>Conceptual Framework – Measurement</w:t>
        </w:r>
      </w:hyperlink>
      <w:r w:rsidR="00A1422B">
        <w:t>.</w:t>
      </w:r>
    </w:p>
    <w:p w:rsidR="0036540C" w:rsidRDefault="0036540C" w:rsidP="001620A6">
      <w:r>
        <w:t xml:space="preserve">Varias veces hemos destacado la importancia de la medición dentro del proceso contable. Ella es tal que IASB </w:t>
      </w:r>
      <w:r w:rsidR="00516D9E">
        <w:t xml:space="preserve">le </w:t>
      </w:r>
      <w:r>
        <w:t xml:space="preserve">dedicará un capítulo completo en su Marco de conceptos para la información financiera. El borrador de este capítulo se ocupa de las bases de medición admisibles (valor histórico y valores actuales) y de los factores que deben considerarse para elegir </w:t>
      </w:r>
      <w:r w:rsidR="00025D08">
        <w:t>una base</w:t>
      </w:r>
      <w:r>
        <w:t>.</w:t>
      </w:r>
    </w:p>
    <w:p w:rsidR="00025D08" w:rsidRDefault="00025D08" w:rsidP="00AD54A2">
      <w:pPr>
        <w:rPr>
          <w:lang w:val="en-US"/>
        </w:rPr>
      </w:pPr>
      <w:r>
        <w:t>Entre las muchas cosas que hay que analizar, se encuentra la posibilidad de usar una base de</w:t>
      </w:r>
      <w:r w:rsidR="00A71223">
        <w:t xml:space="preserve"> medición en el estado de situación financiera y otra en el estado de desempeño</w:t>
      </w:r>
      <w:r w:rsidR="00516D9E">
        <w:t xml:space="preserve"> financiero</w:t>
      </w:r>
      <w:r w:rsidR="00A71223">
        <w:t>.</w:t>
      </w:r>
      <w:r w:rsidR="00AD54A2">
        <w:t xml:space="preserve"> </w:t>
      </w:r>
      <w:r w:rsidR="00AD54A2" w:rsidRPr="00AD54A2">
        <w:rPr>
          <w:lang w:val="en-US"/>
        </w:rPr>
        <w:t>“</w:t>
      </w:r>
      <w:r w:rsidR="00AD54A2" w:rsidRPr="00AD54A2">
        <w:rPr>
          <w:i/>
          <w:lang w:val="en-US"/>
        </w:rPr>
        <w:t xml:space="preserve">6.76 However, in some cases, because of the way in which an asset or a liability contributes to future cash flows </w:t>
      </w:r>
      <w:r w:rsidR="00AD54A2" w:rsidRPr="00AD54A2">
        <w:rPr>
          <w:i/>
          <w:lang w:val="en-US"/>
        </w:rPr>
        <w:lastRenderedPageBreak/>
        <w:t>(which depends in part on the nature of the business activities conducted by the entity) or because of the characteristics of the asset or the liability, the information provided in the statement of financial position and the statement(s) of financial performance is made more relevant by using: ―(a) a current value measurement basis for the asset or the liability in the statement of financial position; and ―(b) a different measurement basis to determine the related income or expenses in the statement of profit or loss (see paragraph 7.25).</w:t>
      </w:r>
      <w:r w:rsidR="00AD54A2">
        <w:rPr>
          <w:lang w:val="en-US"/>
        </w:rPr>
        <w:t>”</w:t>
      </w:r>
    </w:p>
    <w:p w:rsidR="005B66B3" w:rsidRDefault="00C80350" w:rsidP="00AD54A2">
      <w:r w:rsidRPr="00C80350">
        <w:t>Este planteamiento sirve de ejemplo del concepto de medici</w:t>
      </w:r>
      <w:r>
        <w:t xml:space="preserve">ón que quiere adoptar IASB. Tal vez, sin discusión alguna, la mecánica de la partida doble ha influido en la utilización de una sola base de medición en todos los estados. </w:t>
      </w:r>
      <w:r w:rsidR="00420EF2">
        <w:t xml:space="preserve">Lo más lejos que nuestra legislación </w:t>
      </w:r>
      <w:r w:rsidR="00962B3B">
        <w:t>ha</w:t>
      </w:r>
      <w:r w:rsidR="00420EF2">
        <w:t xml:space="preserve"> llegado </w:t>
      </w:r>
      <w:r w:rsidR="006C4544">
        <w:t>es</w:t>
      </w:r>
      <w:r w:rsidR="00420EF2">
        <w:t xml:space="preserve"> permitir u ordenar la valuación de ciertos ítems a un valor corriente, llevando su efecto</w:t>
      </w:r>
      <w:r w:rsidR="009B7220">
        <w:t xml:space="preserve"> al estado de resultados o</w:t>
      </w:r>
      <w:r w:rsidR="00420EF2">
        <w:t xml:space="preserve"> al patrimonio.</w:t>
      </w:r>
    </w:p>
    <w:p w:rsidR="00420EF2" w:rsidRDefault="00A85E8A" w:rsidP="00AD54A2">
      <w:r>
        <w:t>En el subsistema documental deberá quedar constancia de las justificaciones y de las operaciones efectuadas para utilizar una u otra base.</w:t>
      </w:r>
      <w:r w:rsidR="00E07AB1">
        <w:t xml:space="preserve"> Adviértase que un estudio (la justificación) puede y debe formar parte del subsistema documental de la contabilidad. No se trata de ajustes a mano alzada, ni de asientos en borrador, sino de documentos oficiales de la respectiva entidad.</w:t>
      </w:r>
    </w:p>
    <w:p w:rsidR="00FB69F3" w:rsidRDefault="00FB69F3" w:rsidP="00AD54A2">
      <w:r>
        <w:t>En cierta manera, hay que reaprender. Muchos conceptos serán objeto de recreación, siendo necesario tener la mente abierta para entenderlos.</w:t>
      </w:r>
    </w:p>
    <w:p w:rsidR="00FB69F3" w:rsidRPr="00FB69F3" w:rsidRDefault="00FB69F3" w:rsidP="00FB69F3">
      <w:pPr>
        <w:jc w:val="right"/>
        <w:rPr>
          <w:i/>
        </w:rPr>
      </w:pPr>
      <w:r w:rsidRPr="00FB69F3">
        <w:rPr>
          <w:i/>
        </w:rPr>
        <w:t>Hernando Bermúdez Gómez</w:t>
      </w:r>
    </w:p>
    <w:sectPr w:rsidR="00FB69F3" w:rsidRPr="00FB69F3"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86D" w:rsidRDefault="00E8286D" w:rsidP="00EE7812">
      <w:pPr>
        <w:spacing w:after="0" w:line="240" w:lineRule="auto"/>
      </w:pPr>
      <w:r>
        <w:separator/>
      </w:r>
    </w:p>
  </w:endnote>
  <w:endnote w:type="continuationSeparator" w:id="0">
    <w:p w:rsidR="00E8286D" w:rsidRDefault="00E8286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86D" w:rsidRDefault="00E8286D" w:rsidP="00EE7812">
      <w:pPr>
        <w:spacing w:after="0" w:line="240" w:lineRule="auto"/>
      </w:pPr>
      <w:r>
        <w:separator/>
      </w:r>
    </w:p>
  </w:footnote>
  <w:footnote w:type="continuationSeparator" w:id="0">
    <w:p w:rsidR="00E8286D" w:rsidRDefault="00E8286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1620A6" w:rsidP="00613BC8">
    <w:pPr>
      <w:pStyle w:val="Header"/>
      <w:tabs>
        <w:tab w:val="left" w:pos="2580"/>
        <w:tab w:val="left" w:pos="2985"/>
      </w:tabs>
      <w:spacing w:line="276" w:lineRule="auto"/>
      <w:jc w:val="right"/>
    </w:pPr>
    <w:r>
      <w:t>Número 1563</w:t>
    </w:r>
    <w:r w:rsidR="00CC5FBD">
      <w:t xml:space="preserve">, septiembre </w:t>
    </w:r>
    <w:r w:rsidR="00D6656F">
      <w:t>28</w:t>
    </w:r>
    <w:r w:rsidR="00CC5FBD">
      <w:t xml:space="preserve"> de 2015</w:t>
    </w:r>
  </w:p>
  <w:p w:rsidR="00CC5FBD" w:rsidRDefault="00E8286D"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2A1"/>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FAD"/>
    <w:rsid w:val="000520C6"/>
    <w:rsid w:val="000522F8"/>
    <w:rsid w:val="00052711"/>
    <w:rsid w:val="000529E1"/>
    <w:rsid w:val="00052C72"/>
    <w:rsid w:val="00052CCD"/>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2ED"/>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256"/>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47"/>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0A6"/>
    <w:rsid w:val="001621F4"/>
    <w:rsid w:val="00162261"/>
    <w:rsid w:val="00162301"/>
    <w:rsid w:val="001623DA"/>
    <w:rsid w:val="001624D7"/>
    <w:rsid w:val="00162AA7"/>
    <w:rsid w:val="00162B4F"/>
    <w:rsid w:val="00162EEC"/>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9B"/>
    <w:rsid w:val="00173AB7"/>
    <w:rsid w:val="00173E5F"/>
    <w:rsid w:val="00173F03"/>
    <w:rsid w:val="0017407F"/>
    <w:rsid w:val="001743AB"/>
    <w:rsid w:val="0017499B"/>
    <w:rsid w:val="0017536A"/>
    <w:rsid w:val="001753A6"/>
    <w:rsid w:val="0017547D"/>
    <w:rsid w:val="00175566"/>
    <w:rsid w:val="0017557D"/>
    <w:rsid w:val="001759C0"/>
    <w:rsid w:val="00175D52"/>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55"/>
    <w:rsid w:val="001A00A6"/>
    <w:rsid w:val="001A04E9"/>
    <w:rsid w:val="001A0877"/>
    <w:rsid w:val="001A0A65"/>
    <w:rsid w:val="001A0D48"/>
    <w:rsid w:val="001A0E29"/>
    <w:rsid w:val="001A0EB5"/>
    <w:rsid w:val="001A0FBF"/>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3A6"/>
    <w:rsid w:val="003D15FE"/>
    <w:rsid w:val="003D16C3"/>
    <w:rsid w:val="003D1718"/>
    <w:rsid w:val="003D1C14"/>
    <w:rsid w:val="003D1CBC"/>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573"/>
    <w:rsid w:val="003E465B"/>
    <w:rsid w:val="003E4739"/>
    <w:rsid w:val="003E4752"/>
    <w:rsid w:val="003E4A51"/>
    <w:rsid w:val="003E4CF1"/>
    <w:rsid w:val="003E4FAE"/>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4D"/>
    <w:rsid w:val="005911D3"/>
    <w:rsid w:val="0059122A"/>
    <w:rsid w:val="0059127D"/>
    <w:rsid w:val="005913E4"/>
    <w:rsid w:val="00591E8E"/>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9DD"/>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BB2"/>
    <w:rsid w:val="005B0D3F"/>
    <w:rsid w:val="005B1276"/>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523F"/>
    <w:rsid w:val="005B5601"/>
    <w:rsid w:val="005B56E5"/>
    <w:rsid w:val="005B57B4"/>
    <w:rsid w:val="005B57FB"/>
    <w:rsid w:val="005B5DE5"/>
    <w:rsid w:val="005B5EFC"/>
    <w:rsid w:val="005B620C"/>
    <w:rsid w:val="005B62D8"/>
    <w:rsid w:val="005B63FB"/>
    <w:rsid w:val="005B66B3"/>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B001C"/>
    <w:rsid w:val="007B011C"/>
    <w:rsid w:val="007B020A"/>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3DD"/>
    <w:rsid w:val="00832701"/>
    <w:rsid w:val="008327DC"/>
    <w:rsid w:val="00832A31"/>
    <w:rsid w:val="00832BB7"/>
    <w:rsid w:val="008330E4"/>
    <w:rsid w:val="008332D7"/>
    <w:rsid w:val="008333EA"/>
    <w:rsid w:val="0083351C"/>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05"/>
    <w:rsid w:val="008C13D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FF"/>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D1F"/>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BF7E29"/>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71D"/>
    <w:rsid w:val="00C407D9"/>
    <w:rsid w:val="00C40AE5"/>
    <w:rsid w:val="00C40CDF"/>
    <w:rsid w:val="00C40F36"/>
    <w:rsid w:val="00C412E9"/>
    <w:rsid w:val="00C41443"/>
    <w:rsid w:val="00C4170C"/>
    <w:rsid w:val="00C421C5"/>
    <w:rsid w:val="00C42696"/>
    <w:rsid w:val="00C4273D"/>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9FC"/>
    <w:rsid w:val="00C65C3A"/>
    <w:rsid w:val="00C65D37"/>
    <w:rsid w:val="00C6604C"/>
    <w:rsid w:val="00C660BC"/>
    <w:rsid w:val="00C667D1"/>
    <w:rsid w:val="00C66C3E"/>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0A3"/>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56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5C"/>
    <w:rsid w:val="00D76CD7"/>
    <w:rsid w:val="00D76D16"/>
    <w:rsid w:val="00D76E4F"/>
    <w:rsid w:val="00D7735D"/>
    <w:rsid w:val="00D7751A"/>
    <w:rsid w:val="00D776AC"/>
    <w:rsid w:val="00D778EB"/>
    <w:rsid w:val="00D77971"/>
    <w:rsid w:val="00D8003B"/>
    <w:rsid w:val="00D808B5"/>
    <w:rsid w:val="00D80C75"/>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4C4"/>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4C2"/>
    <w:rsid w:val="00DA0C2D"/>
    <w:rsid w:val="00DA0C42"/>
    <w:rsid w:val="00DA107D"/>
    <w:rsid w:val="00DA12A8"/>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86D"/>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684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69E"/>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frs.org/Meetings/MeetingDocs/ASAF/2015/October/1510-ASAF-02A-CF-Measuremen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rs.org/Meetings/Pages/ASAF-meeting-October-2015.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frs.org/About-us/IASB/Advisory-bodies/ASAF/Pages/ASAF-Membership.aspx" TargetMode="External"/><Relationship Id="rId4" Type="http://schemas.microsoft.com/office/2007/relationships/stylesWithEffects" Target="stylesWithEffects.xml"/><Relationship Id="rId9" Type="http://schemas.openxmlformats.org/officeDocument/2006/relationships/hyperlink" Target="http://www.ifrs.org/About-us/IASB/Advisory-bodies/ASAF/Pages/Accounting-Standards-Advisory-Forum.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4117DCB2-D77E-4CCC-8080-8239259AA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2914</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2015-09-27T22:24:00Z</dcterms:created>
  <dcterms:modified xsi:type="dcterms:W3CDTF">2015-09-27T22:24:00Z</dcterms:modified>
</cp:coreProperties>
</file>