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ED" w:rsidRPr="006B06ED" w:rsidRDefault="006B06ED" w:rsidP="006B06ED">
      <w:pPr>
        <w:keepNext/>
        <w:framePr w:dropCap="drop" w:lines="3" w:wrap="around" w:vAnchor="text" w:hAnchor="text"/>
        <w:spacing w:after="0" w:line="926" w:lineRule="exact"/>
        <w:textAlignment w:val="baseline"/>
        <w:rPr>
          <w:position w:val="-7"/>
          <w:sz w:val="121"/>
        </w:rPr>
      </w:pPr>
      <w:bookmarkStart w:id="0" w:name="_GoBack"/>
      <w:bookmarkEnd w:id="0"/>
      <w:r w:rsidRPr="006B06ED">
        <w:rPr>
          <w:position w:val="-7"/>
          <w:sz w:val="121"/>
        </w:rPr>
        <w:t>U</w:t>
      </w:r>
    </w:p>
    <w:p w:rsidR="008A7AD9" w:rsidRDefault="006B06ED" w:rsidP="009D765F">
      <w:r>
        <w:t xml:space="preserve">no de los principales movimientos de cambio en el mundo contable, si no el más importante, es el que tiene que ver con la construcción del nuevo reporte de las compañías. Entre otros, en Contrapartida </w:t>
      </w:r>
      <w:hyperlink r:id="rId9" w:history="1">
        <w:r w:rsidRPr="006B06ED">
          <w:rPr>
            <w:rStyle w:val="Hyperlink"/>
          </w:rPr>
          <w:t>997</w:t>
        </w:r>
      </w:hyperlink>
      <w:r>
        <w:t xml:space="preserve"> y </w:t>
      </w:r>
      <w:hyperlink r:id="rId10" w:history="1">
        <w:r w:rsidRPr="006B06ED">
          <w:rPr>
            <w:rStyle w:val="Hyperlink"/>
          </w:rPr>
          <w:t>1173</w:t>
        </w:r>
      </w:hyperlink>
      <w:r>
        <w:t xml:space="preserve"> nos referimos a esta cuestión.</w:t>
      </w:r>
    </w:p>
    <w:p w:rsidR="00072DAD" w:rsidRDefault="00475EDC" w:rsidP="009D765F">
      <w:r>
        <w:t xml:space="preserve">Recientemente la </w:t>
      </w:r>
      <w:hyperlink r:id="rId11" w:history="1">
        <w:r w:rsidRPr="00205C87">
          <w:rPr>
            <w:rStyle w:val="Hyperlink"/>
          </w:rPr>
          <w:t>Fédération des Experts-comptables Européens (FEE)</w:t>
        </w:r>
      </w:hyperlink>
      <w:r>
        <w:t xml:space="preserve"> ha terciado en este proceso.</w:t>
      </w:r>
      <w:r w:rsidR="00C5057F">
        <w:t xml:space="preserve"> Ocasionalmente citamos a este organismo, que debiéramos seguir con más cuidado. Desde hace mucho tiempo nos admira la profundidad y pertinencia de sus documentos, muchos de los cuales han servido de bases teóricas para decisiones regulatorias, incluidos múltiples estándares de contabilidad y aseguramiento en Europa.</w:t>
      </w:r>
    </w:p>
    <w:p w:rsidR="00E86285" w:rsidRDefault="00F14E6F" w:rsidP="00B0066C">
      <w:r>
        <w:t xml:space="preserve">Sobre el tema planteado dice la FEE en su documento </w:t>
      </w:r>
      <w:hyperlink r:id="rId12" w:history="1">
        <w:r w:rsidRPr="00F14E6F">
          <w:rPr>
            <w:rStyle w:val="Hyperlink"/>
            <w:i/>
          </w:rPr>
          <w:t>The Future of Corporate Reporting – creating the dynamics for change</w:t>
        </w:r>
      </w:hyperlink>
      <w:r>
        <w:t xml:space="preserve">: “(…) </w:t>
      </w:r>
      <w:r w:rsidRPr="00E814E7">
        <w:rPr>
          <w:i/>
        </w:rPr>
        <w:t>The paper starts by identifying that the audience for corporate reporting is continually growing and diversifying and it is envisioned that, at some point, corporate reporting needs to properly address the needs of this ever wider audience – potentially being society at large</w:t>
      </w:r>
      <w:r>
        <w:t>. (…)”.</w:t>
      </w:r>
      <w:r w:rsidR="00E814E7">
        <w:t xml:space="preserve"> Este solo hecho cuestiona las bases del edificio que algunas legislaciones han construido. De los reportes para la rendición de cuentas, a los reportes para auxiliar las decisiones de los actuales y potenciales inversionistas, estamos a punto de enfrentarnos a reportes que son objeto de análisis tanto del Gobierno como de la llamada Sociedad Civil con otro enfoque, cual puede ser el de la responsabilidad social, el de la solidaridad, el de la sostenibilidad. La presentación </w:t>
      </w:r>
      <w:r w:rsidR="00E814E7">
        <w:lastRenderedPageBreak/>
        <w:t>separada y hasta desarticulada de información financiera, reclama, de una parte, mayor información no financiera y, de otra, su sincronización con otros reportes corporativos.</w:t>
      </w:r>
      <w:r w:rsidR="00DB270D">
        <w:t xml:space="preserve"> En el fondo hay un gran movimiento que cuestiona el rendimiento como regla superior de evaluación del desempeño.</w:t>
      </w:r>
      <w:r w:rsidR="00E86285">
        <w:t xml:space="preserve"> </w:t>
      </w:r>
      <w:r w:rsidR="00B0066C">
        <w:t xml:space="preserve">Mientras el </w:t>
      </w:r>
      <w:hyperlink r:id="rId13" w:history="1">
        <w:r w:rsidR="00B0066C" w:rsidRPr="00B0066C">
          <w:rPr>
            <w:rStyle w:val="Hyperlink"/>
          </w:rPr>
          <w:t>proyecto &lt;IR&gt;</w:t>
        </w:r>
      </w:hyperlink>
      <w:r w:rsidR="00B0066C">
        <w:t xml:space="preserve"> madura, la FEE plantea: “(…) </w:t>
      </w:r>
      <w:r w:rsidR="00B0066C" w:rsidRPr="00B0066C">
        <w:rPr>
          <w:i/>
        </w:rPr>
        <w:t xml:space="preserve">The proposal involves an overarching report or executive summary – the CORE report – in which a company includes the key information that is important for obtaining a fair understanding of the key elements of the company’s affairs, the key financial results, and the additional information that is considered to be relevant and material for the company’s stakeholders. Some examples of the latter could be in formation about the company’s objectives, strategy and business model, information about the past and expectations about the future, and risk and risk mitigation processes. </w:t>
      </w:r>
      <w:r w:rsidR="00B0066C">
        <w:t xml:space="preserve">(…)”. </w:t>
      </w:r>
      <w:r w:rsidR="00AB2C25">
        <w:t xml:space="preserve">Esta sugerencia nos recuerda los esfuerzos del </w:t>
      </w:r>
      <w:hyperlink r:id="rId14" w:history="1">
        <w:r w:rsidR="00AB2C25" w:rsidRPr="00AB2C25">
          <w:rPr>
            <w:rStyle w:val="Hyperlink"/>
            <w:i/>
          </w:rPr>
          <w:t>Enhanced Business Reporting Consortium (EBRC)</w:t>
        </w:r>
      </w:hyperlink>
      <w:r w:rsidR="00AB2C25">
        <w:t>.</w:t>
      </w:r>
    </w:p>
    <w:p w:rsidR="00AB2C25" w:rsidRDefault="00B210AA" w:rsidP="00B0066C">
      <w:r>
        <w:t>Sin duda los nuevos enfoques, llamados integrados, responden a una concepción holística de las organizaciones.</w:t>
      </w:r>
      <w:r w:rsidR="005B0947">
        <w:t xml:space="preserve"> Como bien lo han puesto de presente los filósofos, la especialidad ha implicado visiones parciales de la realidad.</w:t>
      </w:r>
      <w:r w:rsidR="002D0E5F">
        <w:t xml:space="preserve"> Sostiene </w:t>
      </w:r>
      <w:hyperlink r:id="rId15" w:history="1">
        <w:r w:rsidR="002D0E5F" w:rsidRPr="002D0E5F">
          <w:rPr>
            <w:rStyle w:val="Hyperlink"/>
          </w:rPr>
          <w:t>Morin</w:t>
        </w:r>
      </w:hyperlink>
      <w:r w:rsidR="002D0E5F">
        <w:t xml:space="preserve">: “(…) </w:t>
      </w:r>
      <w:r w:rsidR="002D0E5F" w:rsidRPr="002D0E5F">
        <w:rPr>
          <w:i/>
        </w:rPr>
        <w:t>De hecho, la hiperespecialización impide ver lo global (que ella fragmenta en parcelas) así como lo esencial (que ella disuelve).</w:t>
      </w:r>
      <w:r w:rsidR="002D0E5F">
        <w:t xml:space="preserve"> (…)”. La contaduría está llamada a asumir la complejidad.</w:t>
      </w:r>
    </w:p>
    <w:p w:rsidR="002D0E5F" w:rsidRPr="002D0E5F" w:rsidRDefault="002D0E5F" w:rsidP="002D0E5F">
      <w:pPr>
        <w:jc w:val="right"/>
        <w:rPr>
          <w:i/>
        </w:rPr>
      </w:pPr>
      <w:r w:rsidRPr="002D0E5F">
        <w:rPr>
          <w:i/>
        </w:rPr>
        <w:t>Hernando Bermúdez Gómez</w:t>
      </w:r>
    </w:p>
    <w:sectPr w:rsidR="002D0E5F" w:rsidRPr="002D0E5F"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ED" w:rsidRDefault="00482EED" w:rsidP="00EE7812">
      <w:pPr>
        <w:spacing w:after="0" w:line="240" w:lineRule="auto"/>
      </w:pPr>
      <w:r>
        <w:separator/>
      </w:r>
    </w:p>
  </w:endnote>
  <w:endnote w:type="continuationSeparator" w:id="0">
    <w:p w:rsidR="00482EED" w:rsidRDefault="00482E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ED" w:rsidRDefault="00482EED" w:rsidP="00EE7812">
      <w:pPr>
        <w:spacing w:after="0" w:line="240" w:lineRule="auto"/>
      </w:pPr>
      <w:r>
        <w:separator/>
      </w:r>
    </w:p>
  </w:footnote>
  <w:footnote w:type="continuationSeparator" w:id="0">
    <w:p w:rsidR="00482EED" w:rsidRDefault="00482EE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9D765F" w:rsidP="00613BC8">
    <w:pPr>
      <w:pStyle w:val="Header"/>
      <w:tabs>
        <w:tab w:val="left" w:pos="2580"/>
        <w:tab w:val="left" w:pos="2985"/>
      </w:tabs>
      <w:spacing w:line="276" w:lineRule="auto"/>
      <w:jc w:val="right"/>
    </w:pPr>
    <w:r>
      <w:t>Número 1606</w:t>
    </w:r>
    <w:r w:rsidR="00CC5FBD">
      <w:t xml:space="preserve">, </w:t>
    </w:r>
    <w:r w:rsidR="00865248">
      <w:t>octubre</w:t>
    </w:r>
    <w:r w:rsidR="00CC5FBD">
      <w:t xml:space="preserve"> </w:t>
    </w:r>
    <w:r w:rsidR="008F068A">
      <w:t>19</w:t>
    </w:r>
    <w:r w:rsidR="00CC5FBD">
      <w:t xml:space="preserve"> de 2015</w:t>
    </w:r>
  </w:p>
  <w:p w:rsidR="00CC5FBD" w:rsidRDefault="00482EE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5E"/>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2EED"/>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gratedreporting.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e.be/images/FEECogitoPaper_-_TheFutureofCorporateReporting.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be/" TargetMode="External"/><Relationship Id="rId5" Type="http://schemas.openxmlformats.org/officeDocument/2006/relationships/settings" Target="settings.xml"/><Relationship Id="rId15" Type="http://schemas.openxmlformats.org/officeDocument/2006/relationships/hyperlink" Target="http://www.javeriana.edu.co/archivo/ahj2012/paginas/m_ins/doc_ins/o_uni/ORIENTACIONES/PDF_ORIENTACIONES/28.pdf" TargetMode="External"/><Relationship Id="rId10" Type="http://schemas.openxmlformats.org/officeDocument/2006/relationships/hyperlink" Target="http://www.javeriana.edu.co/personales/hbermude/contrapartida/Contrapartida1173.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997.docx" TargetMode="External"/><Relationship Id="rId14" Type="http://schemas.openxmlformats.org/officeDocument/2006/relationships/hyperlink" Target="http://www.aicpa.org/InterestAreas/FRC/AccountingFinancialReporting/EnhancedBusinessReporting/Pages/EnhancedBusinessRepor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07BE65C-82A4-4AD6-9429-99882608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3118</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2015-10-18T22:46:00Z</dcterms:created>
  <dcterms:modified xsi:type="dcterms:W3CDTF">2015-10-18T22:46:00Z</dcterms:modified>
</cp:coreProperties>
</file>