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3B" w:rsidRPr="009E433B" w:rsidRDefault="009E433B" w:rsidP="009E433B">
      <w:pPr>
        <w:keepNext/>
        <w:framePr w:dropCap="drop" w:lines="3" w:wrap="around" w:vAnchor="text" w:hAnchor="text"/>
        <w:spacing w:after="0" w:line="926" w:lineRule="exact"/>
        <w:textAlignment w:val="baseline"/>
        <w:rPr>
          <w:position w:val="-9"/>
          <w:sz w:val="123"/>
        </w:rPr>
      </w:pPr>
      <w:bookmarkStart w:id="0" w:name="_GoBack"/>
      <w:bookmarkEnd w:id="0"/>
      <w:r w:rsidRPr="009E433B">
        <w:rPr>
          <w:position w:val="-9"/>
          <w:sz w:val="123"/>
        </w:rPr>
        <w:t>L</w:t>
      </w:r>
    </w:p>
    <w:p w:rsidR="00EC4701" w:rsidRDefault="009E433B" w:rsidP="00D521C4">
      <w:r>
        <w:t>a formación profesional de un contador exige la utilización de la historia como herramienta que da sentido al estado actual de las cosas. Hay una inmensa diferencia entre quien solo se ha leído un texto, así incluya los fundamentos de las conclusiones y aquel que analice los documentos desde la investigación que precedió los proyectos de normas hasta los resultados de las revisiones de implementación.</w:t>
      </w:r>
    </w:p>
    <w:p w:rsidR="000970E1" w:rsidRDefault="000970E1" w:rsidP="00D521C4">
      <w:r>
        <w:t>En la absurda carrera en la que nos encontramos, en la que en lugar del saber mucho se está privilegiando el graduarse rápido, ojalá con más de un título, los egresados tienen pequeñas visiones de muchos temas. Se hacen indispensables los estudios de posgrado para hacer énfasis en muchas cuestiones claves. Los doctorados ya no son cosa remota. Varias firmas están basando sus ofertas de servicios en la alta calificación académica de su personal.</w:t>
      </w:r>
    </w:p>
    <w:p w:rsidR="00207067" w:rsidRDefault="00207067" w:rsidP="00D521C4">
      <w:r>
        <w:t xml:space="preserve">Para entender el compendio de IFRS, además de recurrir al </w:t>
      </w:r>
      <w:hyperlink r:id="rId9" w:history="1">
        <w:r w:rsidRPr="00207067">
          <w:rPr>
            <w:rStyle w:val="Hyperlink"/>
          </w:rPr>
          <w:t>libro verde</w:t>
        </w:r>
      </w:hyperlink>
      <w:r>
        <w:t>, hay que echar mano de los recursos disponibles a través de la Internet y de los libros disponibles en las Bibliotecas. Aunque aquella ha crecido descomunalmente, es bueno advertir que las publicaciones en papel siguen dominado la divulgación del pensamiento (</w:t>
      </w:r>
      <w:hyperlink r:id="rId10" w:history="1">
        <w:r w:rsidRPr="00207067">
          <w:rPr>
            <w:rStyle w:val="Hyperlink"/>
          </w:rPr>
          <w:t>El libro impreso vende 15 veces más que el electrónico</w:t>
        </w:r>
      </w:hyperlink>
      <w:r>
        <w:t>).</w:t>
      </w:r>
    </w:p>
    <w:p w:rsidR="00F66B46" w:rsidRDefault="00101E8A" w:rsidP="00D521C4">
      <w:r>
        <w:t xml:space="preserve">Hace años llegó a nuestra biblioteca el libro </w:t>
      </w:r>
      <w:proofErr w:type="spellStart"/>
      <w:r w:rsidRPr="008D675E">
        <w:rPr>
          <w:i/>
        </w:rPr>
        <w:t>Financial</w:t>
      </w:r>
      <w:proofErr w:type="spellEnd"/>
      <w:r w:rsidRPr="008D675E">
        <w:rPr>
          <w:i/>
        </w:rPr>
        <w:t xml:space="preserve"> </w:t>
      </w:r>
      <w:proofErr w:type="spellStart"/>
      <w:r w:rsidRPr="008D675E">
        <w:rPr>
          <w:i/>
        </w:rPr>
        <w:t>reporting</w:t>
      </w:r>
      <w:proofErr w:type="spellEnd"/>
      <w:r w:rsidRPr="008D675E">
        <w:rPr>
          <w:i/>
        </w:rPr>
        <w:t xml:space="preserve"> and global capital </w:t>
      </w:r>
      <w:proofErr w:type="spellStart"/>
      <w:r w:rsidRPr="008D675E">
        <w:rPr>
          <w:i/>
        </w:rPr>
        <w:t>markets</w:t>
      </w:r>
      <w:proofErr w:type="spellEnd"/>
      <w:r w:rsidRPr="008D675E">
        <w:rPr>
          <w:i/>
        </w:rPr>
        <w:t xml:space="preserve"> a </w:t>
      </w:r>
      <w:proofErr w:type="spellStart"/>
      <w:r w:rsidRPr="008D675E">
        <w:rPr>
          <w:i/>
        </w:rPr>
        <w:t>history</w:t>
      </w:r>
      <w:proofErr w:type="spellEnd"/>
      <w:r w:rsidRPr="008D675E">
        <w:rPr>
          <w:i/>
        </w:rPr>
        <w:t xml:space="preserve"> of </w:t>
      </w:r>
      <w:proofErr w:type="spellStart"/>
      <w:r w:rsidRPr="008D675E">
        <w:rPr>
          <w:i/>
        </w:rPr>
        <w:t>the</w:t>
      </w:r>
      <w:proofErr w:type="spellEnd"/>
      <w:r w:rsidRPr="008D675E">
        <w:rPr>
          <w:i/>
        </w:rPr>
        <w:t xml:space="preserve"> International </w:t>
      </w:r>
      <w:proofErr w:type="spellStart"/>
      <w:r w:rsidRPr="008D675E">
        <w:rPr>
          <w:i/>
        </w:rPr>
        <w:t>Accounting</w:t>
      </w:r>
      <w:proofErr w:type="spellEnd"/>
      <w:r w:rsidRPr="008D675E">
        <w:rPr>
          <w:i/>
        </w:rPr>
        <w:t xml:space="preserve"> </w:t>
      </w:r>
      <w:proofErr w:type="spellStart"/>
      <w:r w:rsidRPr="008D675E">
        <w:rPr>
          <w:i/>
        </w:rPr>
        <w:t>Standards</w:t>
      </w:r>
      <w:proofErr w:type="spellEnd"/>
      <w:r w:rsidRPr="008D675E">
        <w:rPr>
          <w:i/>
        </w:rPr>
        <w:t xml:space="preserve"> </w:t>
      </w:r>
      <w:proofErr w:type="spellStart"/>
      <w:r w:rsidRPr="008D675E">
        <w:rPr>
          <w:i/>
        </w:rPr>
        <w:t>Committee</w:t>
      </w:r>
      <w:proofErr w:type="spellEnd"/>
      <w:r w:rsidRPr="008D675E">
        <w:rPr>
          <w:i/>
        </w:rPr>
        <w:t>, 1973-2000</w:t>
      </w:r>
      <w:r>
        <w:t xml:space="preserve">, escrito por </w:t>
      </w:r>
      <w:proofErr w:type="spellStart"/>
      <w:r w:rsidRPr="00101E8A">
        <w:t>Kees</w:t>
      </w:r>
      <w:proofErr w:type="spellEnd"/>
      <w:r w:rsidRPr="00101E8A">
        <w:t xml:space="preserve"> </w:t>
      </w:r>
      <w:proofErr w:type="spellStart"/>
      <w:r>
        <w:t>Camfferman</w:t>
      </w:r>
      <w:proofErr w:type="spellEnd"/>
      <w:r>
        <w:t xml:space="preserve">, </w:t>
      </w:r>
      <w:r>
        <w:lastRenderedPageBreak/>
        <w:t xml:space="preserve">publicado por </w:t>
      </w:r>
      <w:r w:rsidRPr="00101E8A">
        <w:t xml:space="preserve">Oxford </w:t>
      </w:r>
      <w:proofErr w:type="spellStart"/>
      <w:r w:rsidRPr="00101E8A">
        <w:t>University</w:t>
      </w:r>
      <w:proofErr w:type="spellEnd"/>
      <w:r w:rsidRPr="00101E8A">
        <w:t xml:space="preserve"> </w:t>
      </w:r>
      <w:proofErr w:type="spellStart"/>
      <w:r w:rsidRPr="00101E8A">
        <w:t>Press</w:t>
      </w:r>
      <w:proofErr w:type="spellEnd"/>
      <w:r>
        <w:t xml:space="preserve"> en 2007.</w:t>
      </w:r>
      <w:r w:rsidR="008D675E">
        <w:t xml:space="preserve"> Sus </w:t>
      </w:r>
      <w:r w:rsidR="008D675E" w:rsidRPr="008D675E">
        <w:t>676</w:t>
      </w:r>
      <w:r w:rsidR="008D675E">
        <w:t xml:space="preserve"> páginas dan cuenta del camino recorrido por lo que empezó como un grupo de trabajo </w:t>
      </w:r>
      <w:r w:rsidR="00516BC1">
        <w:t>para</w:t>
      </w:r>
      <w:r w:rsidR="008D675E">
        <w:t xml:space="preserve"> convertirse</w:t>
      </w:r>
      <w:r w:rsidR="00967211">
        <w:t>,</w:t>
      </w:r>
      <w:r w:rsidR="008D675E">
        <w:t xml:space="preserve"> </w:t>
      </w:r>
      <w:r w:rsidR="00516BC1">
        <w:t>luego</w:t>
      </w:r>
      <w:r w:rsidR="008D675E">
        <w:t xml:space="preserve"> </w:t>
      </w:r>
      <w:r w:rsidR="00805B9C">
        <w:t>del período explicado en el libro</w:t>
      </w:r>
      <w:r w:rsidR="00967211">
        <w:t>,</w:t>
      </w:r>
      <w:r w:rsidR="00805B9C">
        <w:t xml:space="preserve"> </w:t>
      </w:r>
      <w:r w:rsidR="008D675E">
        <w:t>en un cuerpo autónomo incrustado dentro una fundación, monitoreado por supervisores del mercado de capitales.</w:t>
      </w:r>
      <w:r w:rsidR="00967211">
        <w:t xml:space="preserve"> </w:t>
      </w:r>
      <w:r w:rsidR="00F66B46">
        <w:t>Los cambios no se limitan a la estructura del organismo. Hay muchas modificaciones de objetivos, de métodos, de formas de expresión, de alcance, etc.</w:t>
      </w:r>
      <w:r w:rsidR="005E30AF">
        <w:t xml:space="preserve"> Precisamente el año 2000 marca un cambio de rumbo significativo.</w:t>
      </w:r>
    </w:p>
    <w:p w:rsidR="002F0CED" w:rsidRDefault="005E30AF" w:rsidP="005E30AF">
      <w:r>
        <w:t xml:space="preserve">Los cambios no han cesado. En su documento </w:t>
      </w:r>
      <w:hyperlink r:id="rId11" w:history="1">
        <w:r w:rsidRPr="005E30AF">
          <w:rPr>
            <w:rStyle w:val="Hyperlink"/>
            <w:i/>
          </w:rPr>
          <w:t>Petición de Opiniones ― Consulta de la Agenda de 2015</w:t>
        </w:r>
      </w:hyperlink>
      <w:r>
        <w:t xml:space="preserve">, IASB anota: “(…) </w:t>
      </w:r>
      <w:r w:rsidRPr="005E30AF">
        <w:rPr>
          <w:i/>
        </w:rPr>
        <w:t>12 El enfoque del IASB a la emisión de normas ha evolucionado de forma significativa desde la última Consulta de la Agenda. El IASB recibió un claro mensaje entonces según el cual los agentes interesados querían que la emisión de normas se basase de forma más clara en pruebas. Aquellos que respondieron sugirieron que la investigación debería tener como objetivo ofrecer pruebas acerca de la necesidad de cambio antes de que el IASB comience un nuevo proyecto a nivel de Normas.</w:t>
      </w:r>
      <w:r>
        <w:t xml:space="preserve"> (…)”.</w:t>
      </w:r>
      <w:r w:rsidR="00B228F9">
        <w:t xml:space="preserve"> </w:t>
      </w:r>
      <w:r w:rsidR="002F0CED">
        <w:t xml:space="preserve">Precisamente el conocimiento de los problemas que luego se pretende solucionar con las normas, es el presupuesto del elemento lógico de interpretación, uno de los instrumentos básicos de una buena hermenéutica. </w:t>
      </w:r>
      <w:r w:rsidR="00B228F9">
        <w:t>He aquí u</w:t>
      </w:r>
      <w:r w:rsidR="003419F7">
        <w:t>n</w:t>
      </w:r>
      <w:r w:rsidR="00B228F9">
        <w:t xml:space="preserve"> nuevo enfoque: estudiar las normas a partir de las causas que las originaron.</w:t>
      </w:r>
    </w:p>
    <w:p w:rsidR="00B228F9" w:rsidRPr="00B228F9" w:rsidRDefault="00B228F9" w:rsidP="00B228F9">
      <w:pPr>
        <w:jc w:val="right"/>
        <w:rPr>
          <w:i/>
        </w:rPr>
      </w:pPr>
      <w:r w:rsidRPr="00B228F9">
        <w:rPr>
          <w:i/>
        </w:rPr>
        <w:t>Hernando Bermúdez Gómez</w:t>
      </w:r>
    </w:p>
    <w:sectPr w:rsidR="00B228F9" w:rsidRPr="00B228F9"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BA" w:rsidRDefault="00C034BA" w:rsidP="00EE7812">
      <w:pPr>
        <w:spacing w:after="0" w:line="240" w:lineRule="auto"/>
      </w:pPr>
      <w:r>
        <w:separator/>
      </w:r>
    </w:p>
  </w:endnote>
  <w:endnote w:type="continuationSeparator" w:id="0">
    <w:p w:rsidR="00C034BA" w:rsidRDefault="00C034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BA" w:rsidRDefault="00C034BA" w:rsidP="00EE7812">
      <w:pPr>
        <w:spacing w:after="0" w:line="240" w:lineRule="auto"/>
      </w:pPr>
      <w:r>
        <w:separator/>
      </w:r>
    </w:p>
  </w:footnote>
  <w:footnote w:type="continuationSeparator" w:id="0">
    <w:p w:rsidR="00C034BA" w:rsidRDefault="00C034B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D521C4" w:rsidP="00613BC8">
    <w:pPr>
      <w:pStyle w:val="Header"/>
      <w:tabs>
        <w:tab w:val="left" w:pos="2580"/>
        <w:tab w:val="left" w:pos="2985"/>
      </w:tabs>
      <w:spacing w:line="276" w:lineRule="auto"/>
      <w:jc w:val="right"/>
    </w:pPr>
    <w:r>
      <w:t>Número 1608</w:t>
    </w:r>
    <w:r w:rsidR="00CC5FBD">
      <w:t xml:space="preserve">, </w:t>
    </w:r>
    <w:r w:rsidR="00865248">
      <w:t>octubre</w:t>
    </w:r>
    <w:r w:rsidR="00CC5FBD">
      <w:t xml:space="preserve"> </w:t>
    </w:r>
    <w:r w:rsidR="008F068A">
      <w:t>19</w:t>
    </w:r>
    <w:r w:rsidR="00CC5FBD">
      <w:t xml:space="preserve"> de 2015</w:t>
    </w:r>
  </w:p>
  <w:p w:rsidR="00CC5FBD" w:rsidRDefault="00C034B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6DD"/>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5B9C"/>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4BA"/>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350"/>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Current-Projects/IASB-Projects/IASB-agenda-consultation/2015-agenda-consultation/Documents/RFV_Agenda%20Consultation_Sept%202015_Spanish_WEBSIT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ltiempo.com/bogota/libro-impreso-aumenta-sus-ventas/16400965" TargetMode="External"/><Relationship Id="rId4" Type="http://schemas.microsoft.com/office/2007/relationships/stylesWithEffects" Target="stylesWithEffects.xml"/><Relationship Id="rId9" Type="http://schemas.openxmlformats.org/officeDocument/2006/relationships/hyperlink" Target="http://shop.ifrs.org/ProductCatalog/Product.aspx?ID=18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BCFBBB1-7C15-4CF7-B66C-C90417A4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2015-10-18T22:51:00Z</dcterms:created>
  <dcterms:modified xsi:type="dcterms:W3CDTF">2015-10-18T22:51:00Z</dcterms:modified>
</cp:coreProperties>
</file>