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50" w:rsidRPr="00047450" w:rsidRDefault="00047450" w:rsidP="0004745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047450">
        <w:rPr>
          <w:position w:val="-8"/>
          <w:sz w:val="120"/>
        </w:rPr>
        <w:t>C</w:t>
      </w:r>
    </w:p>
    <w:p w:rsidR="00047450" w:rsidRPr="00047450" w:rsidRDefault="00047450" w:rsidP="00047450">
      <w:r w:rsidRPr="00047450">
        <w:t xml:space="preserve">ontinuando con el propósito de ayudar a una mejor comprensión de las Normas Internacionales de Información Financiera por parte de sus lectores, se comentan a continuación otros desaciertos en la traducción, distintos a los referenciados en los números </w:t>
      </w:r>
      <w:hyperlink r:id="rId9" w:history="1">
        <w:r w:rsidRPr="00047450">
          <w:rPr>
            <w:rStyle w:val="Hyperlink"/>
          </w:rPr>
          <w:t>1573</w:t>
        </w:r>
      </w:hyperlink>
      <w:r w:rsidRPr="00047450">
        <w:t xml:space="preserve"> y </w:t>
      </w:r>
      <w:hyperlink r:id="rId10" w:history="1">
        <w:r w:rsidRPr="00047450">
          <w:rPr>
            <w:rStyle w:val="Hyperlink"/>
          </w:rPr>
          <w:t>1601</w:t>
        </w:r>
      </w:hyperlink>
      <w:r w:rsidRPr="00047450">
        <w:t xml:space="preserve"> de Contrapartida.</w:t>
      </w:r>
    </w:p>
    <w:p w:rsidR="00047450" w:rsidRPr="00047450" w:rsidRDefault="00047450" w:rsidP="00047450">
      <w:r w:rsidRPr="00047450">
        <w:t>En esta ocasión se presentarán algunos apartes de la traducción de la Norma Internacional de Información Financiera para las pequeñas y medianas entidades.</w:t>
      </w:r>
    </w:p>
    <w:p w:rsidR="00047450" w:rsidRPr="00047450" w:rsidRDefault="00047450" w:rsidP="00047450">
      <w:pPr>
        <w:rPr>
          <w:lang w:val="en-US"/>
        </w:rPr>
      </w:pPr>
      <w:r w:rsidRPr="00047450">
        <w:rPr>
          <w:lang w:val="en-US"/>
        </w:rPr>
        <w:t xml:space="preserve">El </w:t>
      </w:r>
      <w:proofErr w:type="spellStart"/>
      <w:r w:rsidRPr="00047450">
        <w:rPr>
          <w:lang w:val="en-US"/>
        </w:rPr>
        <w:t>párrafo</w:t>
      </w:r>
      <w:proofErr w:type="spellEnd"/>
      <w:r w:rsidRPr="00047450">
        <w:rPr>
          <w:lang w:val="en-US"/>
        </w:rPr>
        <w:t xml:space="preserve"> 16.1 </w:t>
      </w:r>
      <w:proofErr w:type="spellStart"/>
      <w:r w:rsidRPr="00047450">
        <w:rPr>
          <w:lang w:val="en-US"/>
        </w:rPr>
        <w:t>establece</w:t>
      </w:r>
      <w:proofErr w:type="spellEnd"/>
      <w:r w:rsidRPr="00047450">
        <w:rPr>
          <w:lang w:val="en-US"/>
        </w:rPr>
        <w:t>:</w:t>
      </w:r>
    </w:p>
    <w:p w:rsidR="00047450" w:rsidRPr="00047450" w:rsidRDefault="00047450" w:rsidP="00047450">
      <w:pPr>
        <w:rPr>
          <w:i/>
          <w:lang w:val="en-US"/>
        </w:rPr>
      </w:pPr>
      <w:r w:rsidRPr="00047450">
        <w:rPr>
          <w:i/>
          <w:lang w:val="en-US"/>
        </w:rPr>
        <w:t xml:space="preserve">“Only investment property whose fair value can be measured reliably without </w:t>
      </w:r>
      <w:r w:rsidRPr="00047450">
        <w:rPr>
          <w:b/>
          <w:i/>
          <w:u w:val="single"/>
          <w:lang w:val="en-US"/>
        </w:rPr>
        <w:t>undue cost or effort on an ongoing basis</w:t>
      </w:r>
      <w:r w:rsidRPr="00047450">
        <w:rPr>
          <w:i/>
          <w:lang w:val="en-US"/>
        </w:rPr>
        <w:t xml:space="preserve"> is accounted for in accordance with this section at fair value through profit or loss.”</w:t>
      </w:r>
    </w:p>
    <w:p w:rsidR="00047450" w:rsidRPr="00047450" w:rsidRDefault="00047450" w:rsidP="00047450">
      <w:pPr>
        <w:rPr>
          <w:lang w:val="es-ES"/>
        </w:rPr>
      </w:pPr>
      <w:r w:rsidRPr="00047450">
        <w:rPr>
          <w:lang w:val="es-ES"/>
        </w:rPr>
        <w:t>La versión oficial en español</w:t>
      </w:r>
      <w:r w:rsidR="00647D6C">
        <w:rPr>
          <w:lang w:val="es-ES"/>
        </w:rPr>
        <w:t xml:space="preserve"> </w:t>
      </w:r>
      <w:r w:rsidRPr="00047450">
        <w:rPr>
          <w:lang w:val="es-ES"/>
        </w:rPr>
        <w:t>afirma:</w:t>
      </w:r>
    </w:p>
    <w:p w:rsidR="00047450" w:rsidRPr="00047450" w:rsidRDefault="00047450" w:rsidP="00047450">
      <w:pPr>
        <w:rPr>
          <w:i/>
          <w:lang w:val="es-ES"/>
        </w:rPr>
      </w:pPr>
      <w:r w:rsidRPr="00047450">
        <w:rPr>
          <w:i/>
          <w:lang w:val="es-ES"/>
        </w:rPr>
        <w:t xml:space="preserve">“Solo las propiedades de inversión cuyo valor razonable se puede medir con fiabilidad sin </w:t>
      </w:r>
      <w:r w:rsidRPr="00047450">
        <w:rPr>
          <w:b/>
          <w:i/>
          <w:u w:val="single"/>
          <w:lang w:val="es-ES"/>
        </w:rPr>
        <w:t>costo o esfuerzo desproporcionado, y en un contexto de negocio en marcha</w:t>
      </w:r>
      <w:r w:rsidRPr="00047450">
        <w:rPr>
          <w:i/>
          <w:lang w:val="es-ES"/>
        </w:rPr>
        <w:t>,”</w:t>
      </w:r>
    </w:p>
    <w:p w:rsidR="00047450" w:rsidRPr="00047450" w:rsidRDefault="00047450" w:rsidP="00047450">
      <w:pPr>
        <w:rPr>
          <w:lang w:val="es-ES"/>
        </w:rPr>
      </w:pPr>
      <w:r w:rsidRPr="00047450">
        <w:rPr>
          <w:lang w:val="es-ES"/>
        </w:rPr>
        <w:t xml:space="preserve">En mi opinión, no es adecuado traducir </w:t>
      </w:r>
      <w:r w:rsidRPr="00047450">
        <w:rPr>
          <w:i/>
          <w:lang w:val="es-ES"/>
        </w:rPr>
        <w:t>“</w:t>
      </w:r>
      <w:proofErr w:type="spellStart"/>
      <w:r w:rsidRPr="00047450">
        <w:rPr>
          <w:i/>
          <w:lang w:val="es-ES"/>
        </w:rPr>
        <w:t>ongoing</w:t>
      </w:r>
      <w:proofErr w:type="spellEnd"/>
      <w:r w:rsidRPr="00047450">
        <w:rPr>
          <w:i/>
          <w:lang w:val="es-ES"/>
        </w:rPr>
        <w:t xml:space="preserve"> </w:t>
      </w:r>
      <w:proofErr w:type="spellStart"/>
      <w:r w:rsidRPr="00047450">
        <w:rPr>
          <w:i/>
          <w:lang w:val="es-ES"/>
        </w:rPr>
        <w:t>basis</w:t>
      </w:r>
      <w:proofErr w:type="spellEnd"/>
      <w:r w:rsidRPr="00047450">
        <w:rPr>
          <w:i/>
          <w:lang w:val="es-ES"/>
        </w:rPr>
        <w:t>”</w:t>
      </w:r>
      <w:r w:rsidRPr="00047450">
        <w:rPr>
          <w:lang w:val="es-ES"/>
        </w:rPr>
        <w:t xml:space="preserve"> como </w:t>
      </w:r>
      <w:r w:rsidRPr="00047450">
        <w:rPr>
          <w:i/>
          <w:lang w:val="es-ES"/>
        </w:rPr>
        <w:t>“negocio en marcha”</w:t>
      </w:r>
      <w:r w:rsidRPr="00047450">
        <w:rPr>
          <w:lang w:val="es-ES"/>
        </w:rPr>
        <w:t xml:space="preserve"> puesto que este último concepto tiene una definición distinta dentro del contexto de las NIIF.</w:t>
      </w:r>
      <w:r w:rsidR="00647D6C">
        <w:rPr>
          <w:lang w:val="es-ES"/>
        </w:rPr>
        <w:t xml:space="preserve"> </w:t>
      </w:r>
      <w:r w:rsidRPr="00047450">
        <w:rPr>
          <w:lang w:val="es-ES"/>
        </w:rPr>
        <w:t>En este caso, el concepto de “</w:t>
      </w:r>
      <w:proofErr w:type="spellStart"/>
      <w:r w:rsidRPr="00047450">
        <w:rPr>
          <w:i/>
          <w:lang w:val="es-ES"/>
        </w:rPr>
        <w:t>ongoing</w:t>
      </w:r>
      <w:proofErr w:type="spellEnd"/>
      <w:r w:rsidRPr="00047450">
        <w:rPr>
          <w:i/>
          <w:lang w:val="es-ES"/>
        </w:rPr>
        <w:t xml:space="preserve"> </w:t>
      </w:r>
      <w:proofErr w:type="spellStart"/>
      <w:r w:rsidRPr="00047450">
        <w:rPr>
          <w:i/>
          <w:lang w:val="es-ES"/>
        </w:rPr>
        <w:t>basis</w:t>
      </w:r>
      <w:proofErr w:type="spellEnd"/>
      <w:r w:rsidRPr="00047450">
        <w:rPr>
          <w:lang w:val="es-ES"/>
        </w:rPr>
        <w:t xml:space="preserve">” se refiere a la posibilidad de medir de manera fiable una partida de propiedades de inversión (sin costo o esfuerzo desproporcionado) de una </w:t>
      </w:r>
      <w:r w:rsidRPr="00047450">
        <w:rPr>
          <w:b/>
          <w:u w:val="single"/>
          <w:lang w:val="es-ES"/>
        </w:rPr>
        <w:t>manera continua</w:t>
      </w:r>
      <w:r w:rsidRPr="00047450">
        <w:rPr>
          <w:lang w:val="es-ES"/>
        </w:rPr>
        <w:t xml:space="preserve">. </w:t>
      </w:r>
    </w:p>
    <w:p w:rsidR="00047450" w:rsidRPr="00047450" w:rsidRDefault="00047450" w:rsidP="00047450">
      <w:pPr>
        <w:rPr>
          <w:lang w:val="es-ES"/>
        </w:rPr>
      </w:pPr>
      <w:r w:rsidRPr="00047450">
        <w:rPr>
          <w:lang w:val="es-ES"/>
        </w:rPr>
        <w:t>También se encuentra un error importante en la traducción al español de las recientes</w:t>
      </w:r>
      <w:r w:rsidR="00647D6C">
        <w:rPr>
          <w:lang w:val="es-ES"/>
        </w:rPr>
        <w:t xml:space="preserve"> </w:t>
      </w:r>
      <w:r w:rsidRPr="00047450">
        <w:rPr>
          <w:lang w:val="es-ES"/>
        </w:rPr>
        <w:t>modificaciones a la NIIF para las PYMES:</w:t>
      </w:r>
    </w:p>
    <w:p w:rsidR="00047450" w:rsidRPr="00047450" w:rsidRDefault="00047450" w:rsidP="00047450">
      <w:pPr>
        <w:rPr>
          <w:lang w:val="es-ES"/>
        </w:rPr>
      </w:pPr>
      <w:r w:rsidRPr="00047450">
        <w:rPr>
          <w:lang w:val="es-ES"/>
        </w:rPr>
        <w:lastRenderedPageBreak/>
        <w:t xml:space="preserve">El párrafo 29.13 propone algunos ejemplos de situaciones en las cuales surgen diferencias </w:t>
      </w:r>
      <w:r w:rsidRPr="00047450">
        <w:rPr>
          <w:i/>
          <w:lang w:val="es-ES"/>
        </w:rPr>
        <w:t xml:space="preserve">“temporarias” </w:t>
      </w:r>
      <w:r w:rsidRPr="00047450">
        <w:rPr>
          <w:lang w:val="es-ES"/>
        </w:rPr>
        <w:t>y luego concluye:</w:t>
      </w:r>
    </w:p>
    <w:p w:rsidR="00047450" w:rsidRPr="00047450" w:rsidRDefault="00047450" w:rsidP="00047450">
      <w:pPr>
        <w:rPr>
          <w:i/>
          <w:lang w:val="en-US"/>
        </w:rPr>
      </w:pPr>
      <w:proofErr w:type="gramStart"/>
      <w:r w:rsidRPr="00047450">
        <w:rPr>
          <w:i/>
          <w:lang w:val="en-US"/>
        </w:rPr>
        <w:t xml:space="preserve">“ </w:t>
      </w:r>
      <w:r w:rsidRPr="00047450">
        <w:rPr>
          <w:b/>
          <w:i/>
          <w:u w:val="single"/>
          <w:lang w:val="en-US"/>
        </w:rPr>
        <w:t>Not</w:t>
      </w:r>
      <w:proofErr w:type="gramEnd"/>
      <w:r w:rsidRPr="00047450">
        <w:rPr>
          <w:b/>
          <w:i/>
          <w:u w:val="single"/>
          <w:lang w:val="en-US"/>
        </w:rPr>
        <w:t xml:space="preserve"> all</w:t>
      </w:r>
      <w:r w:rsidRPr="00047450">
        <w:rPr>
          <w:i/>
          <w:lang w:val="en-US"/>
        </w:rPr>
        <w:t xml:space="preserve"> the above temporary differences will give rise to deferred tax assets and liabilities (see paragraphs 29.14 </w:t>
      </w:r>
      <w:r w:rsidRPr="00047450">
        <w:rPr>
          <w:b/>
          <w:i/>
          <w:u w:val="single"/>
          <w:lang w:val="en-US"/>
        </w:rPr>
        <w:t>and</w:t>
      </w:r>
      <w:r w:rsidRPr="00047450">
        <w:rPr>
          <w:i/>
          <w:lang w:val="en-US"/>
        </w:rPr>
        <w:t xml:space="preserve"> 29.16)”.</w:t>
      </w:r>
    </w:p>
    <w:p w:rsidR="00047450" w:rsidRPr="00047450" w:rsidRDefault="00047450" w:rsidP="00047450">
      <w:pPr>
        <w:rPr>
          <w:lang w:val="es-ES"/>
        </w:rPr>
      </w:pPr>
      <w:r w:rsidRPr="00047450">
        <w:rPr>
          <w:lang w:val="es-ES"/>
        </w:rPr>
        <w:t>La traducción al español afirma:</w:t>
      </w:r>
    </w:p>
    <w:p w:rsidR="00047450" w:rsidRPr="00047450" w:rsidRDefault="00047450" w:rsidP="00047450">
      <w:pPr>
        <w:rPr>
          <w:i/>
          <w:lang w:val="es-ES"/>
        </w:rPr>
      </w:pPr>
      <w:proofErr w:type="gramStart"/>
      <w:r w:rsidRPr="00047450">
        <w:rPr>
          <w:b/>
          <w:i/>
          <w:u w:val="single"/>
          <w:lang w:val="es-ES"/>
        </w:rPr>
        <w:t>“ Ninguna</w:t>
      </w:r>
      <w:proofErr w:type="gramEnd"/>
      <w:r w:rsidRPr="00047450">
        <w:rPr>
          <w:i/>
          <w:lang w:val="es-ES"/>
        </w:rPr>
        <w:t xml:space="preserve"> de las diferencias temporarias anteriores dará lugar a activos y pasivos por impuestos diferidos (véanse los párrafos 29.14 </w:t>
      </w:r>
      <w:r w:rsidRPr="00047450">
        <w:rPr>
          <w:b/>
          <w:i/>
          <w:u w:val="single"/>
          <w:lang w:val="es-ES"/>
        </w:rPr>
        <w:t>a</w:t>
      </w:r>
      <w:r w:rsidRPr="00047450">
        <w:rPr>
          <w:i/>
          <w:lang w:val="es-ES"/>
        </w:rPr>
        <w:t xml:space="preserve"> 29.16)”.</w:t>
      </w:r>
    </w:p>
    <w:p w:rsidR="00047450" w:rsidRPr="00047450" w:rsidRDefault="00047450" w:rsidP="00047450">
      <w:pPr>
        <w:rPr>
          <w:lang w:val="es-ES"/>
        </w:rPr>
      </w:pPr>
      <w:r w:rsidRPr="00047450">
        <w:rPr>
          <w:lang w:val="es-ES"/>
        </w:rPr>
        <w:t xml:space="preserve">Como se observa, la traducción adecuada debería ser </w:t>
      </w:r>
      <w:r w:rsidRPr="00047450">
        <w:rPr>
          <w:b/>
          <w:u w:val="single"/>
          <w:lang w:val="es-ES"/>
        </w:rPr>
        <w:t xml:space="preserve">“no todas” </w:t>
      </w:r>
      <w:r w:rsidRPr="00047450">
        <w:rPr>
          <w:lang w:val="es-ES"/>
        </w:rPr>
        <w:t>y no “</w:t>
      </w:r>
      <w:r w:rsidRPr="00047450">
        <w:rPr>
          <w:b/>
          <w:u w:val="single"/>
          <w:lang w:val="es-ES"/>
        </w:rPr>
        <w:t>ninguna de”</w:t>
      </w:r>
      <w:r w:rsidRPr="00047450">
        <w:rPr>
          <w:lang w:val="es-ES"/>
        </w:rPr>
        <w:t xml:space="preserve"> como aparece en la versión en español, puesto que se está cambiando totalmente el sentido del párrafo.</w:t>
      </w:r>
      <w:r w:rsidR="00647D6C">
        <w:rPr>
          <w:lang w:val="es-ES"/>
        </w:rPr>
        <w:t xml:space="preserve"> </w:t>
      </w:r>
      <w:r w:rsidRPr="00047450">
        <w:rPr>
          <w:lang w:val="es-ES"/>
        </w:rPr>
        <w:t xml:space="preserve">Quien no conozca de este error en la traducción concluiría que en los casos enunciados no se generarían activos o pasivos por impuestos diferidos. En cambio, el verdadero propósito del párrafo es aclarar que </w:t>
      </w:r>
      <w:r w:rsidRPr="00047450">
        <w:rPr>
          <w:b/>
          <w:u w:val="single"/>
          <w:lang w:val="es-ES"/>
        </w:rPr>
        <w:t>no en todos</w:t>
      </w:r>
      <w:r w:rsidRPr="00047450">
        <w:rPr>
          <w:lang w:val="es-ES"/>
        </w:rPr>
        <w:t xml:space="preserve"> los casos las diferencias temporarias generan activos o pasivos por impuestos diferidos debido a las excepciones previstas en los párrafos 29.14 y 29.16.</w:t>
      </w:r>
    </w:p>
    <w:p w:rsidR="00AD63F4" w:rsidRPr="006F04EE" w:rsidRDefault="00047450" w:rsidP="00647D6C">
      <w:pPr>
        <w:jc w:val="right"/>
      </w:pPr>
      <w:r w:rsidRPr="00047450">
        <w:rPr>
          <w:i/>
        </w:rPr>
        <w:t>Edgar Emilio Salazar Baquero</w:t>
      </w:r>
    </w:p>
    <w:sectPr w:rsidR="00AD63F4" w:rsidRPr="006F04E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07" w:rsidRDefault="00C64F07" w:rsidP="00EE7812">
      <w:pPr>
        <w:spacing w:after="0" w:line="240" w:lineRule="auto"/>
      </w:pPr>
      <w:r>
        <w:separator/>
      </w:r>
    </w:p>
  </w:endnote>
  <w:endnote w:type="continuationSeparator" w:id="0">
    <w:p w:rsidR="00C64F07" w:rsidRDefault="00C64F0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07" w:rsidRDefault="00C64F07" w:rsidP="00EE7812">
      <w:pPr>
        <w:spacing w:after="0" w:line="240" w:lineRule="auto"/>
      </w:pPr>
      <w:r>
        <w:separator/>
      </w:r>
    </w:p>
  </w:footnote>
  <w:footnote w:type="continuationSeparator" w:id="0">
    <w:p w:rsidR="00C64F07" w:rsidRDefault="00C64F0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6F04E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1649</w:t>
    </w:r>
    <w:r w:rsidR="00CC1CB3">
      <w:t xml:space="preserve">, </w:t>
    </w:r>
    <w:r w:rsidR="00C12804">
      <w:t xml:space="preserve">noviembre </w:t>
    </w:r>
    <w:r w:rsidR="00C229FE">
      <w:t>2</w:t>
    </w:r>
    <w:r w:rsidR="00CC1CB3">
      <w:t xml:space="preserve"> de 2015</w:t>
    </w:r>
  </w:p>
  <w:p w:rsidR="00CC1CB3" w:rsidRDefault="00C64F0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6F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400"/>
    <w:rsid w:val="00031527"/>
    <w:rsid w:val="0003154A"/>
    <w:rsid w:val="00031558"/>
    <w:rsid w:val="0003161D"/>
    <w:rsid w:val="00031BA6"/>
    <w:rsid w:val="00032397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391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6F6C"/>
    <w:rsid w:val="00047450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734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269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234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5B9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75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2D0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EAB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4D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3E7C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5D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5FF"/>
    <w:rsid w:val="00184732"/>
    <w:rsid w:val="00184BB8"/>
    <w:rsid w:val="0018520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E"/>
    <w:rsid w:val="00187D93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04"/>
    <w:rsid w:val="001A11C2"/>
    <w:rsid w:val="001A14E3"/>
    <w:rsid w:val="001A1553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8CC"/>
    <w:rsid w:val="001A6BEB"/>
    <w:rsid w:val="001A6DD8"/>
    <w:rsid w:val="001A6F95"/>
    <w:rsid w:val="001A7021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756"/>
    <w:rsid w:val="001C4AC5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1F8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6BD"/>
    <w:rsid w:val="001D6C13"/>
    <w:rsid w:val="001D6D8E"/>
    <w:rsid w:val="001D6F50"/>
    <w:rsid w:val="001D7122"/>
    <w:rsid w:val="001D732F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18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2A5"/>
    <w:rsid w:val="00204366"/>
    <w:rsid w:val="0020465C"/>
    <w:rsid w:val="002046BD"/>
    <w:rsid w:val="002048CE"/>
    <w:rsid w:val="002049DB"/>
    <w:rsid w:val="00204AEF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1B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562"/>
    <w:rsid w:val="00244AD4"/>
    <w:rsid w:val="00244E6E"/>
    <w:rsid w:val="00245269"/>
    <w:rsid w:val="0024529D"/>
    <w:rsid w:val="002453B0"/>
    <w:rsid w:val="0024542C"/>
    <w:rsid w:val="0024558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EA"/>
    <w:rsid w:val="0026327D"/>
    <w:rsid w:val="00263440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DED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391"/>
    <w:rsid w:val="0029152D"/>
    <w:rsid w:val="0029155F"/>
    <w:rsid w:val="002916CB"/>
    <w:rsid w:val="00291F43"/>
    <w:rsid w:val="00291F99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18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2BD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BD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2F38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EBF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16F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AC3"/>
    <w:rsid w:val="00413CFE"/>
    <w:rsid w:val="00413DF3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3B"/>
    <w:rsid w:val="0045735D"/>
    <w:rsid w:val="00457662"/>
    <w:rsid w:val="00457888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79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0B7E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E3C"/>
    <w:rsid w:val="00493F6F"/>
    <w:rsid w:val="0049403F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2E2B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436"/>
    <w:rsid w:val="004C7577"/>
    <w:rsid w:val="004C77DF"/>
    <w:rsid w:val="004C7893"/>
    <w:rsid w:val="004C7A6D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5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8B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D9"/>
    <w:rsid w:val="004F61B7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6"/>
    <w:rsid w:val="00530588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7C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4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A65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78D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2A6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DF4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E45"/>
    <w:rsid w:val="005F0696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3DC5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97F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58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47D6C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2E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CB1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20A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A76"/>
    <w:rsid w:val="006E3C11"/>
    <w:rsid w:val="006E3C4F"/>
    <w:rsid w:val="006E3CE6"/>
    <w:rsid w:val="006E3EDB"/>
    <w:rsid w:val="006E3EE4"/>
    <w:rsid w:val="006E40D2"/>
    <w:rsid w:val="006E421F"/>
    <w:rsid w:val="006E4415"/>
    <w:rsid w:val="006E4434"/>
    <w:rsid w:val="006E4692"/>
    <w:rsid w:val="006E47E4"/>
    <w:rsid w:val="006E49B8"/>
    <w:rsid w:val="006E4C9A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4EE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5A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3B4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2F1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85A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2EDC"/>
    <w:rsid w:val="007230DA"/>
    <w:rsid w:val="00723274"/>
    <w:rsid w:val="00723536"/>
    <w:rsid w:val="0072374D"/>
    <w:rsid w:val="00723A1F"/>
    <w:rsid w:val="00723D0F"/>
    <w:rsid w:val="0072409E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A99"/>
    <w:rsid w:val="00736EF5"/>
    <w:rsid w:val="00737014"/>
    <w:rsid w:val="00737163"/>
    <w:rsid w:val="00737244"/>
    <w:rsid w:val="00737252"/>
    <w:rsid w:val="00737576"/>
    <w:rsid w:val="0073769A"/>
    <w:rsid w:val="00737788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83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ABC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2F4E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6B6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9DF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75A"/>
    <w:rsid w:val="00846CA6"/>
    <w:rsid w:val="00846CFC"/>
    <w:rsid w:val="00847012"/>
    <w:rsid w:val="0084709D"/>
    <w:rsid w:val="008472CA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6DA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45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291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64B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35"/>
    <w:rsid w:val="00896FBF"/>
    <w:rsid w:val="0089704B"/>
    <w:rsid w:val="008970B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510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1A69"/>
    <w:rsid w:val="008D20B7"/>
    <w:rsid w:val="008D21DF"/>
    <w:rsid w:val="008D2331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7A0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A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38B3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52"/>
    <w:rsid w:val="009E7862"/>
    <w:rsid w:val="009E7B93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3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A0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1B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124"/>
    <w:rsid w:val="00A3624C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196"/>
    <w:rsid w:val="00A523CA"/>
    <w:rsid w:val="00A52460"/>
    <w:rsid w:val="00A5254B"/>
    <w:rsid w:val="00A525B5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7D0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26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A99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58"/>
    <w:rsid w:val="00AD59C8"/>
    <w:rsid w:val="00AD5D52"/>
    <w:rsid w:val="00AD5DF3"/>
    <w:rsid w:val="00AD6363"/>
    <w:rsid w:val="00AD63F4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6B4"/>
    <w:rsid w:val="00B01709"/>
    <w:rsid w:val="00B01BF3"/>
    <w:rsid w:val="00B01CAD"/>
    <w:rsid w:val="00B01E1C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734"/>
    <w:rsid w:val="00B1679A"/>
    <w:rsid w:val="00B167D6"/>
    <w:rsid w:val="00B16874"/>
    <w:rsid w:val="00B16896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81A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5075"/>
    <w:rsid w:val="00B650B3"/>
    <w:rsid w:val="00B65167"/>
    <w:rsid w:val="00B65335"/>
    <w:rsid w:val="00B653DF"/>
    <w:rsid w:val="00B655D0"/>
    <w:rsid w:val="00B65655"/>
    <w:rsid w:val="00B65736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22C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3AF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2D5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05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6E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4D9E"/>
    <w:rsid w:val="00C64F07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49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3DD"/>
    <w:rsid w:val="00CE14D4"/>
    <w:rsid w:val="00CE1A02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F4"/>
    <w:rsid w:val="00D00249"/>
    <w:rsid w:val="00D00543"/>
    <w:rsid w:val="00D00726"/>
    <w:rsid w:val="00D00A91"/>
    <w:rsid w:val="00D00B69"/>
    <w:rsid w:val="00D00BBD"/>
    <w:rsid w:val="00D00D37"/>
    <w:rsid w:val="00D0161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9B6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200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A0D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17D"/>
    <w:rsid w:val="00D808B5"/>
    <w:rsid w:val="00D80ACD"/>
    <w:rsid w:val="00D80C75"/>
    <w:rsid w:val="00D80D77"/>
    <w:rsid w:val="00D80EDD"/>
    <w:rsid w:val="00D8110E"/>
    <w:rsid w:val="00D8112F"/>
    <w:rsid w:val="00D8122B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0F35"/>
    <w:rsid w:val="00DB110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B7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AD8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C42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1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BB0"/>
    <w:rsid w:val="00E80D0D"/>
    <w:rsid w:val="00E80D2A"/>
    <w:rsid w:val="00E8121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85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0FC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BD7"/>
    <w:rsid w:val="00EB159B"/>
    <w:rsid w:val="00EB1693"/>
    <w:rsid w:val="00EB21FE"/>
    <w:rsid w:val="00EB2514"/>
    <w:rsid w:val="00EB2546"/>
    <w:rsid w:val="00EB26DA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0C0"/>
    <w:rsid w:val="00EC21D0"/>
    <w:rsid w:val="00EC23CC"/>
    <w:rsid w:val="00EC26D2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DC5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06F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6AA"/>
    <w:rsid w:val="00F67749"/>
    <w:rsid w:val="00F67A83"/>
    <w:rsid w:val="00F67B4C"/>
    <w:rsid w:val="00F67D24"/>
    <w:rsid w:val="00F67D4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278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262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413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13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DF3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CA8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contrapartida/Contrapartida160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57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E479-57FF-42E5-9058-6F2F0FD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2015-11-01T22:42:00Z</dcterms:created>
  <dcterms:modified xsi:type="dcterms:W3CDTF">2015-11-01T22:42:00Z</dcterms:modified>
</cp:coreProperties>
</file>