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C" w:rsidRPr="00AB669C" w:rsidRDefault="00AB669C" w:rsidP="00AB669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B669C">
        <w:rPr>
          <w:position w:val="-9"/>
          <w:sz w:val="123"/>
        </w:rPr>
        <w:t>E</w:t>
      </w:r>
    </w:p>
    <w:p w:rsidR="00BE1210" w:rsidRDefault="00AB669C" w:rsidP="00211C3C">
      <w:r>
        <w:t xml:space="preserve">n el año 2011, AICPA y CIMA celebraron un </w:t>
      </w:r>
      <w:hyperlink r:id="rId9" w:history="1">
        <w:r w:rsidRPr="00AB669C">
          <w:rPr>
            <w:rStyle w:val="Hyperlink"/>
          </w:rPr>
          <w:t>contrato de colaboración para compartir riesgos</w:t>
        </w:r>
      </w:hyperlink>
      <w:r>
        <w:t xml:space="preserve">, en desarrollo del cual, en el año siguiente, lanzaron la certificación </w:t>
      </w:r>
      <w:hyperlink r:id="rId10" w:history="1">
        <w:proofErr w:type="spellStart"/>
        <w:r w:rsidRPr="00AB669C">
          <w:rPr>
            <w:rStyle w:val="Hyperlink"/>
          </w:rPr>
          <w:t>Chartered</w:t>
        </w:r>
        <w:proofErr w:type="spellEnd"/>
        <w:r w:rsidRPr="00AB669C">
          <w:rPr>
            <w:rStyle w:val="Hyperlink"/>
          </w:rPr>
          <w:t xml:space="preserve"> Global Management </w:t>
        </w:r>
        <w:proofErr w:type="spellStart"/>
        <w:r w:rsidRPr="00AB669C">
          <w:rPr>
            <w:rStyle w:val="Hyperlink"/>
          </w:rPr>
          <w:t>Accountant</w:t>
        </w:r>
        <w:proofErr w:type="spellEnd"/>
        <w:r w:rsidRPr="00AB669C">
          <w:rPr>
            <w:rStyle w:val="Hyperlink"/>
          </w:rPr>
          <w:t xml:space="preserve"> (CGMA)</w:t>
        </w:r>
      </w:hyperlink>
      <w:r>
        <w:t>.</w:t>
      </w:r>
    </w:p>
    <w:p w:rsidR="00ED7DDE" w:rsidRDefault="00ED7DDE" w:rsidP="00211C3C">
      <w:r>
        <w:t xml:space="preserve">La concepción de esta certificación coloca al contador en el cuerpo gerencial; así supera ampliamente el ámbito de la contabilidad de costos, </w:t>
      </w:r>
      <w:r w:rsidR="008D2755">
        <w:t>a la</w:t>
      </w:r>
      <w:r>
        <w:t xml:space="preserve"> cual limitamos repetidamente en Colombia a esta rama de la disciplina contable.</w:t>
      </w:r>
    </w:p>
    <w:p w:rsidR="00AB669C" w:rsidRDefault="00AB669C" w:rsidP="00211C3C">
      <w:r>
        <w:t>Ahora “</w:t>
      </w:r>
      <w:r w:rsidR="00494313">
        <w:t xml:space="preserve">(…) </w:t>
      </w:r>
      <w:proofErr w:type="spellStart"/>
      <w:r w:rsidRPr="00494313">
        <w:rPr>
          <w:i/>
        </w:rPr>
        <w:t>The</w:t>
      </w:r>
      <w:proofErr w:type="spellEnd"/>
      <w:r w:rsidRPr="00494313">
        <w:rPr>
          <w:i/>
        </w:rPr>
        <w:t xml:space="preserve"> American </w:t>
      </w:r>
      <w:proofErr w:type="spellStart"/>
      <w:r w:rsidRPr="00494313">
        <w:rPr>
          <w:i/>
        </w:rPr>
        <w:t>Institute</w:t>
      </w:r>
      <w:proofErr w:type="spellEnd"/>
      <w:r w:rsidRPr="00494313">
        <w:rPr>
          <w:i/>
        </w:rPr>
        <w:t xml:space="preserve"> of </w:t>
      </w:r>
      <w:proofErr w:type="spellStart"/>
      <w:r w:rsidRPr="00494313">
        <w:rPr>
          <w:i/>
        </w:rPr>
        <w:t>CPAs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is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proposing</w:t>
      </w:r>
      <w:proofErr w:type="spellEnd"/>
      <w:r w:rsidRPr="00494313">
        <w:rPr>
          <w:i/>
        </w:rPr>
        <w:t xml:space="preserve"> to </w:t>
      </w:r>
      <w:proofErr w:type="spellStart"/>
      <w:r w:rsidRPr="00494313">
        <w:rPr>
          <w:i/>
        </w:rPr>
        <w:t>join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forces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with</w:t>
      </w:r>
      <w:proofErr w:type="spellEnd"/>
      <w:r w:rsidRPr="00494313">
        <w:rPr>
          <w:i/>
        </w:rPr>
        <w:t xml:space="preserve"> CIMA to </w:t>
      </w:r>
      <w:proofErr w:type="spellStart"/>
      <w:r w:rsidRPr="00494313">
        <w:rPr>
          <w:i/>
        </w:rPr>
        <w:t>create</w:t>
      </w:r>
      <w:proofErr w:type="spellEnd"/>
      <w:r w:rsidRPr="00494313">
        <w:rPr>
          <w:i/>
        </w:rPr>
        <w:t xml:space="preserve"> a </w:t>
      </w:r>
      <w:hyperlink r:id="rId11" w:history="1">
        <w:r w:rsidRPr="00494313">
          <w:rPr>
            <w:rStyle w:val="Hyperlink"/>
            <w:i/>
          </w:rPr>
          <w:t xml:space="preserve">new </w:t>
        </w:r>
        <w:proofErr w:type="spellStart"/>
        <w:r w:rsidRPr="00494313">
          <w:rPr>
            <w:rStyle w:val="Hyperlink"/>
            <w:i/>
          </w:rPr>
          <w:t>accounting</w:t>
        </w:r>
        <w:proofErr w:type="spellEnd"/>
        <w:r w:rsidRPr="00494313">
          <w:rPr>
            <w:rStyle w:val="Hyperlink"/>
            <w:i/>
          </w:rPr>
          <w:t xml:space="preserve"> </w:t>
        </w:r>
        <w:proofErr w:type="spellStart"/>
        <w:r w:rsidRPr="00494313">
          <w:rPr>
            <w:rStyle w:val="Hyperlink"/>
            <w:i/>
          </w:rPr>
          <w:t>association</w:t>
        </w:r>
        <w:proofErr w:type="spellEnd"/>
      </w:hyperlink>
      <w:r w:rsidRPr="00494313">
        <w:rPr>
          <w:i/>
        </w:rPr>
        <w:t xml:space="preserve"> </w:t>
      </w:r>
      <w:proofErr w:type="spellStart"/>
      <w:r w:rsidRPr="00494313">
        <w:rPr>
          <w:i/>
        </w:rPr>
        <w:t>while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continuing</w:t>
      </w:r>
      <w:proofErr w:type="spellEnd"/>
      <w:r w:rsidRPr="00494313">
        <w:rPr>
          <w:i/>
        </w:rPr>
        <w:t xml:space="preserve"> to </w:t>
      </w:r>
      <w:proofErr w:type="spellStart"/>
      <w:r w:rsidRPr="00494313">
        <w:rPr>
          <w:i/>
        </w:rPr>
        <w:t>operate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the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membership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bodies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our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communities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have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long</w:t>
      </w:r>
      <w:proofErr w:type="spellEnd"/>
      <w:r w:rsidRPr="00494313">
        <w:rPr>
          <w:i/>
        </w:rPr>
        <w:t xml:space="preserve"> </w:t>
      </w:r>
      <w:proofErr w:type="spellStart"/>
      <w:r w:rsidRPr="00494313">
        <w:rPr>
          <w:i/>
        </w:rPr>
        <w:t>trusted</w:t>
      </w:r>
      <w:proofErr w:type="spellEnd"/>
      <w:r w:rsidRPr="00494313">
        <w:rPr>
          <w:i/>
        </w:rPr>
        <w:t>.</w:t>
      </w:r>
      <w:r w:rsidR="00494313">
        <w:t xml:space="preserve"> (…)”.</w:t>
      </w:r>
    </w:p>
    <w:p w:rsidR="00494313" w:rsidRDefault="00494313" w:rsidP="00211C3C">
      <w:r>
        <w:t>Esta integración articularía unos 600.000 contadores. Así vendría a ser una de las principales organizaciones contables del mundo.</w:t>
      </w:r>
    </w:p>
    <w:p w:rsidR="00896672" w:rsidRDefault="00896672" w:rsidP="00211C3C">
      <w:r>
        <w:t>La división entre los contadores administrativos y los contadores públicos (aseguradores)</w:t>
      </w:r>
      <w:r w:rsidR="0098732A">
        <w:t>,</w:t>
      </w:r>
      <w:r>
        <w:t xml:space="preserve"> que durante años caracterizó la profesión contable, desaparecería.</w:t>
      </w:r>
      <w:r w:rsidR="00670CDB">
        <w:t xml:space="preserve"> En su lugar habría un trabajo en común.</w:t>
      </w:r>
      <w:r w:rsidR="000F4069">
        <w:t xml:space="preserve"> Como se sabe, el proceso de acercamiento entre las dos prácticas contables (financiera y administrativa) está ocurriendo en varias partes del mundo. Recientemente pusimos de presente la reforma en </w:t>
      </w:r>
      <w:hyperlink r:id="rId12" w:history="1">
        <w:r w:rsidR="000F4069" w:rsidRPr="000F4069">
          <w:rPr>
            <w:rStyle w:val="Hyperlink"/>
          </w:rPr>
          <w:t>Bangladesh</w:t>
        </w:r>
      </w:hyperlink>
      <w:r w:rsidR="000F4069">
        <w:t>.</w:t>
      </w:r>
    </w:p>
    <w:p w:rsidR="009A3A10" w:rsidRDefault="00344C89" w:rsidP="00211C3C">
      <w:r>
        <w:t xml:space="preserve">Una de las cuestiones más interesantes de esta integración es que vincula organizaciones constituidas en distintas </w:t>
      </w:r>
      <w:r w:rsidRPr="000F4069">
        <w:rPr>
          <w:sz w:val="24"/>
        </w:rPr>
        <w:t>jurisdicciones</w:t>
      </w:r>
      <w:r>
        <w:t xml:space="preserve"> (Estados Unidos de América y el Reino Unido).</w:t>
      </w:r>
      <w:r w:rsidR="000F4069">
        <w:t xml:space="preserve"> </w:t>
      </w:r>
    </w:p>
    <w:p w:rsidR="0098732A" w:rsidRDefault="000F4069" w:rsidP="00211C3C">
      <w:r>
        <w:lastRenderedPageBreak/>
        <w:t xml:space="preserve">En Colombia se tuvo el sueño de integrar todas las agremiaciones contables. En la práctica se logró concentrar la mayoría de la profesión en la </w:t>
      </w:r>
      <w:hyperlink r:id="rId13" w:history="1">
        <w:r w:rsidRPr="008008BA">
          <w:rPr>
            <w:rStyle w:val="Hyperlink"/>
          </w:rPr>
          <w:t>Confederación de Asociaciones de Contadores Públicos de Colombia CONFECOP</w:t>
        </w:r>
      </w:hyperlink>
      <w:r>
        <w:t>. Con el tiempo este proyecto languideció.</w:t>
      </w:r>
    </w:p>
    <w:p w:rsidR="008008BA" w:rsidRDefault="003C18B2" w:rsidP="00211C3C">
      <w:r>
        <w:t xml:space="preserve">En una </w:t>
      </w:r>
      <w:hyperlink r:id="rId14" w:anchor="/08646227/9" w:history="1">
        <w:r w:rsidRPr="003C18B2">
          <w:rPr>
            <w:rStyle w:val="Hyperlink"/>
          </w:rPr>
          <w:t>reciente encuesta</w:t>
        </w:r>
      </w:hyperlink>
      <w:r>
        <w:t xml:space="preserve"> se comprobó que la contaduría pública es la práctica dominante de los contadores bajo el manto de IFAC. Mas ya no son la mayoría. El 55% de los profesionales se dedica a otras formas de desempeño.</w:t>
      </w:r>
    </w:p>
    <w:p w:rsidR="003C18B2" w:rsidRDefault="00962D39" w:rsidP="00211C3C">
      <w:r>
        <w:t xml:space="preserve">En países como el nuestro, la principal práctica es la tributaria. La gran mayoría de profesionales es experta en legislación tributaria. </w:t>
      </w:r>
      <w:r w:rsidR="0054251A">
        <w:t>Pero p</w:t>
      </w:r>
      <w:r>
        <w:t>ocos han profundizado en la contabilidad tributaria.</w:t>
      </w:r>
      <w:r w:rsidR="00AF4DE8">
        <w:t xml:space="preserve"> Con todo, para muchos la revisoría fiscal es la más </w:t>
      </w:r>
      <w:r w:rsidR="00B166F1">
        <w:t>compleja</w:t>
      </w:r>
      <w:r w:rsidR="00AF4DE8">
        <w:t xml:space="preserve"> línea de desempeño profesional.</w:t>
      </w:r>
    </w:p>
    <w:p w:rsidR="00245E8E" w:rsidRDefault="000C296C" w:rsidP="00211C3C">
      <w:r>
        <w:t xml:space="preserve">En Colombia los no contadores no distinguen las diferentes prácticas contables. Incluso para muchos contadores, la información gira en torno de la contabilidad financiera. Y para </w:t>
      </w:r>
      <w:r w:rsidR="0024047C">
        <w:t>una gran cantidad de</w:t>
      </w:r>
      <w:r>
        <w:t xml:space="preserve"> empresarios su contabilidad es el resultado de las obligaciones que les impone el Estatuto Tributario. Por eso son importantes proyectos como </w:t>
      </w:r>
      <w:hyperlink r:id="rId15" w:history="1">
        <w:r w:rsidRPr="000C296C">
          <w:rPr>
            <w:rStyle w:val="Hyperlink"/>
          </w:rPr>
          <w:t>RECOGES</w:t>
        </w:r>
      </w:hyperlink>
    </w:p>
    <w:p w:rsidR="00BB5CBD" w:rsidRDefault="0024047C" w:rsidP="00211C3C">
      <w:r>
        <w:t xml:space="preserve">Los contadores administrativos han avanzado mucho en el aprovechamiento de </w:t>
      </w:r>
      <w:hyperlink r:id="rId16" w:history="1">
        <w:r w:rsidRPr="0024047C">
          <w:rPr>
            <w:rStyle w:val="Hyperlink"/>
          </w:rPr>
          <w:t>información no financiera</w:t>
        </w:r>
      </w:hyperlink>
      <w:r>
        <w:t>. Esta habilidad es muy relevante en el escenario del informe integral. Sin duda la contabilidad está evolucionando.</w:t>
      </w:r>
    </w:p>
    <w:p w:rsidR="0024047C" w:rsidRPr="0024047C" w:rsidRDefault="0024047C" w:rsidP="0024047C">
      <w:pPr>
        <w:jc w:val="right"/>
        <w:rPr>
          <w:i/>
        </w:rPr>
      </w:pPr>
      <w:r w:rsidRPr="0024047C">
        <w:rPr>
          <w:i/>
        </w:rPr>
        <w:t>Hernando Bermúdez Gómez</w:t>
      </w:r>
    </w:p>
    <w:sectPr w:rsidR="0024047C" w:rsidRPr="0024047C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D2" w:rsidRDefault="004235D2" w:rsidP="00EE7812">
      <w:pPr>
        <w:spacing w:after="0" w:line="240" w:lineRule="auto"/>
      </w:pPr>
      <w:r>
        <w:separator/>
      </w:r>
    </w:p>
  </w:endnote>
  <w:endnote w:type="continuationSeparator" w:id="0">
    <w:p w:rsidR="004235D2" w:rsidRDefault="004235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D2" w:rsidRDefault="004235D2" w:rsidP="00EE7812">
      <w:pPr>
        <w:spacing w:after="0" w:line="240" w:lineRule="auto"/>
      </w:pPr>
      <w:r>
        <w:separator/>
      </w:r>
    </w:p>
  </w:footnote>
  <w:footnote w:type="continuationSeparator" w:id="0">
    <w:p w:rsidR="004235D2" w:rsidRDefault="004235D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211C3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1652</w:t>
    </w:r>
    <w:r w:rsidR="00CC1CB3">
      <w:t xml:space="preserve">, </w:t>
    </w:r>
    <w:r w:rsidR="00C12804">
      <w:t xml:space="preserve">noviembre </w:t>
    </w:r>
    <w:r>
      <w:t>9</w:t>
    </w:r>
    <w:r w:rsidR="00CC1CB3">
      <w:t xml:space="preserve"> de 2015</w:t>
    </w:r>
  </w:p>
  <w:p w:rsidR="00CC1CB3" w:rsidRDefault="004235D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845"/>
    <w:rsid w:val="002E6A98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8D1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2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BD7"/>
    <w:rsid w:val="00EB159B"/>
    <w:rsid w:val="00EB1693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c.edu.co/villavicencio/prensa/2014/Paginas/Participaci%C3%B3n-XXXI-Conferencia-Interamericana-De-Contabilidad-%E2%80%9CCic%E2%80%9D-Republica-DominicanaA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financialexpress-bd.com/2015/09/29/10960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gma.org/magazine/news/pages/evaluating-a-company-future-worth-201513255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cpa.org/Publications/Newsletters/AICPANewsUpdate/Pages/20151102-SpecialNewsUpdate.aspx?_ga=1.193997925.916622381.14436268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c.edu.co/index.php?option=com_flexicontent&amp;view=items&amp;id=2548:2015-02-25-21-29-03" TargetMode="External"/><Relationship Id="rId10" Type="http://schemas.openxmlformats.org/officeDocument/2006/relationships/hyperlink" Target="http://www.aicpa.org/membership/pages/cgma-designation.asp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gma.org/AboutUs/TheJointVenture/Pages/default.aspx" TargetMode="External"/><Relationship Id="rId14" Type="http://schemas.openxmlformats.org/officeDocument/2006/relationships/hyperlink" Target="https://secure.viewer.zmags.com/publication/08646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B869-D4D4-4058-9E6B-7C42D831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2015-11-08T21:27:00Z</dcterms:created>
  <dcterms:modified xsi:type="dcterms:W3CDTF">2015-11-08T21:27:00Z</dcterms:modified>
</cp:coreProperties>
</file>