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6A" w:rsidRPr="00EF696A" w:rsidRDefault="00EF696A" w:rsidP="00EF696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EF696A">
        <w:rPr>
          <w:position w:val="-8"/>
          <w:sz w:val="123"/>
        </w:rPr>
        <w:t>F</w:t>
      </w:r>
    </w:p>
    <w:p w:rsidR="00EF696A" w:rsidRDefault="00EF696A" w:rsidP="00EF696A">
      <w:r>
        <w:t xml:space="preserve">inalizando </w:t>
      </w:r>
      <w:r w:rsidR="00F162FD">
        <w:t>el</w:t>
      </w:r>
      <w:r w:rsidR="00A04175" w:rsidRPr="00A04175">
        <w:t xml:space="preserve"> análisis de la calidad, según lo expuesto en el documento </w:t>
      </w:r>
      <w:hyperlink r:id="rId9" w:history="1">
        <w:r w:rsidR="00A04175" w:rsidRPr="00A04175">
          <w:rPr>
            <w:rStyle w:val="Hyperlink"/>
          </w:rPr>
          <w:t>TD/B/C.II/ISAR/73</w:t>
        </w:r>
      </w:hyperlink>
      <w:r w:rsidR="00A04175" w:rsidRPr="00A04175">
        <w:t xml:space="preserve"> presentado a la </w:t>
      </w:r>
      <w:hyperlink r:id="rId10" w:history="1">
        <w:r w:rsidR="00A04175" w:rsidRPr="00A04175">
          <w:rPr>
            <w:rStyle w:val="Hyperlink"/>
          </w:rPr>
          <w:t>sesión 32 de ISAR</w:t>
        </w:r>
      </w:hyperlink>
      <w:r w:rsidR="00A04175" w:rsidRPr="00A04175">
        <w:t xml:space="preserve">, la </w:t>
      </w:r>
      <w:r>
        <w:t>séptima</w:t>
      </w:r>
      <w:r w:rsidR="00A04175" w:rsidRPr="00A04175">
        <w:t xml:space="preserve"> condición para que exista calidad en un trabajo de auditoría (de in</w:t>
      </w:r>
      <w:r w:rsidR="00E256D3">
        <w:t xml:space="preserve">formación financiera histórica) </w:t>
      </w:r>
      <w:r>
        <w:t xml:space="preserve">se cumple cuando se </w:t>
      </w:r>
      <w:r w:rsidRPr="00EF696A">
        <w:t>ha mantenido una relación adecuada con las partes interesadas pertinentes</w:t>
      </w:r>
      <w:r>
        <w:t>.</w:t>
      </w:r>
    </w:p>
    <w:p w:rsidR="00EF696A" w:rsidRDefault="00EF696A" w:rsidP="00EF696A">
      <w:r>
        <w:t xml:space="preserve">¿Cuáles son las partes interesadas? ¿Solamente el contratante? </w:t>
      </w:r>
      <w:r w:rsidR="0095498C">
        <w:t xml:space="preserve">¿Los socios mayoritarios? ¿Los socios no controlantes? </w:t>
      </w:r>
      <w:r>
        <w:t>¿Los administradores y/o el comité de auditoría? ¿El auditor interno?</w:t>
      </w:r>
      <w:r w:rsidR="0095498C">
        <w:t xml:space="preserve"> </w:t>
      </w:r>
      <w:r w:rsidR="00C47044">
        <w:t xml:space="preserve">¿El auditor externo precedente? </w:t>
      </w:r>
      <w:r>
        <w:t>¿Las autoridades de supervisión? ¿Los beneficiarios</w:t>
      </w:r>
      <w:r w:rsidR="00AE791D">
        <w:t xml:space="preserve"> de la información</w:t>
      </w:r>
      <w:r>
        <w:t>?</w:t>
      </w:r>
      <w:r w:rsidR="00C47044">
        <w:t xml:space="preserve"> ¿El auditor externo posterior?</w:t>
      </w:r>
      <w:r w:rsidR="00651EFF">
        <w:t xml:space="preserve"> ¿Los gremios de la profesión? ¿La academia contable?</w:t>
      </w:r>
      <w:r w:rsidR="00C53B79">
        <w:t xml:space="preserve"> ¿Los gremios empresariales? ¿El Legislador? ¿El Gobierno?</w:t>
      </w:r>
    </w:p>
    <w:p w:rsidR="0095498C" w:rsidRDefault="0095498C" w:rsidP="00EF696A">
      <w:r>
        <w:t>Los desarrollos en materia de responsabilidad social han recreado el concepto de partes relacionadas.</w:t>
      </w:r>
      <w:r w:rsidR="00F21E11">
        <w:t xml:space="preserve"> Así, por ejemplo, para la </w:t>
      </w:r>
      <w:hyperlink r:id="rId11" w:anchor="iso:std:iso:26000:ed-1:v1:es" w:history="1">
        <w:r w:rsidR="00F21E11" w:rsidRPr="00F21E11">
          <w:rPr>
            <w:rStyle w:val="Hyperlink"/>
          </w:rPr>
          <w:t>ISO 26</w:t>
        </w:r>
        <w:r w:rsidR="00F21E11">
          <w:rPr>
            <w:rStyle w:val="Hyperlink"/>
          </w:rPr>
          <w:t>0</w:t>
        </w:r>
        <w:r w:rsidR="00F21E11" w:rsidRPr="00F21E11">
          <w:rPr>
            <w:rStyle w:val="Hyperlink"/>
          </w:rPr>
          <w:t>00</w:t>
        </w:r>
      </w:hyperlink>
      <w:r w:rsidR="00F21E11">
        <w:t xml:space="preserve"> parte relacionada es todo individuo o grupo que tiene interés en cualquier decisión o actividad de la organización.</w:t>
      </w:r>
      <w:r w:rsidR="00980FB0">
        <w:t xml:space="preserve"> El artículo 26 de </w:t>
      </w:r>
      <w:hyperlink r:id="rId12" w:history="1">
        <w:r w:rsidR="00980FB0" w:rsidRPr="00980FB0">
          <w:rPr>
            <w:rStyle w:val="Hyperlink"/>
          </w:rPr>
          <w:t>la Ley española 22/2015, de 20 de julio, de Auditoría de Cuentas</w:t>
        </w:r>
      </w:hyperlink>
      <w:r w:rsidR="00980FB0">
        <w:t xml:space="preserve">, precisa: “(…) </w:t>
      </w:r>
      <w:r w:rsidR="00980FB0" w:rsidRPr="00980FB0">
        <w:rPr>
          <w:i/>
        </w:rPr>
        <w:t>A estos efectos, se entenderá por tercero cualquier persona física o jurídica, pública o privada, que acredite que actuó o dejó de actuar tomando en consideración el informe de auditoría, siendo éste elemento esencial y apropiado para formar su consentimiento, motivar su actuación o tomar su decisión.</w:t>
      </w:r>
      <w:r w:rsidR="00980FB0">
        <w:t xml:space="preserve"> (…)”. Esta reciente definición “le mete el diente” a uno de los problemas más grandes </w:t>
      </w:r>
      <w:r w:rsidR="00980FB0">
        <w:lastRenderedPageBreak/>
        <w:t>de la práctica</w:t>
      </w:r>
      <w:r w:rsidR="009C2CFC">
        <w:t>,</w:t>
      </w:r>
      <w:r w:rsidR="00980FB0">
        <w:t xml:space="preserve"> cual es la responsabilidad patrimonial ilimitada que consagran algunas legislaciones.</w:t>
      </w:r>
    </w:p>
    <w:p w:rsidR="00F83A91" w:rsidRDefault="00F83A91" w:rsidP="00EF696A">
      <w:r>
        <w:t xml:space="preserve">De manera que la primera cuestión que debe resolver el auditor es quiénes son, en el caso concreto, sus partes relacionadas. </w:t>
      </w:r>
      <w:r w:rsidR="009F1FF4">
        <w:t>Estas pueden ser de inmensa ayuda con sus comentarios para diseñar y mejorar la planeación del trabajo y para identificar hechos significativos para el auditor.</w:t>
      </w:r>
    </w:p>
    <w:p w:rsidR="009F1FF4" w:rsidRDefault="009E4BD3" w:rsidP="00EF696A">
      <w:r>
        <w:t xml:space="preserve">Una relación adecuada respeta el secreto profesional. </w:t>
      </w:r>
      <w:r w:rsidR="00D0504A">
        <w:t>El auditor se cuida que todo su equipo también lo observe.</w:t>
      </w:r>
      <w:r w:rsidR="002732DA">
        <w:t xml:space="preserve"> En ningún caso se crea o difunde información privilegiada a quien no tenga derecho a conocerla.</w:t>
      </w:r>
    </w:p>
    <w:p w:rsidR="002732DA" w:rsidRDefault="002732DA" w:rsidP="00EF696A">
      <w:r>
        <w:t>Una relación adecuada se mantiene dentro las cuestiones profesionales. Esto significa que no se mezcla con relaciones sociales que harían sospechar una pérdida de independencia.</w:t>
      </w:r>
    </w:p>
    <w:p w:rsidR="00AA7706" w:rsidRDefault="00AA7706" w:rsidP="00EF696A">
      <w:r>
        <w:t>Una relación adecuada procura el trato equitativo de los que ocupan una misma posición. Jamás se toma partido por un grupo cuando hay discordia entre partes interesadas.</w:t>
      </w:r>
    </w:p>
    <w:p w:rsidR="00AA7706" w:rsidRDefault="009A175B" w:rsidP="00EF696A">
      <w:r>
        <w:t>Una relación adecuada se basa en la integridad, en forma tal que en todo contacto se obra con sinceridad, con honestidad.</w:t>
      </w:r>
    </w:p>
    <w:p w:rsidR="008E4F09" w:rsidRDefault="008E4F09" w:rsidP="00EF696A">
      <w:r>
        <w:t>Una relación adecuada está debidamente documentada.</w:t>
      </w:r>
      <w:r w:rsidR="00C34243">
        <w:t xml:space="preserve"> Las relaciones informales son equívocas.</w:t>
      </w:r>
    </w:p>
    <w:p w:rsidR="00C34243" w:rsidRDefault="00C34243" w:rsidP="00EF696A">
      <w:r>
        <w:t>En fin: la ética debe reinar en las relaciones.</w:t>
      </w:r>
    </w:p>
    <w:p w:rsidR="00BE4C04" w:rsidRPr="00BE4C04" w:rsidRDefault="00BE4C04" w:rsidP="00EF696A">
      <w:pPr>
        <w:jc w:val="right"/>
        <w:rPr>
          <w:i/>
        </w:rPr>
      </w:pPr>
      <w:r w:rsidRPr="00BE4C04">
        <w:rPr>
          <w:i/>
        </w:rPr>
        <w:t>Hernando Bermúdez Gómez</w:t>
      </w:r>
    </w:p>
    <w:sectPr w:rsidR="00BE4C04" w:rsidRPr="00BE4C04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EE" w:rsidRDefault="004416EE" w:rsidP="00EE7812">
      <w:pPr>
        <w:spacing w:after="0" w:line="240" w:lineRule="auto"/>
      </w:pPr>
      <w:r>
        <w:separator/>
      </w:r>
    </w:p>
  </w:endnote>
  <w:endnote w:type="continuationSeparator" w:id="0">
    <w:p w:rsidR="004416EE" w:rsidRDefault="004416EE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EE" w:rsidRDefault="004416EE" w:rsidP="00EE7812">
      <w:pPr>
        <w:spacing w:after="0" w:line="240" w:lineRule="auto"/>
      </w:pPr>
      <w:r>
        <w:separator/>
      </w:r>
    </w:p>
  </w:footnote>
  <w:footnote w:type="continuationSeparator" w:id="0">
    <w:p w:rsidR="004416EE" w:rsidRDefault="004416EE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CC1CB3" w:rsidRDefault="00EF696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1670</w:t>
    </w:r>
    <w:r w:rsidR="00CC1CB3">
      <w:t xml:space="preserve">, </w:t>
    </w:r>
    <w:r w:rsidR="00C12804">
      <w:t xml:space="preserve">noviembre </w:t>
    </w:r>
    <w:r w:rsidR="008876F0">
      <w:t>16</w:t>
    </w:r>
    <w:r w:rsidR="00CC1CB3">
      <w:t xml:space="preserve"> de 2015</w:t>
    </w:r>
  </w:p>
  <w:p w:rsidR="00CC1CB3" w:rsidRDefault="004416E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039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0D65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1EA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636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951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796"/>
    <w:rsid w:val="001B5868"/>
    <w:rsid w:val="001B590A"/>
    <w:rsid w:val="001B5991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2DA"/>
    <w:rsid w:val="002733FD"/>
    <w:rsid w:val="00273513"/>
    <w:rsid w:val="00273A1E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98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5F90"/>
    <w:rsid w:val="002E637E"/>
    <w:rsid w:val="002E6422"/>
    <w:rsid w:val="002E65F9"/>
    <w:rsid w:val="002E6681"/>
    <w:rsid w:val="002E6845"/>
    <w:rsid w:val="002E6BA6"/>
    <w:rsid w:val="002E77AF"/>
    <w:rsid w:val="002E781A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4FEE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56B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1D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32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6EE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554"/>
    <w:rsid w:val="004907A2"/>
    <w:rsid w:val="00490A63"/>
    <w:rsid w:val="00490B7E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19F"/>
    <w:rsid w:val="004C020D"/>
    <w:rsid w:val="004C0499"/>
    <w:rsid w:val="004C04A4"/>
    <w:rsid w:val="004C07C5"/>
    <w:rsid w:val="004C0EB4"/>
    <w:rsid w:val="004C0EDF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37C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39B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48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92A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C2"/>
    <w:rsid w:val="00635F77"/>
    <w:rsid w:val="00635FF8"/>
    <w:rsid w:val="00636240"/>
    <w:rsid w:val="006362B0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EFF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A00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CA6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630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C5F"/>
    <w:rsid w:val="007A13F9"/>
    <w:rsid w:val="007A1555"/>
    <w:rsid w:val="007A15A0"/>
    <w:rsid w:val="007A18BA"/>
    <w:rsid w:val="007A18DE"/>
    <w:rsid w:val="007A1CA7"/>
    <w:rsid w:val="007A1DCD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D7D92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C80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3FAC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2"/>
    <w:rsid w:val="008D56C9"/>
    <w:rsid w:val="008D58A4"/>
    <w:rsid w:val="008D5E6D"/>
    <w:rsid w:val="008D5F53"/>
    <w:rsid w:val="008D6172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4F0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2E1C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98C"/>
    <w:rsid w:val="00954A7C"/>
    <w:rsid w:val="00954E8E"/>
    <w:rsid w:val="00954FEC"/>
    <w:rsid w:val="00955113"/>
    <w:rsid w:val="0095527D"/>
    <w:rsid w:val="009554E3"/>
    <w:rsid w:val="00955527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0FB0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75B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64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CFC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BD3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1FF4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124"/>
    <w:rsid w:val="00A3624C"/>
    <w:rsid w:val="00A36294"/>
    <w:rsid w:val="00A368C4"/>
    <w:rsid w:val="00A36E6A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06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1D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18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616"/>
    <w:rsid w:val="00B447F1"/>
    <w:rsid w:val="00B44801"/>
    <w:rsid w:val="00B453D6"/>
    <w:rsid w:val="00B45681"/>
    <w:rsid w:val="00B4584D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28D"/>
    <w:rsid w:val="00B71356"/>
    <w:rsid w:val="00B716C8"/>
    <w:rsid w:val="00B71811"/>
    <w:rsid w:val="00B71B54"/>
    <w:rsid w:val="00B71D05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243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4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B79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04A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6EEF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5082"/>
    <w:rsid w:val="00D25180"/>
    <w:rsid w:val="00D251AA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7222"/>
    <w:rsid w:val="00D3728E"/>
    <w:rsid w:val="00D3734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45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522"/>
    <w:rsid w:val="00D81811"/>
    <w:rsid w:val="00D8188A"/>
    <w:rsid w:val="00D8191C"/>
    <w:rsid w:val="00D819F3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0FD6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99E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038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05F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CE"/>
    <w:rsid w:val="00DF73E6"/>
    <w:rsid w:val="00DF79B0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6D3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3FA2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C3"/>
    <w:rsid w:val="00EA27DC"/>
    <w:rsid w:val="00EA28CA"/>
    <w:rsid w:val="00EA28E4"/>
    <w:rsid w:val="00EA2D4D"/>
    <w:rsid w:val="00EA2F6D"/>
    <w:rsid w:val="00EA3134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79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2DC8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96A"/>
    <w:rsid w:val="00EF6AE6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2FD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1E11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A77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02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D92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A9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oe.es/diario_boe/txt.php?id=BOE-A-2015-814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so.org/obp/ui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sar.unctad.org/isar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nctad.org/meetings/es/SessionalDocuments/ciiisard73_es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C539-9805-4905-9E33-D3909340D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2554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2015-11-13T20:46:00Z</dcterms:created>
  <dcterms:modified xsi:type="dcterms:W3CDTF">2015-11-13T20:46:00Z</dcterms:modified>
</cp:coreProperties>
</file>