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AC" w:rsidRPr="004E63AC" w:rsidRDefault="004E63AC" w:rsidP="004E63A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E63AC">
        <w:rPr>
          <w:position w:val="-9"/>
          <w:sz w:val="123"/>
        </w:rPr>
        <w:t>L</w:t>
      </w:r>
    </w:p>
    <w:p w:rsidR="00F341F5" w:rsidRDefault="004E63AC" w:rsidP="004E63AC">
      <w:r>
        <w:t xml:space="preserve">as compañías de leasing lograron que el Gobierno adoptara un tratamiento favorable para ellas en el </w:t>
      </w:r>
      <w:hyperlink r:id="rId9" w:history="1">
        <w:r w:rsidRPr="00983A46">
          <w:rPr>
            <w:rStyle w:val="Hyperlink"/>
          </w:rPr>
          <w:t>Decreto reglamentario 2649 de 1993</w:t>
        </w:r>
      </w:hyperlink>
      <w:r>
        <w:t>.</w:t>
      </w:r>
      <w:r w:rsidR="00CF5A91">
        <w:t xml:space="preserve"> Posteriormente la </w:t>
      </w:r>
      <w:hyperlink r:id="rId10" w:history="1">
        <w:r w:rsidR="00CF5A91" w:rsidRPr="00CF5A91">
          <w:rPr>
            <w:rStyle w:val="Hyperlink"/>
          </w:rPr>
          <w:t>Ley 223 de 1995</w:t>
        </w:r>
      </w:hyperlink>
      <w:r w:rsidR="00CF5A91">
        <w:t xml:space="preserve"> les cambió un poco las reglas de juego. Recientemente se le ha dado un impulso al </w:t>
      </w:r>
      <w:hyperlink r:id="rId11" w:history="1">
        <w:r w:rsidR="00CF5A91" w:rsidRPr="00CF5A91">
          <w:rPr>
            <w:rStyle w:val="Hyperlink"/>
          </w:rPr>
          <w:t>leasing habitacional</w:t>
        </w:r>
      </w:hyperlink>
      <w:r w:rsidR="00CF5A91">
        <w:t>.</w:t>
      </w:r>
    </w:p>
    <w:p w:rsidR="00CF5A91" w:rsidRDefault="00730EB7" w:rsidP="004E63AC">
      <w:hyperlink r:id="rId12" w:history="1">
        <w:r w:rsidR="00C33D8B" w:rsidRPr="00680044">
          <w:rPr>
            <w:rStyle w:val="Hyperlink"/>
          </w:rPr>
          <w:t>IASB y FASB</w:t>
        </w:r>
      </w:hyperlink>
      <w:r w:rsidR="00C33D8B">
        <w:t xml:space="preserve"> intentaron acordar un estándar para el leasing. Finalmente cada uno cogió por su lado. Se espera que en los </w:t>
      </w:r>
      <w:hyperlink r:id="rId13" w:history="1">
        <w:r w:rsidR="00C33D8B" w:rsidRPr="00680044">
          <w:rPr>
            <w:rStyle w:val="Hyperlink"/>
          </w:rPr>
          <w:t>próximos tres meses</w:t>
        </w:r>
      </w:hyperlink>
      <w:r w:rsidR="00C33D8B">
        <w:t xml:space="preserve"> los dos organismos hayan expedido sus nuevas normas en esta materia.</w:t>
      </w:r>
      <w:r w:rsidR="00D73AA3">
        <w:t xml:space="preserve"> Se trata de un proyecto que ha tomado varios años y que en el caso de IASB dio lugar a un </w:t>
      </w:r>
      <w:hyperlink r:id="rId14" w:history="1">
        <w:r w:rsidR="00D73AA3" w:rsidRPr="005C09D9">
          <w:rPr>
            <w:rStyle w:val="Hyperlink"/>
          </w:rPr>
          <w:t>borrador revisado</w:t>
        </w:r>
      </w:hyperlink>
      <w:r w:rsidR="00D73AA3">
        <w:t xml:space="preserve"> de la propuesta de estándar.</w:t>
      </w:r>
    </w:p>
    <w:p w:rsidR="00443CD3" w:rsidRDefault="002007E0" w:rsidP="004E63AC">
      <w:r>
        <w:t>Muchos comentaristas se refieren a estas normas como un esfuerzo orientado a reflejar en el cuerpo del balance las operaciones de leasing.</w:t>
      </w:r>
      <w:r w:rsidR="001F5D0E">
        <w:t xml:space="preserve"> Esto es bien diferente a mostrar solo los cánones por arrendamiento pagados durante el período contable, sin revelar el monto total de la obligación ni la opción de compra</w:t>
      </w:r>
      <w:r w:rsidR="00075D4C">
        <w:t xml:space="preserve">, que varios toman como el </w:t>
      </w:r>
      <w:r w:rsidR="00FB4C78">
        <w:t>precio</w:t>
      </w:r>
      <w:r w:rsidR="00075D4C">
        <w:t xml:space="preserve"> de los bienes al perfeccionar su transferencia, reflejando estas propiedades por un valor muy inferior a su valor de mercado.</w:t>
      </w:r>
      <w:r w:rsidR="002D570C">
        <w:t xml:space="preserve"> Tiempos hubo en los cuales el tratamiento tributario se planteaba como </w:t>
      </w:r>
      <w:r w:rsidR="00297ADD">
        <w:t>la principal</w:t>
      </w:r>
      <w:r w:rsidR="002D570C">
        <w:t xml:space="preserve"> ventaja de recurrir al leasing.</w:t>
      </w:r>
    </w:p>
    <w:p w:rsidR="00FB4C78" w:rsidRDefault="00FB4C78" w:rsidP="004E63AC">
      <w:r>
        <w:t>La problemática de las partidas fuera de balance es de gran importancia. En varias quiebras con repercusión mundial se han encontrado “vehículos” no reflejados en los estados financieros.</w:t>
      </w:r>
      <w:r w:rsidR="00150718">
        <w:t xml:space="preserve"> Sin duda se trata de tratamientos propios de una contabilidad </w:t>
      </w:r>
      <w:r w:rsidR="00150718">
        <w:lastRenderedPageBreak/>
        <w:t>“creativa”.</w:t>
      </w:r>
      <w:r w:rsidR="00E20779">
        <w:t xml:space="preserve"> No faltan profesionales que diseñan estas argucias, con apariencia de legalidad y supuestamente realizadas de conformidad con el ordenamiento contable.</w:t>
      </w:r>
      <w:r w:rsidR="007F732B">
        <w:t xml:space="preserve"> El correcto uso de cuentas de orden evitaría estas prácticas. Los valores de estas cuentas tendrían que ser revelados en las notas a los estados financieros.</w:t>
      </w:r>
    </w:p>
    <w:p w:rsidR="00FF0ACA" w:rsidRDefault="00521E10" w:rsidP="00785444">
      <w:r>
        <w:t xml:space="preserve">Algunos le han echado la culpa a lo que llaman una contabilidad por reglas y han presentado como alternativa una contabilidad por principios. </w:t>
      </w:r>
      <w:r w:rsidR="00785444">
        <w:t xml:space="preserve">Cada estándar lleva insertos los principios que en él se desarrollan. Normalmente IASB precisa que “(…) </w:t>
      </w:r>
      <w:r w:rsidR="00785444" w:rsidRPr="001801F8">
        <w:rPr>
          <w:i/>
        </w:rPr>
        <w:t>Los párrafos en letra negrita establecen los principios básicos</w:t>
      </w:r>
      <w:r w:rsidR="00785444">
        <w:t xml:space="preserve">. (…)”. Ahora bien: la principal exposición de principios se encuentra en el marco conceptual. </w:t>
      </w:r>
      <w:r>
        <w:t>Sin embargo, IASB ha sido reacio a dar</w:t>
      </w:r>
      <w:r w:rsidR="00785444">
        <w:t>le</w:t>
      </w:r>
      <w:r>
        <w:t xml:space="preserve"> valor normativo, seguramente para evitar</w:t>
      </w:r>
      <w:r w:rsidR="00D779E4">
        <w:t xml:space="preserve"> que se dejen de aplicar los estándares so pretexto de obrar conforme al marco conceptual.</w:t>
      </w:r>
    </w:p>
    <w:p w:rsidR="008523C2" w:rsidRDefault="00341AD5" w:rsidP="004E63AC">
      <w:r>
        <w:t>Hay que advertir que los administradores están muy pendientes de los que se dice y de lo que no se dice en los estados financieros, procurando presentar imágenes favorables frente a las más diversas conveniencias (mucha solidez ante los prestamistas, gran rentabilidad a</w:t>
      </w:r>
      <w:r w:rsidR="001801F8">
        <w:t>n</w:t>
      </w:r>
      <w:r>
        <w:t>te los socios, baja base gravable ante la autoridad fiscal).</w:t>
      </w:r>
      <w:r w:rsidR="001801F8">
        <w:t xml:space="preserve"> Es muy mala decisión resolver que unas son las reglas de los estados individuales y otras las de los consolidados, pues esto agranda las posibilidades de presentar ciertas imágenes.</w:t>
      </w:r>
      <w:r w:rsidR="008523C2">
        <w:t xml:space="preserve"> Adviértase que los administradores recurren a los contadores para lograr sus aspiraciones.</w:t>
      </w:r>
    </w:p>
    <w:p w:rsidR="008523C2" w:rsidRPr="008523C2" w:rsidRDefault="008523C2" w:rsidP="008523C2">
      <w:pPr>
        <w:jc w:val="right"/>
        <w:rPr>
          <w:i/>
        </w:rPr>
      </w:pPr>
      <w:r w:rsidRPr="008523C2">
        <w:rPr>
          <w:i/>
        </w:rPr>
        <w:t>Hernando Bermúdez Gómez</w:t>
      </w:r>
    </w:p>
    <w:sectPr w:rsidR="008523C2" w:rsidRPr="008523C2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B7" w:rsidRDefault="00730EB7" w:rsidP="00EE7812">
      <w:pPr>
        <w:spacing w:after="0" w:line="240" w:lineRule="auto"/>
      </w:pPr>
      <w:r>
        <w:separator/>
      </w:r>
    </w:p>
  </w:endnote>
  <w:endnote w:type="continuationSeparator" w:id="0">
    <w:p w:rsidR="00730EB7" w:rsidRDefault="00730EB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B7" w:rsidRDefault="00730EB7" w:rsidP="00EE7812">
      <w:pPr>
        <w:spacing w:after="0" w:line="240" w:lineRule="auto"/>
      </w:pPr>
      <w:r>
        <w:separator/>
      </w:r>
    </w:p>
  </w:footnote>
  <w:footnote w:type="continuationSeparator" w:id="0">
    <w:p w:rsidR="00730EB7" w:rsidRDefault="00730EB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4E63A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1682</w:t>
    </w:r>
    <w:r w:rsidR="00CC1CB3">
      <w:t xml:space="preserve">, </w:t>
    </w:r>
    <w:r w:rsidR="00C12804">
      <w:t xml:space="preserve">noviembre </w:t>
    </w:r>
    <w:r w:rsidR="00273B08">
      <w:t>23</w:t>
    </w:r>
    <w:r w:rsidR="00CC1CB3">
      <w:t xml:space="preserve"> de 2015</w:t>
    </w:r>
  </w:p>
  <w:p w:rsidR="00CC1CB3" w:rsidRDefault="00730EB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681"/>
    <w:rsid w:val="002E6845"/>
    <w:rsid w:val="002E6BA6"/>
    <w:rsid w:val="002E77AF"/>
    <w:rsid w:val="002E781A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45D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738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EB7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32B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DE4"/>
    <w:rsid w:val="00843FB2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4A4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18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89C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8003B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rs.org/Current-Projects/IASB-Projects/Pages/IASB-Work-Plan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/Meetings/MeetingDocs/IASB/Archive/Leases/ObNotes_LP0607ob09.zi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_1328_2009_pr002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ecretariasenado.gov.co/senado/basedoc/ley_0223_199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hyperlink" Target="http://www.ifrs.org/Current-Projects/IASB-Projects/Leases/Exposure-Draft-May-2013/Pages/ED-and-comment-lette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2BC4-0D02-4321-B100-AE979BBE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2015-11-22T20:44:00Z</dcterms:created>
  <dcterms:modified xsi:type="dcterms:W3CDTF">2015-11-22T20:44:00Z</dcterms:modified>
</cp:coreProperties>
</file>