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6" w:rsidRPr="00F94E36" w:rsidRDefault="00F94E36" w:rsidP="00F94E36">
      <w:pPr>
        <w:keepNext/>
        <w:framePr w:dropCap="drop" w:lines="3" w:wrap="around" w:vAnchor="text" w:hAnchor="text"/>
        <w:spacing w:after="0" w:line="926" w:lineRule="exact"/>
        <w:textAlignment w:val="baseline"/>
        <w:rPr>
          <w:position w:val="-9"/>
          <w:sz w:val="123"/>
        </w:rPr>
      </w:pPr>
      <w:bookmarkStart w:id="0" w:name="_GoBack"/>
      <w:bookmarkEnd w:id="0"/>
      <w:r w:rsidRPr="00F94E36">
        <w:rPr>
          <w:position w:val="-9"/>
          <w:sz w:val="123"/>
        </w:rPr>
        <w:t>E</w:t>
      </w:r>
    </w:p>
    <w:p w:rsidR="00F94E36" w:rsidRPr="00F94E36" w:rsidRDefault="00F94E36" w:rsidP="00F94E36">
      <w:r w:rsidRPr="00F94E36">
        <w:t xml:space="preserve">s común encontrar discusiones entre auditores y preparadores de información respecto de si los arrendamientos tratados como financieros de acuerdo con la NIC 17, generan el reconocimiento de impuesto diferido en aquellos casos en que fiscalmente el activo y el pasivo no son reconocidos. El asunto será de mayor relevancia con ocasión de la </w:t>
      </w:r>
      <w:hyperlink r:id="rId9" w:history="1">
        <w:r w:rsidRPr="00F94E36">
          <w:rPr>
            <w:rStyle w:val="Hyperlink"/>
          </w:rPr>
          <w:t>próxima</w:t>
        </w:r>
      </w:hyperlink>
      <w:r w:rsidRPr="00F94E36">
        <w:t xml:space="preserve"> norma de arrendamientos que requerirá el reconocimiento de activos y pasivos para todos los contratos de arrendamiento (con excepciones limitadas). </w:t>
      </w:r>
    </w:p>
    <w:p w:rsidR="00F94E36" w:rsidRPr="00F94E36" w:rsidRDefault="00F94E36" w:rsidP="00F94E36">
      <w:r w:rsidRPr="00F94E36">
        <w:t xml:space="preserve">Sobre el particular, vale la pena mencionar que en abril de 2005 el IFRIC se </w:t>
      </w:r>
      <w:hyperlink r:id="rId10" w:history="1">
        <w:r w:rsidRPr="00F94E36">
          <w:rPr>
            <w:rStyle w:val="Hyperlink"/>
          </w:rPr>
          <w:t>pronunció</w:t>
        </w:r>
      </w:hyperlink>
      <w:r w:rsidRPr="00F94E36">
        <w:t xml:space="preserve"> inicialmente sobre el asunto y concluyó (el subrayado fuera del texto):</w:t>
      </w:r>
    </w:p>
    <w:p w:rsidR="00F94E36" w:rsidRPr="00F94E36" w:rsidRDefault="00F94E36" w:rsidP="00F94E36">
      <w:pPr>
        <w:rPr>
          <w:i/>
          <w:lang w:val="en-US"/>
        </w:rPr>
      </w:pPr>
      <w:r w:rsidRPr="00F94E36">
        <w:rPr>
          <w:lang w:val="en-US"/>
        </w:rPr>
        <w:t>“</w:t>
      </w:r>
      <w:r w:rsidRPr="00F94E36">
        <w:rPr>
          <w:i/>
          <w:lang w:val="en-US"/>
        </w:rPr>
        <w:t xml:space="preserve">The IFRIC considered the treatment of deferred tax relating to assets and liabilities arising from finance leases. </w:t>
      </w:r>
      <w:r w:rsidRPr="00F94E36">
        <w:rPr>
          <w:b/>
          <w:i/>
          <w:u w:val="single"/>
          <w:lang w:val="en-US"/>
        </w:rPr>
        <w:t xml:space="preserve">The IFRIC noted that initial recognition exemption applies to each separate </w:t>
      </w:r>
      <w:proofErr w:type="spellStart"/>
      <w:r w:rsidRPr="00F94E36">
        <w:rPr>
          <w:b/>
          <w:i/>
          <w:u w:val="single"/>
          <w:lang w:val="en-US"/>
        </w:rPr>
        <w:t>recognised</w:t>
      </w:r>
      <w:proofErr w:type="spellEnd"/>
      <w:r w:rsidRPr="00F94E36">
        <w:rPr>
          <w:b/>
          <w:i/>
          <w:u w:val="single"/>
          <w:lang w:val="en-US"/>
        </w:rPr>
        <w:t xml:space="preserve"> element in the balance sheet, and no deferred tax asset or liability should be </w:t>
      </w:r>
      <w:proofErr w:type="spellStart"/>
      <w:r w:rsidRPr="00F94E36">
        <w:rPr>
          <w:b/>
          <w:i/>
          <w:u w:val="single"/>
          <w:lang w:val="en-US"/>
        </w:rPr>
        <w:t>recognised</w:t>
      </w:r>
      <w:proofErr w:type="spellEnd"/>
      <w:r w:rsidRPr="00F94E36">
        <w:rPr>
          <w:i/>
          <w:lang w:val="en-US"/>
        </w:rPr>
        <w:t xml:space="preserve"> on the temporary difference existing on the initial recognition of assets and liabilities arising from finance leases or subsequently. The IFRIC took the view that IAS 12.16 is clear that all deferred tax assets and liabilities must be </w:t>
      </w:r>
      <w:proofErr w:type="spellStart"/>
      <w:r w:rsidRPr="00F94E36">
        <w:rPr>
          <w:i/>
          <w:lang w:val="en-US"/>
        </w:rPr>
        <w:t>recognised</w:t>
      </w:r>
      <w:proofErr w:type="spellEnd"/>
      <w:r w:rsidRPr="00F94E36">
        <w:rPr>
          <w:i/>
          <w:lang w:val="en-US"/>
        </w:rPr>
        <w:t xml:space="preserve"> unless they fall within an exemption specified by paragraph 15 or 24. The inception of a finance lease is clearly the initial recognition of an asset that does not arise from a business combination and does not affect profit or loss at the time of</w:t>
      </w:r>
      <w:r w:rsidRPr="00F94E36">
        <w:rPr>
          <w:lang w:val="en-US"/>
        </w:rPr>
        <w:t xml:space="preserve"> </w:t>
      </w:r>
      <w:r w:rsidRPr="00F94E36">
        <w:rPr>
          <w:i/>
          <w:lang w:val="en-US"/>
        </w:rPr>
        <w:t xml:space="preserve">recognition. Accordingly the exemption applies and there can be no recognition of a deferred tax asset or deferred tax liability”. </w:t>
      </w:r>
    </w:p>
    <w:p w:rsidR="00F94E36" w:rsidRPr="00F94E36" w:rsidRDefault="00F94E36" w:rsidP="00F94E36">
      <w:r w:rsidRPr="00F94E36">
        <w:lastRenderedPageBreak/>
        <w:t xml:space="preserve">Sin embargo, en su siguiente </w:t>
      </w:r>
      <w:hyperlink r:id="rId11" w:history="1">
        <w:r w:rsidRPr="00F94E36">
          <w:rPr>
            <w:rStyle w:val="Hyperlink"/>
          </w:rPr>
          <w:t>reunión</w:t>
        </w:r>
      </w:hyperlink>
      <w:r w:rsidRPr="00F94E36">
        <w:t xml:space="preserve"> (junio de 2005) modificó la redacción del texto y concluyó:</w:t>
      </w:r>
    </w:p>
    <w:p w:rsidR="00F94E36" w:rsidRPr="00F94E36" w:rsidRDefault="00F94E36" w:rsidP="00F94E36">
      <w:pPr>
        <w:rPr>
          <w:lang w:val="en-US"/>
        </w:rPr>
      </w:pPr>
      <w:r w:rsidRPr="00F94E36">
        <w:rPr>
          <w:lang w:val="en-US"/>
        </w:rPr>
        <w:t>“</w:t>
      </w:r>
      <w:r w:rsidRPr="00F94E36">
        <w:rPr>
          <w:i/>
          <w:lang w:val="en-US"/>
        </w:rPr>
        <w:t>The IFRIC considered the treatment of deferred tax relating to assets and liabilities arising from finance leases. While noting that there is diversity in practice in applying the requirements of IAS 12 to assets and liabilities arising from finance leases, the IFRIC agreed not to develop any guidance because the issue falls directly within the scope of the Board’s short-term convergence project on income taxes with the FASB</w:t>
      </w:r>
      <w:r w:rsidRPr="00F94E36">
        <w:rPr>
          <w:lang w:val="en-US"/>
        </w:rPr>
        <w:t>”.</w:t>
      </w:r>
    </w:p>
    <w:p w:rsidR="00F94E36" w:rsidRPr="00F94E36" w:rsidRDefault="00F94E36" w:rsidP="00F94E36">
      <w:r w:rsidRPr="00F94E36">
        <w:t>En mi opinión es apropiado el reconocimiento de impuestos diferidos en estos casos para cumplir con el principio de la NIC 12. Sin embargo, como lo reconoce el IFRIC y otras publicaciones especializadas</w:t>
      </w:r>
      <w:r w:rsidRPr="00F94E36">
        <w:rPr>
          <w:vertAlign w:val="superscript"/>
        </w:rPr>
        <w:footnoteReference w:id="1"/>
      </w:r>
      <w:r w:rsidRPr="00F94E36">
        <w:t xml:space="preserve"> </w:t>
      </w:r>
      <w:r w:rsidRPr="00F94E36">
        <w:rPr>
          <w:vertAlign w:val="superscript"/>
        </w:rPr>
        <w:footnoteReference w:id="2"/>
      </w:r>
      <w:r w:rsidRPr="00F94E36">
        <w:t xml:space="preserve">, las interpretaciones sobre este tema son diversas y muchas entidades no reconocen los activos y pasivos por impuestos diferidos resultantes, de acuerdo con las excepciones establecidas en los párrafos 15 y 24 de la NIC 12. </w:t>
      </w:r>
    </w:p>
    <w:p w:rsidR="00F94E36" w:rsidRPr="00F94E36" w:rsidRDefault="00F94E36" w:rsidP="00F94E36">
      <w:r w:rsidRPr="00F94E36">
        <w:t>Concluyen los documentos referenciados que en la práctica el asunto es resuelto mediante la elección de una política contable la cual debería ser aplicada de manera consistente.</w:t>
      </w:r>
    </w:p>
    <w:p w:rsidR="00BF596D" w:rsidRPr="00F94E36" w:rsidRDefault="00F94E36" w:rsidP="00F94E36">
      <w:pPr>
        <w:jc w:val="right"/>
      </w:pPr>
      <w:r w:rsidRPr="00F94E36">
        <w:rPr>
          <w:i/>
        </w:rPr>
        <w:t>Edgar Emilio Salazar Baquero</w:t>
      </w:r>
    </w:p>
    <w:sectPr w:rsidR="00BF596D" w:rsidRPr="00F94E36"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CA" w:rsidRDefault="004353CA" w:rsidP="00EE7812">
      <w:pPr>
        <w:spacing w:after="0" w:line="240" w:lineRule="auto"/>
      </w:pPr>
      <w:r>
        <w:separator/>
      </w:r>
    </w:p>
  </w:endnote>
  <w:endnote w:type="continuationSeparator" w:id="0">
    <w:p w:rsidR="004353CA" w:rsidRDefault="004353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CA" w:rsidRDefault="004353CA" w:rsidP="00EE7812">
      <w:pPr>
        <w:spacing w:after="0" w:line="240" w:lineRule="auto"/>
      </w:pPr>
      <w:r>
        <w:separator/>
      </w:r>
    </w:p>
  </w:footnote>
  <w:footnote w:type="continuationSeparator" w:id="0">
    <w:p w:rsidR="004353CA" w:rsidRDefault="004353CA" w:rsidP="00EE7812">
      <w:pPr>
        <w:spacing w:after="0" w:line="240" w:lineRule="auto"/>
      </w:pPr>
      <w:r>
        <w:continuationSeparator/>
      </w:r>
    </w:p>
  </w:footnote>
  <w:footnote w:id="1">
    <w:p w:rsidR="00F94E36" w:rsidRPr="006D3AC4" w:rsidRDefault="00F94E36" w:rsidP="00F94E36">
      <w:pPr>
        <w:spacing w:after="0"/>
        <w:rPr>
          <w:sz w:val="20"/>
          <w:lang w:val="en-US"/>
        </w:rPr>
      </w:pPr>
      <w:r>
        <w:rPr>
          <w:rStyle w:val="FootnoteReference"/>
        </w:rPr>
        <w:footnoteRef/>
      </w:r>
      <w:r w:rsidRPr="0020019E">
        <w:rPr>
          <w:lang w:val="en-US"/>
        </w:rPr>
        <w:t xml:space="preserve"> </w:t>
      </w:r>
      <w:hyperlink r:id="rId1" w:history="1">
        <w:r w:rsidRPr="00427978">
          <w:rPr>
            <w:rStyle w:val="Hyperlink"/>
            <w:sz w:val="20"/>
            <w:lang w:val="en-US"/>
          </w:rPr>
          <w:t>Manual of accounting IFRS 2015</w:t>
        </w:r>
      </w:hyperlink>
      <w:r w:rsidRPr="006D3AC4">
        <w:rPr>
          <w:sz w:val="20"/>
          <w:lang w:val="en-US"/>
        </w:rPr>
        <w:t xml:space="preserve"> – </w:t>
      </w:r>
      <w:proofErr w:type="spellStart"/>
      <w:r>
        <w:rPr>
          <w:sz w:val="20"/>
          <w:lang w:val="en-US"/>
        </w:rPr>
        <w:t>Pwc</w:t>
      </w:r>
      <w:proofErr w:type="spellEnd"/>
    </w:p>
  </w:footnote>
  <w:footnote w:id="2">
    <w:p w:rsidR="00F94E36" w:rsidRPr="00F94E36" w:rsidRDefault="00F94E36" w:rsidP="00F94E36">
      <w:pPr>
        <w:pStyle w:val="FootnoteText"/>
        <w:spacing w:after="0"/>
        <w:rPr>
          <w:lang w:val="en-US"/>
        </w:rPr>
      </w:pPr>
      <w:r>
        <w:rPr>
          <w:rStyle w:val="FootnoteReference"/>
        </w:rPr>
        <w:footnoteRef/>
      </w:r>
      <w:r w:rsidRPr="00F94E36">
        <w:rPr>
          <w:lang w:val="en-US"/>
        </w:rPr>
        <w:t xml:space="preserve"> </w:t>
      </w:r>
      <w:hyperlink r:id="rId2" w:history="1">
        <w:r w:rsidRPr="00F94E36">
          <w:rPr>
            <w:rStyle w:val="Hyperlink"/>
            <w:lang w:val="en-US"/>
          </w:rPr>
          <w:t>International GAAP  2015</w:t>
        </w:r>
      </w:hyperlink>
      <w:r w:rsidRPr="00F94E36">
        <w:rPr>
          <w:lang w:val="en-US"/>
        </w:rPr>
        <w:t xml:space="preserve"> – Ernst &amp; Young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F94E36">
      <w:t>o 1743</w:t>
    </w:r>
    <w:r w:rsidR="00CC1CB3">
      <w:t xml:space="preserve">, </w:t>
    </w:r>
    <w:r w:rsidR="001C562A">
      <w:t>diciembre</w:t>
    </w:r>
    <w:r w:rsidR="00C12804">
      <w:t xml:space="preserve"> </w:t>
    </w:r>
    <w:r w:rsidR="00D17204">
      <w:t>14</w:t>
    </w:r>
    <w:r w:rsidR="00CC1CB3">
      <w:t xml:space="preserve"> de 2015</w:t>
    </w:r>
  </w:p>
  <w:p w:rsidR="00CC1CB3" w:rsidRDefault="004353C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4F0"/>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3CA"/>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8DF"/>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0FD"/>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AEE"/>
    <w:rsid w:val="00875C62"/>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Updates/IFRIC-Updates/2005/Documents/jun0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rs.org/Updates/IFRIC-Updates/2005/Documents/apr05.pdf" TargetMode="External"/><Relationship Id="rId4" Type="http://schemas.microsoft.com/office/2007/relationships/stylesWithEffects" Target="stylesWithEffects.xml"/><Relationship Id="rId9" Type="http://schemas.openxmlformats.org/officeDocument/2006/relationships/hyperlink" Target="http://www.ifrs.org/Current-Projects/IASB-Projects/Leases/Pages/Leases.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iblos.javeriana.edu.co/uhtbin/cgisirsi/x/0/0/57/5/3?searchdata1=889624%7bCKEY%7d&amp;searchfield1=GENERAL%5eSUBJECT%5eGENERAL%5e%5e&amp;user_id=WEBSERVER" TargetMode="External"/><Relationship Id="rId1" Type="http://schemas.openxmlformats.org/officeDocument/2006/relationships/hyperlink" Target="http://biblos.javeriana.edu.co/uhtbin/cgisirsi/x/0/0/57/5/3?searchdata1=889588%7bCKEY%7d&amp;searchfield1=GENERAL%5eSUBJECT%5eGENERAL%5e%5e&amp;user_id=WEBSER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17AE-B00D-41FD-938A-77E28FAA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2542</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2015-12-13T23:16:00Z</dcterms:created>
  <dcterms:modified xsi:type="dcterms:W3CDTF">2015-12-13T23:16:00Z</dcterms:modified>
</cp:coreProperties>
</file>