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32" w:rsidRPr="00ED4E32" w:rsidRDefault="00ED4E32" w:rsidP="00ED4E32">
      <w:pPr>
        <w:keepNext/>
        <w:framePr w:dropCap="drop" w:lines="3" w:wrap="around" w:vAnchor="text" w:hAnchor="text"/>
        <w:spacing w:after="0" w:line="1526" w:lineRule="exact"/>
        <w:textAlignment w:val="baseline"/>
        <w:rPr>
          <w:position w:val="-1"/>
          <w:sz w:val="187"/>
        </w:rPr>
      </w:pPr>
      <w:bookmarkStart w:id="0" w:name="_GoBack"/>
      <w:bookmarkEnd w:id="0"/>
      <w:r w:rsidRPr="00ED4E32">
        <w:rPr>
          <w:position w:val="-1"/>
          <w:sz w:val="187"/>
        </w:rPr>
        <w:t>E</w:t>
      </w:r>
    </w:p>
    <w:p w:rsidR="009C26E4" w:rsidRDefault="00ED4E32" w:rsidP="00330608">
      <w:r>
        <w:t xml:space="preserve">l pasado mes de diciembre, </w:t>
      </w:r>
      <w:hyperlink r:id="rId9" w:history="1">
        <w:r w:rsidRPr="00ED4E32">
          <w:rPr>
            <w:rStyle w:val="Hyperlink"/>
          </w:rPr>
          <w:t>IASB</w:t>
        </w:r>
      </w:hyperlink>
      <w:r>
        <w:t xml:space="preserve"> y </w:t>
      </w:r>
      <w:hyperlink r:id="rId10" w:history="1">
        <w:r w:rsidRPr="00ED4E32">
          <w:rPr>
            <w:rStyle w:val="Hyperlink"/>
          </w:rPr>
          <w:t>FASB</w:t>
        </w:r>
      </w:hyperlink>
      <w:r>
        <w:t xml:space="preserve"> anunciaron los resultados de sus </w:t>
      </w:r>
      <w:r w:rsidR="00865B1A">
        <w:t xml:space="preserve">nuevas </w:t>
      </w:r>
      <w:r>
        <w:t>deliberaciones sobre cómo distinguir si en una transacción una parte obra como principal o como agente.</w:t>
      </w:r>
    </w:p>
    <w:p w:rsidR="009C26E4" w:rsidRDefault="0079267A" w:rsidP="00330608">
      <w:r>
        <w:t xml:space="preserve">Recalcamos, en primer lugar, la gran importancia del IFRS 15, </w:t>
      </w:r>
      <w:r w:rsidRPr="0079267A">
        <w:t>Ingresos de Actividades Ordinarias Procedentes de Contratos con Cliente</w:t>
      </w:r>
      <w:r>
        <w:t xml:space="preserve">s. Esta norma cubre una parte muy significativa </w:t>
      </w:r>
      <w:r w:rsidR="008D55DF">
        <w:t>de</w:t>
      </w:r>
      <w:r>
        <w:t xml:space="preserve"> la totalidad de los hechos económicos que debe declarar un ente.</w:t>
      </w:r>
    </w:p>
    <w:p w:rsidR="009C26E4" w:rsidRDefault="0086614B" w:rsidP="00330608">
      <w:r>
        <w:t xml:space="preserve">Por otra parte, también subrayamos que se trata de </w:t>
      </w:r>
      <w:r w:rsidR="009A5AEA">
        <w:t>una norma expedida</w:t>
      </w:r>
      <w:r>
        <w:t xml:space="preserve"> mediante un esfuerzo de convergencia de los emisores de estándares citados.</w:t>
      </w:r>
    </w:p>
    <w:p w:rsidR="009C26E4" w:rsidRPr="008D55DF" w:rsidRDefault="009A5AEA" w:rsidP="00330608">
      <w:pPr>
        <w:rPr>
          <w:lang w:val="en-US"/>
        </w:rPr>
      </w:pPr>
      <w:r>
        <w:t xml:space="preserve">La actividad de los </w:t>
      </w:r>
      <w:r w:rsidR="00270AA9">
        <w:t>mencionados</w:t>
      </w:r>
      <w:r>
        <w:t xml:space="preserve"> organismos está fuertemente documentada. </w:t>
      </w:r>
      <w:r w:rsidRPr="009A5AEA">
        <w:t xml:space="preserve">Véase, por ejemplo, el </w:t>
      </w:r>
      <w:hyperlink r:id="rId11" w:history="1">
        <w:r w:rsidRPr="009A5AEA">
          <w:rPr>
            <w:rStyle w:val="Hyperlink"/>
            <w:i/>
          </w:rPr>
          <w:t>Summary of Tentative Board Decisions Reached to Date As of December 16, 2015</w:t>
        </w:r>
      </w:hyperlink>
      <w:r w:rsidRPr="009A5AEA">
        <w:rPr>
          <w:i/>
        </w:rPr>
        <w:t xml:space="preserve">, </w:t>
      </w:r>
      <w:r w:rsidRPr="009A5AEA">
        <w:t>que hace un recuento de las decision</w:t>
      </w:r>
      <w:r>
        <w:t>e</w:t>
      </w:r>
      <w:r w:rsidRPr="009A5AEA">
        <w:t>s adoptadas sobre la norma en cuesti</w:t>
      </w:r>
      <w:r>
        <w:t>ón.</w:t>
      </w:r>
      <w:r w:rsidR="008D55DF">
        <w:t xml:space="preserve"> </w:t>
      </w:r>
      <w:r w:rsidR="008D55DF" w:rsidRPr="00D51B78">
        <w:t>Compleméntese</w:t>
      </w:r>
      <w:r w:rsidR="008D55DF" w:rsidRPr="008D55DF">
        <w:rPr>
          <w:lang w:val="en-US"/>
        </w:rPr>
        <w:t xml:space="preserve"> con las </w:t>
      </w:r>
      <w:hyperlink r:id="rId12" w:history="1">
        <w:r w:rsidR="008D55DF" w:rsidRPr="008D55DF">
          <w:rPr>
            <w:rStyle w:val="Hyperlink"/>
            <w:i/>
            <w:lang w:val="en-US"/>
          </w:rPr>
          <w:t>Clarifications to IFRS 15 Revenue from Contracts with Customers: Issues emerging from TRG discussions</w:t>
        </w:r>
      </w:hyperlink>
      <w:r w:rsidR="008D55DF">
        <w:rPr>
          <w:lang w:val="en-US"/>
        </w:rPr>
        <w:t xml:space="preserve">, </w:t>
      </w:r>
      <w:r w:rsidR="008D55DF" w:rsidRPr="00D51B78">
        <w:t>compiladas por</w:t>
      </w:r>
      <w:r w:rsidR="008D55DF">
        <w:rPr>
          <w:lang w:val="en-US"/>
        </w:rPr>
        <w:t xml:space="preserve"> IASB. </w:t>
      </w:r>
    </w:p>
    <w:p w:rsidR="006541F9" w:rsidRDefault="006541F9" w:rsidP="00330608">
      <w:r>
        <w:t xml:space="preserve">Como se sabe, el asunto es parte de uno de mayor dimensión: reconocimiento y medición. Véase el compendio que al respecto ha preparado </w:t>
      </w:r>
      <w:hyperlink r:id="rId13" w:anchor="tab_1175805471236" w:history="1">
        <w:r w:rsidRPr="006541F9">
          <w:rPr>
            <w:rStyle w:val="Hyperlink"/>
          </w:rPr>
          <w:t>FASB</w:t>
        </w:r>
      </w:hyperlink>
      <w:r>
        <w:t>.</w:t>
      </w:r>
    </w:p>
    <w:p w:rsidR="009C26E4" w:rsidRDefault="005615D4" w:rsidP="00330608">
      <w:r w:rsidRPr="005615D4">
        <w:t xml:space="preserve">Específicamente sobre el punto a </w:t>
      </w:r>
      <w:r w:rsidR="00CB19A9">
        <w:t>tratar</w:t>
      </w:r>
      <w:r w:rsidRPr="005615D4">
        <w:t xml:space="preserve"> en su reuni</w:t>
      </w:r>
      <w:r>
        <w:t xml:space="preserve">ón del 16 de </w:t>
      </w:r>
      <w:r w:rsidR="00CB19A9">
        <w:t>diciembre</w:t>
      </w:r>
      <w:r>
        <w:t>,</w:t>
      </w:r>
      <w:r w:rsidRPr="005615D4">
        <w:t xml:space="preserve"> IASB divulgó su </w:t>
      </w:r>
      <w:hyperlink r:id="rId14" w:history="1">
        <w:r w:rsidRPr="005615D4">
          <w:rPr>
            <w:rStyle w:val="Hyperlink"/>
            <w:i/>
          </w:rPr>
          <w:t>Summary of feedback on proposed amendments to principal versus agent considerations</w:t>
        </w:r>
      </w:hyperlink>
      <w:r w:rsidRPr="005615D4">
        <w:t xml:space="preserve">. </w:t>
      </w:r>
      <w:r w:rsidR="004D2BDF">
        <w:t xml:space="preserve">En junio de 2015, IASB </w:t>
      </w:r>
      <w:r w:rsidR="004D2BDF">
        <w:lastRenderedPageBreak/>
        <w:t xml:space="preserve">solicitó comentarios sobre el </w:t>
      </w:r>
      <w:r w:rsidR="004D2BDF" w:rsidRPr="004D2BDF">
        <w:t>Proyecto de Norma PN/2015/6</w:t>
      </w:r>
      <w:r w:rsidR="004D2BDF">
        <w:t xml:space="preserve">, </w:t>
      </w:r>
      <w:r w:rsidR="004D2BDF" w:rsidRPr="004D2BDF">
        <w:t>Aclaraciones a la NIIF 15</w:t>
      </w:r>
      <w:r w:rsidR="005F0361">
        <w:t>, lo que dio lugar a tener que deliberar nuevamente sobre el asunto.</w:t>
      </w:r>
    </w:p>
    <w:p w:rsidR="009C26E4" w:rsidRDefault="002D0573" w:rsidP="00330608">
      <w:r>
        <w:t xml:space="preserve">Las noticias aludidas al comienzo de este artículo muestran con claridad los términos de las nuevas deliberaciones y los consensos logrados en materia de decisiones. En el documento de </w:t>
      </w:r>
      <w:hyperlink r:id="rId15" w:history="1">
        <w:r w:rsidRPr="002D0573">
          <w:rPr>
            <w:rStyle w:val="Hyperlink"/>
          </w:rPr>
          <w:t>IASB</w:t>
        </w:r>
      </w:hyperlink>
      <w:r>
        <w:t xml:space="preserve"> puede verse la propuesta de norma de FASB.</w:t>
      </w:r>
    </w:p>
    <w:p w:rsidR="009C26E4" w:rsidRDefault="00535895" w:rsidP="00330608">
      <w:r>
        <w:t>Todos los que de una forma u otra obran en interés de un tercero, deberán estudiar cuidosamente cómo se dist</w:t>
      </w:r>
      <w:r w:rsidR="008E0BEE">
        <w:t xml:space="preserve">ingue un principal de un agente. La formulación de estados financieros podrá diferir de las rendiciones de cuentas del agente al principal. </w:t>
      </w:r>
      <w:r w:rsidR="00E25F7C">
        <w:t>También este asunto podrá ser objeto de un tratamiento tributario diferente.</w:t>
      </w:r>
    </w:p>
    <w:p w:rsidR="009C26E4" w:rsidRDefault="00A761FF" w:rsidP="00330608">
      <w:r>
        <w:t xml:space="preserve">La cuestión regresa </w:t>
      </w:r>
      <w:r w:rsidR="00270AA9">
        <w:t>al</w:t>
      </w:r>
      <w:r>
        <w:t xml:space="preserve"> tema del control de sobre los recursos, distinto de la propiedad de los mismos. </w:t>
      </w:r>
      <w:r w:rsidR="00D61BE6">
        <w:t>Por lo general quien tiene la propiedad tiene el control</w:t>
      </w:r>
      <w:r w:rsidR="00270AA9">
        <w:t>,</w:t>
      </w:r>
      <w:r w:rsidR="00D61BE6">
        <w:t xml:space="preserve"> pero en ocasiones </w:t>
      </w:r>
      <w:r w:rsidR="00270AA9">
        <w:t xml:space="preserve">el propietario </w:t>
      </w:r>
      <w:r w:rsidR="00D61BE6">
        <w:t>solo conserva la nuda propiedad o ha realizado actos onerosos que conceden el control a un tercero.</w:t>
      </w:r>
      <w:r w:rsidR="00D42D7F">
        <w:t xml:space="preserve"> </w:t>
      </w:r>
      <w:r w:rsidR="00623992">
        <w:t>La</w:t>
      </w:r>
      <w:r w:rsidR="00865B1A">
        <w:t>s</w:t>
      </w:r>
      <w:r w:rsidR="00623992">
        <w:t xml:space="preserve"> </w:t>
      </w:r>
      <w:r w:rsidR="00865B1A">
        <w:t>revelaciones</w:t>
      </w:r>
      <w:r w:rsidR="00623992">
        <w:t xml:space="preserve"> de los que actúen como agentes podría</w:t>
      </w:r>
      <w:r w:rsidR="00865B1A">
        <w:t>n</w:t>
      </w:r>
      <w:r w:rsidR="00623992">
        <w:t xml:space="preserve"> descubrir estrategias comerciales, que, por esta vía, se volverían de público conocimiento. Los agentes podrían hacer comparaciones y obtener fundamentos para solicitar nuevos términos en sus acuerdos.</w:t>
      </w:r>
      <w:r w:rsidR="00D42D7F">
        <w:t xml:space="preserve"> Seguramente los abogados analizarán cuid</w:t>
      </w:r>
      <w:r w:rsidR="00865B1A">
        <w:t>adosamente esta norma y diseñará</w:t>
      </w:r>
      <w:r w:rsidR="00D42D7F">
        <w:t>n comportamientos favorables para los intereses financieros de sus clientes. La consulta de las minutas será inevitable.</w:t>
      </w:r>
    </w:p>
    <w:p w:rsidR="009C26E4" w:rsidRPr="00E7046D" w:rsidRDefault="00D42D7F" w:rsidP="00D42D7F">
      <w:pPr>
        <w:jc w:val="right"/>
        <w:rPr>
          <w:i/>
        </w:rPr>
      </w:pPr>
      <w:r w:rsidRPr="00D42D7F">
        <w:rPr>
          <w:i/>
        </w:rPr>
        <w:t>Hernando Bermúdez Gómez</w:t>
      </w:r>
    </w:p>
    <w:sectPr w:rsidR="009C26E4" w:rsidRPr="00E7046D" w:rsidSect="007F1D21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1D" w:rsidRDefault="00FB571D" w:rsidP="00EE7812">
      <w:pPr>
        <w:spacing w:after="0" w:line="240" w:lineRule="auto"/>
      </w:pPr>
      <w:r>
        <w:separator/>
      </w:r>
    </w:p>
  </w:endnote>
  <w:endnote w:type="continuationSeparator" w:id="0">
    <w:p w:rsidR="00FB571D" w:rsidRDefault="00FB571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24" w:rsidRDefault="00331924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1D" w:rsidRDefault="00FB571D" w:rsidP="00EE7812">
      <w:pPr>
        <w:spacing w:after="0" w:line="240" w:lineRule="auto"/>
      </w:pPr>
      <w:r>
        <w:separator/>
      </w:r>
    </w:p>
  </w:footnote>
  <w:footnote w:type="continuationSeparator" w:id="0">
    <w:p w:rsidR="00FB571D" w:rsidRDefault="00FB571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24" w:rsidRDefault="0033192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331924" w:rsidRDefault="0033192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331924" w:rsidRDefault="0033192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</w:t>
    </w:r>
    <w:r w:rsidR="00330608">
      <w:t>784</w:t>
    </w:r>
    <w:r w:rsidR="00CE47C3">
      <w:t xml:space="preserve">, </w:t>
    </w:r>
    <w:r w:rsidR="00374F39">
      <w:t>enero</w:t>
    </w:r>
    <w:r w:rsidR="00CE47C3">
      <w:t xml:space="preserve"> </w:t>
    </w:r>
    <w:r w:rsidR="00374F39">
      <w:t>4 de 2016</w:t>
    </w:r>
  </w:p>
  <w:p w:rsidR="00331924" w:rsidRDefault="00FB571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252F"/>
    <w:rsid w:val="000127D5"/>
    <w:rsid w:val="00012A0E"/>
    <w:rsid w:val="00012B60"/>
    <w:rsid w:val="00012D72"/>
    <w:rsid w:val="00012F08"/>
    <w:rsid w:val="0001327C"/>
    <w:rsid w:val="000135D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6DAC"/>
    <w:rsid w:val="000172E9"/>
    <w:rsid w:val="0001731C"/>
    <w:rsid w:val="00017539"/>
    <w:rsid w:val="0001756F"/>
    <w:rsid w:val="00017717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708F"/>
    <w:rsid w:val="00037380"/>
    <w:rsid w:val="0003775B"/>
    <w:rsid w:val="00037917"/>
    <w:rsid w:val="00037F2A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9CB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35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EE"/>
    <w:rsid w:val="000915F0"/>
    <w:rsid w:val="0009197F"/>
    <w:rsid w:val="00091A07"/>
    <w:rsid w:val="00091CB3"/>
    <w:rsid w:val="00091E0B"/>
    <w:rsid w:val="00091F06"/>
    <w:rsid w:val="000924F4"/>
    <w:rsid w:val="0009279A"/>
    <w:rsid w:val="00092952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D2A"/>
    <w:rsid w:val="000A1131"/>
    <w:rsid w:val="000A1170"/>
    <w:rsid w:val="000A13CA"/>
    <w:rsid w:val="000A13F5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1FC"/>
    <w:rsid w:val="000C45DC"/>
    <w:rsid w:val="000C4881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C7E57"/>
    <w:rsid w:val="000D074E"/>
    <w:rsid w:val="000D0813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8C6"/>
    <w:rsid w:val="000E49F2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BA7"/>
    <w:rsid w:val="000F11DF"/>
    <w:rsid w:val="000F1295"/>
    <w:rsid w:val="000F1480"/>
    <w:rsid w:val="000F14DA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5A9"/>
    <w:rsid w:val="001015E8"/>
    <w:rsid w:val="00101994"/>
    <w:rsid w:val="00101A40"/>
    <w:rsid w:val="00101D0E"/>
    <w:rsid w:val="00101D32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04C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3F7"/>
    <w:rsid w:val="0011354B"/>
    <w:rsid w:val="001135D8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621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71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A04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CB6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B7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AF4"/>
    <w:rsid w:val="00194B9F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23C9"/>
    <w:rsid w:val="001A2926"/>
    <w:rsid w:val="001A310F"/>
    <w:rsid w:val="001A32BE"/>
    <w:rsid w:val="001A3344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0CC"/>
    <w:rsid w:val="001B777C"/>
    <w:rsid w:val="001B7841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62A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8CE"/>
    <w:rsid w:val="001D09A6"/>
    <w:rsid w:val="001D0C91"/>
    <w:rsid w:val="001D0CC2"/>
    <w:rsid w:val="001D0F7B"/>
    <w:rsid w:val="001D1773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DAD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73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C22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09"/>
    <w:rsid w:val="00252236"/>
    <w:rsid w:val="0025240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DF3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18B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D5F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5AC"/>
    <w:rsid w:val="002B481F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49"/>
    <w:rsid w:val="002C7D58"/>
    <w:rsid w:val="002C7FB6"/>
    <w:rsid w:val="002D0008"/>
    <w:rsid w:val="002D004A"/>
    <w:rsid w:val="002D0381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EBD"/>
    <w:rsid w:val="002D4013"/>
    <w:rsid w:val="002D4024"/>
    <w:rsid w:val="002D438D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112"/>
    <w:rsid w:val="002D6261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A4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89"/>
    <w:rsid w:val="003450C0"/>
    <w:rsid w:val="003457F5"/>
    <w:rsid w:val="00345952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1B"/>
    <w:rsid w:val="00350D5A"/>
    <w:rsid w:val="00350DC8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7FF"/>
    <w:rsid w:val="00375948"/>
    <w:rsid w:val="00375A4A"/>
    <w:rsid w:val="00375B32"/>
    <w:rsid w:val="00375F98"/>
    <w:rsid w:val="0037649F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C6E"/>
    <w:rsid w:val="003B0D85"/>
    <w:rsid w:val="003B0E96"/>
    <w:rsid w:val="003B1017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6DE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D6"/>
    <w:rsid w:val="003E36D7"/>
    <w:rsid w:val="003E381B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6DA4"/>
    <w:rsid w:val="00407726"/>
    <w:rsid w:val="00407789"/>
    <w:rsid w:val="00407D3D"/>
    <w:rsid w:val="00407DF1"/>
    <w:rsid w:val="0041062B"/>
    <w:rsid w:val="00410654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AC7"/>
    <w:rsid w:val="00414F9F"/>
    <w:rsid w:val="0041524C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B34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D29"/>
    <w:rsid w:val="00466240"/>
    <w:rsid w:val="00466274"/>
    <w:rsid w:val="004668DF"/>
    <w:rsid w:val="00466A25"/>
    <w:rsid w:val="00466A45"/>
    <w:rsid w:val="00466D7F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925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4A5"/>
    <w:rsid w:val="004B5572"/>
    <w:rsid w:val="004B558D"/>
    <w:rsid w:val="004B5594"/>
    <w:rsid w:val="004B5616"/>
    <w:rsid w:val="004B56B5"/>
    <w:rsid w:val="004B57C2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63E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F19"/>
    <w:rsid w:val="00506280"/>
    <w:rsid w:val="005065F6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BC1"/>
    <w:rsid w:val="00516CDE"/>
    <w:rsid w:val="00516CE9"/>
    <w:rsid w:val="00516D9E"/>
    <w:rsid w:val="00516F71"/>
    <w:rsid w:val="00517053"/>
    <w:rsid w:val="005171F6"/>
    <w:rsid w:val="00517954"/>
    <w:rsid w:val="00520062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BFE"/>
    <w:rsid w:val="00533E81"/>
    <w:rsid w:val="00533E8F"/>
    <w:rsid w:val="00533ECF"/>
    <w:rsid w:val="00533F08"/>
    <w:rsid w:val="00534099"/>
    <w:rsid w:val="0053414D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528"/>
    <w:rsid w:val="00537643"/>
    <w:rsid w:val="0053768B"/>
    <w:rsid w:val="005377DC"/>
    <w:rsid w:val="00537981"/>
    <w:rsid w:val="00537AAF"/>
    <w:rsid w:val="005407E6"/>
    <w:rsid w:val="00540814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7E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4D91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AA"/>
    <w:rsid w:val="005804B3"/>
    <w:rsid w:val="005804EC"/>
    <w:rsid w:val="0058057C"/>
    <w:rsid w:val="00580CF1"/>
    <w:rsid w:val="00580D17"/>
    <w:rsid w:val="00580DDA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2CC"/>
    <w:rsid w:val="00587444"/>
    <w:rsid w:val="00587446"/>
    <w:rsid w:val="00587579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9AC"/>
    <w:rsid w:val="005C6ABA"/>
    <w:rsid w:val="005C6C26"/>
    <w:rsid w:val="005C6D21"/>
    <w:rsid w:val="005C6EC6"/>
    <w:rsid w:val="005C6F44"/>
    <w:rsid w:val="005C6FC5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F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821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348"/>
    <w:rsid w:val="0060639C"/>
    <w:rsid w:val="006068C5"/>
    <w:rsid w:val="00606B11"/>
    <w:rsid w:val="00607169"/>
    <w:rsid w:val="006071C0"/>
    <w:rsid w:val="0060729C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36B"/>
    <w:rsid w:val="00617416"/>
    <w:rsid w:val="006178B9"/>
    <w:rsid w:val="0061796F"/>
    <w:rsid w:val="00617C93"/>
    <w:rsid w:val="00617F90"/>
    <w:rsid w:val="00617FE7"/>
    <w:rsid w:val="0062070A"/>
    <w:rsid w:val="00620B12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D5C"/>
    <w:rsid w:val="0064002C"/>
    <w:rsid w:val="006400DD"/>
    <w:rsid w:val="00640254"/>
    <w:rsid w:val="00640380"/>
    <w:rsid w:val="00640448"/>
    <w:rsid w:val="00640661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4131"/>
    <w:rsid w:val="006541F9"/>
    <w:rsid w:val="0065430F"/>
    <w:rsid w:val="006546C2"/>
    <w:rsid w:val="00654ABF"/>
    <w:rsid w:val="00654D66"/>
    <w:rsid w:val="00654E23"/>
    <w:rsid w:val="00655088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214"/>
    <w:rsid w:val="006602FC"/>
    <w:rsid w:val="006603E6"/>
    <w:rsid w:val="006605F3"/>
    <w:rsid w:val="006607B0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5D1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753"/>
    <w:rsid w:val="006D6AB9"/>
    <w:rsid w:val="006D6C3C"/>
    <w:rsid w:val="006D6C86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C78"/>
    <w:rsid w:val="00706D1E"/>
    <w:rsid w:val="00706E9C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3EC"/>
    <w:rsid w:val="00724503"/>
    <w:rsid w:val="00724680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6EE5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CCB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3A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749"/>
    <w:rsid w:val="00773C88"/>
    <w:rsid w:val="00773C97"/>
    <w:rsid w:val="00774821"/>
    <w:rsid w:val="00774B13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E14"/>
    <w:rsid w:val="00782088"/>
    <w:rsid w:val="0078215E"/>
    <w:rsid w:val="007823E9"/>
    <w:rsid w:val="0078281C"/>
    <w:rsid w:val="00782C1E"/>
    <w:rsid w:val="00783234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96F"/>
    <w:rsid w:val="00792972"/>
    <w:rsid w:val="007929F7"/>
    <w:rsid w:val="00792C5C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EE"/>
    <w:rsid w:val="007B5B0D"/>
    <w:rsid w:val="007B632B"/>
    <w:rsid w:val="007B6459"/>
    <w:rsid w:val="007B64A3"/>
    <w:rsid w:val="007B6726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447"/>
    <w:rsid w:val="007E78ED"/>
    <w:rsid w:val="007E7C5E"/>
    <w:rsid w:val="007E7EAC"/>
    <w:rsid w:val="007E7FE0"/>
    <w:rsid w:val="007F0180"/>
    <w:rsid w:val="007F064B"/>
    <w:rsid w:val="007F0C37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A2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98"/>
    <w:rsid w:val="008035F8"/>
    <w:rsid w:val="00803682"/>
    <w:rsid w:val="00803C75"/>
    <w:rsid w:val="00803C8F"/>
    <w:rsid w:val="00803DFE"/>
    <w:rsid w:val="0080402C"/>
    <w:rsid w:val="0080467F"/>
    <w:rsid w:val="00804A37"/>
    <w:rsid w:val="00804DEE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548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5DF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AE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916"/>
    <w:rsid w:val="00876B7A"/>
    <w:rsid w:val="00876BC8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E9E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5A6"/>
    <w:rsid w:val="008A383B"/>
    <w:rsid w:val="008A38B8"/>
    <w:rsid w:val="008A3AA2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F6"/>
    <w:rsid w:val="008A67AA"/>
    <w:rsid w:val="008A6FE7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B11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984"/>
    <w:rsid w:val="008C6A77"/>
    <w:rsid w:val="008C6CAF"/>
    <w:rsid w:val="008C6D0A"/>
    <w:rsid w:val="008C733E"/>
    <w:rsid w:val="008C7380"/>
    <w:rsid w:val="008C7432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5AB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B83"/>
    <w:rsid w:val="00910D2C"/>
    <w:rsid w:val="009112EF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3F83"/>
    <w:rsid w:val="00914207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A5D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9D3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052"/>
    <w:rsid w:val="009A53FE"/>
    <w:rsid w:val="009A54A5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9C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8ED"/>
    <w:rsid w:val="009E3913"/>
    <w:rsid w:val="009E3AC0"/>
    <w:rsid w:val="009E3B27"/>
    <w:rsid w:val="009E3C3C"/>
    <w:rsid w:val="009E3E7F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5D0A"/>
    <w:rsid w:val="009E61DF"/>
    <w:rsid w:val="009E6221"/>
    <w:rsid w:val="009E632D"/>
    <w:rsid w:val="009E6406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303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FA4"/>
    <w:rsid w:val="00A75FE1"/>
    <w:rsid w:val="00A76073"/>
    <w:rsid w:val="00A76132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2F42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92"/>
    <w:rsid w:val="00AA7CEA"/>
    <w:rsid w:val="00AB0156"/>
    <w:rsid w:val="00AB02EB"/>
    <w:rsid w:val="00AB030C"/>
    <w:rsid w:val="00AB04A4"/>
    <w:rsid w:val="00AB054B"/>
    <w:rsid w:val="00AB058F"/>
    <w:rsid w:val="00AB08D4"/>
    <w:rsid w:val="00AB0AD0"/>
    <w:rsid w:val="00AB0B3E"/>
    <w:rsid w:val="00AB0D41"/>
    <w:rsid w:val="00AB10D6"/>
    <w:rsid w:val="00AB13C5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95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7D4"/>
    <w:rsid w:val="00AE39AF"/>
    <w:rsid w:val="00AE3A12"/>
    <w:rsid w:val="00AE3BBE"/>
    <w:rsid w:val="00AE3E95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C35"/>
    <w:rsid w:val="00AF3DF2"/>
    <w:rsid w:val="00AF3FD7"/>
    <w:rsid w:val="00AF4059"/>
    <w:rsid w:val="00AF44CD"/>
    <w:rsid w:val="00AF4CF3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A52"/>
    <w:rsid w:val="00B01BF3"/>
    <w:rsid w:val="00B01CAD"/>
    <w:rsid w:val="00B01FF3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C5"/>
    <w:rsid w:val="00B1163F"/>
    <w:rsid w:val="00B11782"/>
    <w:rsid w:val="00B11862"/>
    <w:rsid w:val="00B11A0F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154"/>
    <w:rsid w:val="00B20CAF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8"/>
    <w:rsid w:val="00B51B44"/>
    <w:rsid w:val="00B51B96"/>
    <w:rsid w:val="00B51CE6"/>
    <w:rsid w:val="00B51D8A"/>
    <w:rsid w:val="00B51E7C"/>
    <w:rsid w:val="00B51F91"/>
    <w:rsid w:val="00B52474"/>
    <w:rsid w:val="00B525DA"/>
    <w:rsid w:val="00B52617"/>
    <w:rsid w:val="00B527A9"/>
    <w:rsid w:val="00B527EA"/>
    <w:rsid w:val="00B52C80"/>
    <w:rsid w:val="00B52ECC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FD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229"/>
    <w:rsid w:val="00B704FC"/>
    <w:rsid w:val="00B7052D"/>
    <w:rsid w:val="00B70957"/>
    <w:rsid w:val="00B7097E"/>
    <w:rsid w:val="00B70B9A"/>
    <w:rsid w:val="00B70EA2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A5"/>
    <w:rsid w:val="00B75BC1"/>
    <w:rsid w:val="00B75BEF"/>
    <w:rsid w:val="00B75C2D"/>
    <w:rsid w:val="00B75CD5"/>
    <w:rsid w:val="00B75FEE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7A"/>
    <w:rsid w:val="00BA2144"/>
    <w:rsid w:val="00BA21D3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AE7"/>
    <w:rsid w:val="00BB5B25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A9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3FB"/>
    <w:rsid w:val="00BD44BD"/>
    <w:rsid w:val="00BD4670"/>
    <w:rsid w:val="00BD4677"/>
    <w:rsid w:val="00BD4691"/>
    <w:rsid w:val="00BD4B25"/>
    <w:rsid w:val="00BD4BF0"/>
    <w:rsid w:val="00BD4EB8"/>
    <w:rsid w:val="00BD502F"/>
    <w:rsid w:val="00BD50D3"/>
    <w:rsid w:val="00BD555A"/>
    <w:rsid w:val="00BD594E"/>
    <w:rsid w:val="00BD6501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4F"/>
    <w:rsid w:val="00C30077"/>
    <w:rsid w:val="00C3013C"/>
    <w:rsid w:val="00C30331"/>
    <w:rsid w:val="00C303C1"/>
    <w:rsid w:val="00C30655"/>
    <w:rsid w:val="00C306B0"/>
    <w:rsid w:val="00C30A25"/>
    <w:rsid w:val="00C30BCD"/>
    <w:rsid w:val="00C30EC4"/>
    <w:rsid w:val="00C312DB"/>
    <w:rsid w:val="00C3168D"/>
    <w:rsid w:val="00C317C0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488"/>
    <w:rsid w:val="00C345D9"/>
    <w:rsid w:val="00C34816"/>
    <w:rsid w:val="00C348BC"/>
    <w:rsid w:val="00C3499F"/>
    <w:rsid w:val="00C34B77"/>
    <w:rsid w:val="00C34D69"/>
    <w:rsid w:val="00C34E1D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311"/>
    <w:rsid w:val="00C667D1"/>
    <w:rsid w:val="00C66C3E"/>
    <w:rsid w:val="00C66CA5"/>
    <w:rsid w:val="00C66CD6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8DC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205D"/>
    <w:rsid w:val="00C82105"/>
    <w:rsid w:val="00C828B4"/>
    <w:rsid w:val="00C82916"/>
    <w:rsid w:val="00C829A9"/>
    <w:rsid w:val="00C82DDB"/>
    <w:rsid w:val="00C83244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EE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CF1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A4A"/>
    <w:rsid w:val="00CB4BE5"/>
    <w:rsid w:val="00CB4C51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588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958"/>
    <w:rsid w:val="00D02A98"/>
    <w:rsid w:val="00D02FD1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F1"/>
    <w:rsid w:val="00D10477"/>
    <w:rsid w:val="00D10592"/>
    <w:rsid w:val="00D1064E"/>
    <w:rsid w:val="00D106F8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598"/>
    <w:rsid w:val="00D355C7"/>
    <w:rsid w:val="00D359B6"/>
    <w:rsid w:val="00D35AB4"/>
    <w:rsid w:val="00D35DAC"/>
    <w:rsid w:val="00D35FEB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2C5"/>
    <w:rsid w:val="00D4450B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233"/>
    <w:rsid w:val="00D5037D"/>
    <w:rsid w:val="00D50521"/>
    <w:rsid w:val="00D505C5"/>
    <w:rsid w:val="00D50715"/>
    <w:rsid w:val="00D508FB"/>
    <w:rsid w:val="00D50E25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2DF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A1B"/>
    <w:rsid w:val="00DC5A26"/>
    <w:rsid w:val="00DC6113"/>
    <w:rsid w:val="00DC6258"/>
    <w:rsid w:val="00DC635D"/>
    <w:rsid w:val="00DC64CC"/>
    <w:rsid w:val="00DC6B17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F0"/>
    <w:rsid w:val="00DF2A16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A"/>
    <w:rsid w:val="00E0715B"/>
    <w:rsid w:val="00E071B8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68C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5F7C"/>
    <w:rsid w:val="00E26063"/>
    <w:rsid w:val="00E260F0"/>
    <w:rsid w:val="00E26521"/>
    <w:rsid w:val="00E26654"/>
    <w:rsid w:val="00E26A16"/>
    <w:rsid w:val="00E27A48"/>
    <w:rsid w:val="00E27C3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67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96B"/>
    <w:rsid w:val="00E37C7C"/>
    <w:rsid w:val="00E40339"/>
    <w:rsid w:val="00E4034E"/>
    <w:rsid w:val="00E4070B"/>
    <w:rsid w:val="00E40B19"/>
    <w:rsid w:val="00E40C5B"/>
    <w:rsid w:val="00E40DCD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7"/>
    <w:rsid w:val="00E67431"/>
    <w:rsid w:val="00E676F3"/>
    <w:rsid w:val="00E67A6A"/>
    <w:rsid w:val="00E67ABE"/>
    <w:rsid w:val="00E700D7"/>
    <w:rsid w:val="00E7023A"/>
    <w:rsid w:val="00E702C8"/>
    <w:rsid w:val="00E70422"/>
    <w:rsid w:val="00E7046D"/>
    <w:rsid w:val="00E70524"/>
    <w:rsid w:val="00E708A7"/>
    <w:rsid w:val="00E709B1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A99"/>
    <w:rsid w:val="00E80BB0"/>
    <w:rsid w:val="00E80D0D"/>
    <w:rsid w:val="00E80D2A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947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0D97"/>
    <w:rsid w:val="00EC0FAA"/>
    <w:rsid w:val="00EC1187"/>
    <w:rsid w:val="00EC136C"/>
    <w:rsid w:val="00EC1392"/>
    <w:rsid w:val="00EC13F2"/>
    <w:rsid w:val="00EC1457"/>
    <w:rsid w:val="00EC161E"/>
    <w:rsid w:val="00EC168D"/>
    <w:rsid w:val="00EC16A4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ACF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731"/>
    <w:rsid w:val="00EF077F"/>
    <w:rsid w:val="00EF07E6"/>
    <w:rsid w:val="00EF090D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FD"/>
    <w:rsid w:val="00EF2606"/>
    <w:rsid w:val="00EF287E"/>
    <w:rsid w:val="00EF29E0"/>
    <w:rsid w:val="00EF2AB7"/>
    <w:rsid w:val="00EF2E48"/>
    <w:rsid w:val="00EF321D"/>
    <w:rsid w:val="00EF33EC"/>
    <w:rsid w:val="00EF34A7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C3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B58"/>
    <w:rsid w:val="00EF6BD3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68F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2211"/>
    <w:rsid w:val="00F2229F"/>
    <w:rsid w:val="00F2261F"/>
    <w:rsid w:val="00F22627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A57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367"/>
    <w:rsid w:val="00F664DA"/>
    <w:rsid w:val="00F665C9"/>
    <w:rsid w:val="00F66841"/>
    <w:rsid w:val="00F669F1"/>
    <w:rsid w:val="00F66B46"/>
    <w:rsid w:val="00F67568"/>
    <w:rsid w:val="00F67749"/>
    <w:rsid w:val="00F677F2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643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08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71D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sb.org/cs/ContentServer?c=Page&amp;pagename=FASB%2FPage%2FTechnicalAgendaPage&amp;cid=117580547015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frs.org/Current-Projects/IASB-Projects/Clarifications-IFRS-15-Issues-from-TRG-discussions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sb.org/cs/ContentServer?c=Document_C&amp;pagename=FASB%2FDocument_C%2FDocumentPage&amp;cid=117616591588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frs.org/Meetings/MeetingDocs/IASB/2015/December/AP07G-Revenue-from-contracts-with-customers.pdf" TargetMode="External"/><Relationship Id="rId10" Type="http://schemas.openxmlformats.org/officeDocument/2006/relationships/hyperlink" Target="http://www.fasb.org/cs/ContentServer?c=FASBContent_C&amp;pagename=FASB%2FFASBContent_C%2FProjectUpdatePage&amp;cid=117616584436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ifrs.org/Meetings/MeetingDocs/IASB/2015/December/AP07G-Revenue-from-contracts-with-customers.pdf" TargetMode="External"/><Relationship Id="rId14" Type="http://schemas.openxmlformats.org/officeDocument/2006/relationships/hyperlink" Target="http://www.ifrs.org/Meetings/MeetingDocs/IASB/2015/December/AP07F-Revenue-from-contracts-with-custom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C5F6-9561-4398-BAE6-3F9F26A3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3707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2016-01-04T02:41:00Z</dcterms:created>
  <dcterms:modified xsi:type="dcterms:W3CDTF">2016-01-04T02:41:00Z</dcterms:modified>
</cp:coreProperties>
</file>